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charts/chart2.xml" ContentType="application/vnd.openxmlformats-officedocument.drawingml.chart+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6C47E833" w14:textId="77FB87B0" w:rsidR="002F0D71" w:rsidRPr="00C96B09" w:rsidRDefault="002B41F6" w:rsidP="002F0D71">
      <w:pPr>
        <w:pStyle w:val="BodyText"/>
        <w:jc w:val="center"/>
        <w:rPr>
          <w:rFonts w:asciiTheme="minorHAnsi" w:hAnsiTheme="minorHAnsi" w:cs="Calibri"/>
          <w:b/>
          <w:bCs/>
          <w:color w:val="009999"/>
          <w:sz w:val="40"/>
          <w:szCs w:val="40"/>
        </w:rPr>
      </w:pPr>
      <w:bookmarkStart w:id="1" w:name="_GoBack"/>
      <w:bookmarkEnd w:id="1"/>
      <w:r>
        <w:rPr>
          <w:rFonts w:asciiTheme="minorHAnsi" w:hAnsiTheme="minorHAnsi" w:cs="Calibri"/>
          <w:b/>
          <w:bCs/>
          <w:color w:val="009999"/>
          <w:sz w:val="40"/>
          <w:szCs w:val="40"/>
        </w:rPr>
        <w:t>Eden District Council</w:t>
      </w:r>
    </w:p>
    <w:p w14:paraId="1DA3E949" w14:textId="34FCD563" w:rsidR="002F0D71" w:rsidRPr="00C96B09" w:rsidRDefault="002B41F6" w:rsidP="002F0D71">
      <w:pPr>
        <w:pStyle w:val="BodyText"/>
        <w:jc w:val="center"/>
        <w:rPr>
          <w:rFonts w:asciiTheme="minorHAnsi" w:hAnsiTheme="minorHAnsi" w:cs="Calibri"/>
          <w:b/>
          <w:bCs/>
          <w:color w:val="009999"/>
          <w:sz w:val="40"/>
          <w:szCs w:val="40"/>
        </w:rPr>
      </w:pPr>
      <w:r>
        <w:rPr>
          <w:rFonts w:asciiTheme="minorHAnsi" w:hAnsiTheme="minorHAnsi" w:cs="Calibri"/>
          <w:b/>
          <w:bCs/>
          <w:color w:val="009999"/>
          <w:sz w:val="40"/>
          <w:szCs w:val="40"/>
        </w:rPr>
        <w:t xml:space="preserve">Housing Needs Study </w:t>
      </w:r>
      <w:r w:rsidR="002F0D71" w:rsidRPr="00C96B09">
        <w:rPr>
          <w:rFonts w:asciiTheme="minorHAnsi" w:hAnsiTheme="minorHAnsi" w:cs="Calibri"/>
          <w:b/>
          <w:bCs/>
          <w:color w:val="009999"/>
          <w:sz w:val="40"/>
          <w:szCs w:val="40"/>
        </w:rPr>
        <w:t>2018</w:t>
      </w:r>
    </w:p>
    <w:p w14:paraId="343959A1" w14:textId="77777777" w:rsidR="002F0D71" w:rsidRPr="00C96B09" w:rsidRDefault="002F0D71" w:rsidP="002F0D71">
      <w:pPr>
        <w:pStyle w:val="BodyText"/>
        <w:pBdr>
          <w:top w:val="single" w:sz="18" w:space="1" w:color="0D5F5D"/>
        </w:pBdr>
        <w:rPr>
          <w:rFonts w:asciiTheme="minorHAnsi" w:hAnsiTheme="minorHAnsi" w:cs="Calibri"/>
          <w:bCs/>
          <w:color w:val="009999"/>
          <w:sz w:val="40"/>
          <w:szCs w:val="40"/>
        </w:rPr>
      </w:pPr>
    </w:p>
    <w:p w14:paraId="1730539A" w14:textId="77777777" w:rsidR="002F0D71" w:rsidRPr="00C96B09" w:rsidRDefault="002F0D71" w:rsidP="002F0D71">
      <w:pPr>
        <w:pStyle w:val="BodyText"/>
        <w:jc w:val="center"/>
        <w:rPr>
          <w:rFonts w:asciiTheme="minorHAnsi" w:hAnsiTheme="minorHAnsi" w:cs="Calibri"/>
          <w:bCs/>
          <w:color w:val="009999"/>
          <w:sz w:val="40"/>
          <w:szCs w:val="40"/>
        </w:rPr>
      </w:pPr>
    </w:p>
    <w:p w14:paraId="3403F3D1" w14:textId="77777777" w:rsidR="002F0D71" w:rsidRPr="00C96B09" w:rsidRDefault="002F0D71" w:rsidP="002F0D71">
      <w:pPr>
        <w:pStyle w:val="BodyText"/>
        <w:jc w:val="center"/>
        <w:rPr>
          <w:rFonts w:asciiTheme="minorHAnsi" w:hAnsiTheme="minorHAnsi" w:cs="Calibri"/>
          <w:bCs/>
          <w:color w:val="009999"/>
          <w:sz w:val="40"/>
          <w:szCs w:val="40"/>
        </w:rPr>
      </w:pPr>
    </w:p>
    <w:p w14:paraId="16AD6D99" w14:textId="77777777" w:rsidR="002F0D71" w:rsidRPr="00C96B09" w:rsidRDefault="002F0D71" w:rsidP="002F0D71">
      <w:pPr>
        <w:pStyle w:val="BodyText"/>
        <w:jc w:val="center"/>
        <w:rPr>
          <w:rFonts w:asciiTheme="minorHAnsi" w:hAnsiTheme="minorHAnsi" w:cs="Calibri"/>
          <w:bCs/>
          <w:color w:val="009999"/>
          <w:sz w:val="40"/>
          <w:szCs w:val="40"/>
        </w:rPr>
      </w:pPr>
    </w:p>
    <w:p w14:paraId="165243CD" w14:textId="77777777" w:rsidR="002F0D71" w:rsidRPr="00C96B09" w:rsidRDefault="002F0D71" w:rsidP="002F0D71">
      <w:pPr>
        <w:pStyle w:val="BodyText"/>
        <w:jc w:val="center"/>
        <w:rPr>
          <w:rFonts w:asciiTheme="minorHAnsi" w:hAnsiTheme="minorHAnsi" w:cs="Calibri"/>
          <w:bCs/>
          <w:color w:val="009999"/>
          <w:sz w:val="40"/>
          <w:szCs w:val="40"/>
        </w:rPr>
      </w:pPr>
    </w:p>
    <w:p w14:paraId="6CFFD24E" w14:textId="63A1610B" w:rsidR="002F0D71" w:rsidRPr="00C96B09" w:rsidRDefault="002B41F6" w:rsidP="002F0D71">
      <w:pPr>
        <w:pStyle w:val="BodyText"/>
        <w:jc w:val="center"/>
        <w:rPr>
          <w:rFonts w:asciiTheme="minorHAnsi" w:hAnsiTheme="minorHAnsi" w:cs="Calibri"/>
          <w:bCs/>
          <w:color w:val="009999"/>
          <w:sz w:val="40"/>
          <w:szCs w:val="40"/>
        </w:rPr>
      </w:pPr>
      <w:r>
        <w:rPr>
          <w:rFonts w:asciiTheme="minorHAnsi" w:hAnsiTheme="minorHAnsi" w:cs="Calibri"/>
          <w:bCs/>
          <w:color w:val="009999"/>
          <w:sz w:val="40"/>
          <w:szCs w:val="40"/>
        </w:rPr>
        <w:t xml:space="preserve">Eden District </w:t>
      </w:r>
      <w:r w:rsidR="002F0D71" w:rsidRPr="00C96B09">
        <w:rPr>
          <w:rFonts w:asciiTheme="minorHAnsi" w:hAnsiTheme="minorHAnsi" w:cs="Calibri"/>
          <w:bCs/>
          <w:color w:val="009999"/>
          <w:sz w:val="40"/>
          <w:szCs w:val="40"/>
        </w:rPr>
        <w:t>Council</w:t>
      </w:r>
    </w:p>
    <w:p w14:paraId="2D33FB70" w14:textId="77777777" w:rsidR="002F0D71" w:rsidRPr="00C96B09" w:rsidRDefault="002F0D71" w:rsidP="002F0D71">
      <w:pPr>
        <w:pStyle w:val="BodyText"/>
        <w:jc w:val="center"/>
        <w:rPr>
          <w:rFonts w:asciiTheme="minorHAnsi" w:hAnsiTheme="minorHAnsi" w:cs="Calibri"/>
          <w:bCs/>
          <w:color w:val="009999"/>
          <w:sz w:val="40"/>
          <w:szCs w:val="40"/>
        </w:rPr>
      </w:pPr>
    </w:p>
    <w:p w14:paraId="3E41D054" w14:textId="77777777" w:rsidR="002F0D71" w:rsidRPr="00C96B09" w:rsidRDefault="002F0D71" w:rsidP="002F0D71">
      <w:pPr>
        <w:pStyle w:val="BodyText"/>
        <w:jc w:val="center"/>
        <w:rPr>
          <w:rFonts w:asciiTheme="minorHAnsi" w:hAnsiTheme="minorHAnsi" w:cs="Calibri"/>
          <w:bCs/>
          <w:color w:val="009999"/>
          <w:sz w:val="40"/>
          <w:szCs w:val="40"/>
        </w:rPr>
      </w:pPr>
    </w:p>
    <w:p w14:paraId="7DE1FBC8" w14:textId="77777777" w:rsidR="002F0D71" w:rsidRPr="00C96B09" w:rsidRDefault="002F0D71" w:rsidP="002F0D71">
      <w:pPr>
        <w:pStyle w:val="BodyText"/>
        <w:jc w:val="center"/>
        <w:rPr>
          <w:rFonts w:asciiTheme="minorHAnsi" w:hAnsiTheme="minorHAnsi" w:cs="Calibri"/>
          <w:bCs/>
          <w:color w:val="009999"/>
          <w:sz w:val="40"/>
          <w:szCs w:val="40"/>
        </w:rPr>
      </w:pPr>
    </w:p>
    <w:p w14:paraId="61851C9E" w14:textId="77777777" w:rsidR="002F0D71" w:rsidRPr="00C96B09" w:rsidRDefault="002F0D71" w:rsidP="002F0D71">
      <w:pPr>
        <w:pStyle w:val="BodyText"/>
        <w:jc w:val="center"/>
        <w:rPr>
          <w:rFonts w:asciiTheme="minorHAnsi" w:hAnsiTheme="minorHAnsi" w:cs="Calibri"/>
          <w:bCs/>
          <w:color w:val="009999"/>
          <w:sz w:val="40"/>
          <w:szCs w:val="40"/>
        </w:rPr>
      </w:pPr>
    </w:p>
    <w:p w14:paraId="4AA7C811" w14:textId="2CDFD186" w:rsidR="002F0D71" w:rsidRPr="00C96B09" w:rsidRDefault="001F27D2" w:rsidP="000264FC">
      <w:pPr>
        <w:pStyle w:val="BodyText"/>
        <w:jc w:val="center"/>
        <w:rPr>
          <w:rFonts w:asciiTheme="minorHAnsi" w:hAnsiTheme="minorHAnsi" w:cs="Calibri"/>
          <w:bCs/>
          <w:color w:val="009999"/>
          <w:sz w:val="40"/>
          <w:szCs w:val="40"/>
        </w:rPr>
      </w:pPr>
      <w:r>
        <w:rPr>
          <w:rFonts w:asciiTheme="minorHAnsi" w:hAnsiTheme="minorHAnsi" w:cs="Calibri"/>
          <w:bCs/>
          <w:color w:val="009999"/>
          <w:sz w:val="40"/>
          <w:szCs w:val="40"/>
        </w:rPr>
        <w:t xml:space="preserve"> Final </w:t>
      </w:r>
      <w:r w:rsidR="002F0D71" w:rsidRPr="00C96B09">
        <w:rPr>
          <w:rFonts w:asciiTheme="minorHAnsi" w:hAnsiTheme="minorHAnsi" w:cs="Calibri"/>
          <w:bCs/>
          <w:color w:val="009999"/>
          <w:sz w:val="40"/>
          <w:szCs w:val="40"/>
        </w:rPr>
        <w:t>Report</w:t>
      </w:r>
    </w:p>
    <w:p w14:paraId="21B318E2" w14:textId="69FDC73D" w:rsidR="002F0D71" w:rsidRPr="00C96B09" w:rsidRDefault="00C462AB" w:rsidP="002F0D71">
      <w:pPr>
        <w:pStyle w:val="BodyText"/>
        <w:jc w:val="center"/>
        <w:rPr>
          <w:rFonts w:asciiTheme="minorHAnsi" w:hAnsiTheme="minorHAnsi" w:cs="Calibri"/>
          <w:bCs/>
          <w:color w:val="009999"/>
          <w:sz w:val="32"/>
          <w:szCs w:val="40"/>
        </w:rPr>
      </w:pPr>
      <w:r>
        <w:rPr>
          <w:rFonts w:asciiTheme="minorHAnsi" w:hAnsiTheme="minorHAnsi" w:cs="Calibri"/>
          <w:bCs/>
          <w:color w:val="009999"/>
          <w:sz w:val="32"/>
          <w:szCs w:val="40"/>
        </w:rPr>
        <w:t xml:space="preserve">December </w:t>
      </w:r>
      <w:r w:rsidR="002F0D71" w:rsidRPr="00C96B09">
        <w:rPr>
          <w:rFonts w:asciiTheme="minorHAnsi" w:hAnsiTheme="minorHAnsi" w:cs="Calibri"/>
          <w:bCs/>
          <w:color w:val="009999"/>
          <w:sz w:val="32"/>
          <w:szCs w:val="40"/>
        </w:rPr>
        <w:t>2018</w:t>
      </w:r>
    </w:p>
    <w:p w14:paraId="6ECE4E5F" w14:textId="77777777" w:rsidR="002F0D71" w:rsidRPr="00C96B09" w:rsidRDefault="002F0D71" w:rsidP="002F0D71">
      <w:pPr>
        <w:pStyle w:val="BodyText"/>
        <w:jc w:val="center"/>
        <w:rPr>
          <w:rFonts w:asciiTheme="minorHAnsi" w:hAnsiTheme="minorHAnsi" w:cs="Calibri"/>
          <w:bCs/>
          <w:color w:val="009999"/>
          <w:sz w:val="40"/>
          <w:szCs w:val="40"/>
        </w:rPr>
      </w:pPr>
    </w:p>
    <w:p w14:paraId="7BA17C28" w14:textId="77777777" w:rsidR="002F0D71" w:rsidRPr="00C96B09" w:rsidRDefault="002F0D71" w:rsidP="002F0D71">
      <w:pPr>
        <w:rPr>
          <w:rFonts w:asciiTheme="minorHAnsi" w:hAnsiTheme="minorHAnsi" w:cs="Calibri"/>
          <w:color w:val="009999"/>
        </w:rPr>
      </w:pPr>
    </w:p>
    <w:p w14:paraId="7D250F3A" w14:textId="77777777" w:rsidR="002F0D71" w:rsidRPr="00C96B09" w:rsidRDefault="002F0D71" w:rsidP="002F0D71">
      <w:pPr>
        <w:rPr>
          <w:rFonts w:asciiTheme="minorHAnsi" w:hAnsiTheme="minorHAnsi" w:cs="Calibri"/>
          <w:color w:val="009999"/>
          <w:sz w:val="28"/>
          <w:szCs w:val="28"/>
        </w:rPr>
      </w:pPr>
    </w:p>
    <w:p w14:paraId="11C6184A" w14:textId="77777777" w:rsidR="002F0D71" w:rsidRPr="00C96B09" w:rsidRDefault="002F0D71" w:rsidP="002F0D71">
      <w:pPr>
        <w:rPr>
          <w:rFonts w:asciiTheme="minorHAnsi" w:hAnsiTheme="minorHAnsi" w:cs="Calibri"/>
          <w:color w:val="009999"/>
          <w:sz w:val="28"/>
          <w:szCs w:val="28"/>
        </w:rPr>
      </w:pPr>
    </w:p>
    <w:p w14:paraId="02CB8FBF" w14:textId="77777777" w:rsidR="00AB56DE" w:rsidRPr="00412F6E" w:rsidRDefault="00AB56DE" w:rsidP="00F22269">
      <w:pPr>
        <w:rPr>
          <w:rFonts w:cs="Calibri"/>
          <w:color w:val="009999"/>
        </w:rPr>
      </w:pPr>
    </w:p>
    <w:p w14:paraId="27805513" w14:textId="77777777" w:rsidR="00F22269" w:rsidRPr="00412F6E" w:rsidRDefault="00F22269" w:rsidP="00F22269">
      <w:pPr>
        <w:pBdr>
          <w:bottom w:val="single" w:sz="18" w:space="1" w:color="008080"/>
        </w:pBdr>
        <w:rPr>
          <w:rFonts w:cs="Calibri"/>
          <w:color w:val="009999"/>
        </w:rPr>
      </w:pPr>
    </w:p>
    <w:p w14:paraId="014C71CE" w14:textId="77A50426" w:rsidR="00F22269" w:rsidRPr="00412F6E" w:rsidRDefault="00F22269" w:rsidP="00F22269">
      <w:pPr>
        <w:tabs>
          <w:tab w:val="left" w:pos="1843"/>
        </w:tabs>
        <w:spacing w:before="0" w:after="0"/>
        <w:rPr>
          <w:rFonts w:cs="Calibri"/>
          <w:b/>
          <w:color w:val="009999"/>
        </w:rPr>
      </w:pPr>
      <w:r w:rsidRPr="00412F6E">
        <w:rPr>
          <w:rFonts w:cs="Calibri"/>
          <w:noProof/>
          <w:color w:val="009999"/>
          <w:lang w:eastAsia="en-GB"/>
        </w:rPr>
        <w:drawing>
          <wp:anchor distT="0" distB="0" distL="114300" distR="114300" simplePos="0" relativeHeight="251659264" behindDoc="1" locked="1" layoutInCell="0" allowOverlap="1" wp14:anchorId="1E98E09F" wp14:editId="324983EE">
            <wp:simplePos x="0" y="0"/>
            <wp:positionH relativeFrom="margin">
              <wp:posOffset>3978910</wp:posOffset>
            </wp:positionH>
            <wp:positionV relativeFrom="page">
              <wp:posOffset>8199120</wp:posOffset>
            </wp:positionV>
            <wp:extent cx="1745615" cy="1011555"/>
            <wp:effectExtent l="0" t="0" r="6985" b="0"/>
            <wp:wrapThrough wrapText="bothSides">
              <wp:wrapPolygon edited="0">
                <wp:start x="12493" y="0"/>
                <wp:lineTo x="9193" y="2034"/>
                <wp:lineTo x="9429" y="3661"/>
                <wp:lineTo x="19801" y="6508"/>
                <wp:lineTo x="0" y="7729"/>
                <wp:lineTo x="0" y="19525"/>
                <wp:lineTo x="18858" y="19525"/>
                <wp:lineTo x="18151" y="21153"/>
                <wp:lineTo x="19329" y="21153"/>
                <wp:lineTo x="20272" y="19525"/>
                <wp:lineTo x="21451" y="15458"/>
                <wp:lineTo x="21451" y="5288"/>
                <wp:lineTo x="18858" y="1220"/>
                <wp:lineTo x="17208" y="0"/>
                <wp:lineTo x="12493" y="0"/>
              </wp:wrapPolygon>
            </wp:wrapThrough>
            <wp:docPr id="1" name="Picture 1" descr="C:\Users\Sandie Brand\Documents\ARC4\Logos\Various File Formats\PN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PNG\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5615" cy="1011555"/>
                    </a:xfrm>
                    <a:prstGeom prst="rect">
                      <a:avLst/>
                    </a:prstGeom>
                    <a:noFill/>
                    <a:ln>
                      <a:noFill/>
                    </a:ln>
                  </pic:spPr>
                </pic:pic>
              </a:graphicData>
            </a:graphic>
          </wp:anchor>
        </w:drawing>
      </w:r>
      <w:r w:rsidRPr="00412F6E">
        <w:rPr>
          <w:rFonts w:cs="Calibri"/>
          <w:b/>
          <w:color w:val="009999"/>
        </w:rPr>
        <w:t>Main Contact:</w:t>
      </w:r>
      <w:r w:rsidRPr="00412F6E">
        <w:rPr>
          <w:rFonts w:cs="Calibri"/>
          <w:b/>
          <w:color w:val="009999"/>
        </w:rPr>
        <w:tab/>
      </w:r>
      <w:r w:rsidR="002F0D71">
        <w:rPr>
          <w:rFonts w:cs="Calibri"/>
          <w:b/>
          <w:color w:val="009999"/>
        </w:rPr>
        <w:t>Dr Michael Bullock</w:t>
      </w:r>
    </w:p>
    <w:p w14:paraId="6CB68C47" w14:textId="2D531639" w:rsidR="00F22269" w:rsidRPr="00412F6E" w:rsidRDefault="00F22269" w:rsidP="00F22269">
      <w:pPr>
        <w:tabs>
          <w:tab w:val="left" w:pos="1843"/>
        </w:tabs>
        <w:spacing w:before="0" w:after="0"/>
        <w:rPr>
          <w:rFonts w:cs="Calibri"/>
          <w:b/>
          <w:color w:val="009999"/>
        </w:rPr>
      </w:pPr>
      <w:r w:rsidRPr="00412F6E">
        <w:rPr>
          <w:rFonts w:cs="Calibri"/>
          <w:b/>
          <w:color w:val="009999"/>
        </w:rPr>
        <w:t xml:space="preserve">Email:  </w:t>
      </w:r>
      <w:r w:rsidRPr="00412F6E">
        <w:rPr>
          <w:rFonts w:cs="Calibri"/>
          <w:b/>
          <w:color w:val="009999"/>
        </w:rPr>
        <w:tab/>
      </w:r>
      <w:r w:rsidR="002F0D71">
        <w:rPr>
          <w:rFonts w:cs="Calibri"/>
          <w:b/>
          <w:color w:val="009999"/>
        </w:rPr>
        <w:t>Michael.bullock</w:t>
      </w:r>
      <w:r w:rsidRPr="00412F6E">
        <w:rPr>
          <w:rFonts w:cs="Calibri"/>
          <w:b/>
          <w:color w:val="009999"/>
        </w:rPr>
        <w:t xml:space="preserve">@arc4.co.uk  </w:t>
      </w:r>
    </w:p>
    <w:p w14:paraId="32307296" w14:textId="73F037FD" w:rsidR="00F22269" w:rsidRPr="00412F6E" w:rsidRDefault="00F22269" w:rsidP="00F22269">
      <w:pPr>
        <w:tabs>
          <w:tab w:val="left" w:pos="1843"/>
        </w:tabs>
        <w:spacing w:before="0" w:after="0"/>
        <w:rPr>
          <w:rFonts w:cs="Calibri"/>
          <w:b/>
          <w:color w:val="009999"/>
        </w:rPr>
      </w:pPr>
      <w:r w:rsidRPr="00412F6E">
        <w:rPr>
          <w:rFonts w:cs="Calibri"/>
          <w:b/>
          <w:bCs/>
          <w:color w:val="009999"/>
        </w:rPr>
        <w:t>Telephone:</w:t>
      </w:r>
      <w:r w:rsidRPr="00412F6E">
        <w:rPr>
          <w:rFonts w:cs="Calibri"/>
          <w:b/>
          <w:bCs/>
          <w:color w:val="009999"/>
        </w:rPr>
        <w:tab/>
      </w:r>
      <w:r w:rsidR="002F0D71">
        <w:rPr>
          <w:rFonts w:cstheme="minorHAnsi"/>
          <w:b/>
          <w:bCs/>
          <w:color w:val="009999"/>
        </w:rPr>
        <w:t>0800 612 9133</w:t>
      </w:r>
    </w:p>
    <w:p w14:paraId="07A8AE00" w14:textId="77777777" w:rsidR="00F22269" w:rsidRPr="00412F6E" w:rsidRDefault="00F22269" w:rsidP="00F22269">
      <w:pPr>
        <w:tabs>
          <w:tab w:val="left" w:pos="1843"/>
        </w:tabs>
        <w:spacing w:before="0" w:after="0"/>
        <w:rPr>
          <w:rFonts w:cs="Calibri"/>
          <w:b/>
          <w:bCs/>
          <w:color w:val="009999"/>
        </w:rPr>
      </w:pPr>
      <w:r w:rsidRPr="00412F6E">
        <w:rPr>
          <w:rFonts w:cs="Calibri"/>
          <w:b/>
          <w:bCs/>
          <w:color w:val="009999"/>
        </w:rPr>
        <w:t xml:space="preserve">Website:  </w:t>
      </w:r>
      <w:r w:rsidRPr="00412F6E">
        <w:rPr>
          <w:rFonts w:cs="Calibri"/>
          <w:b/>
          <w:bCs/>
          <w:color w:val="009999"/>
        </w:rPr>
        <w:tab/>
      </w:r>
      <w:hyperlink r:id="rId9" w:history="1">
        <w:r w:rsidRPr="00412F6E">
          <w:rPr>
            <w:rStyle w:val="Hyperlink"/>
            <w:rFonts w:cs="Calibri"/>
            <w:b/>
            <w:color w:val="009999"/>
          </w:rPr>
          <w:t>www</w:t>
        </w:r>
        <w:r w:rsidRPr="00412F6E">
          <w:rPr>
            <w:rFonts w:cs="Calibri"/>
            <w:b/>
            <w:bCs/>
            <w:color w:val="009999"/>
            <w:u w:val="single"/>
          </w:rPr>
          <w:t>.arc4.co.uk</w:t>
        </w:r>
      </w:hyperlink>
      <w:r w:rsidRPr="00412F6E">
        <w:rPr>
          <w:rFonts w:cs="Calibri"/>
          <w:b/>
          <w:bCs/>
          <w:color w:val="009999"/>
        </w:rPr>
        <w:t xml:space="preserve"> </w:t>
      </w:r>
    </w:p>
    <w:p w14:paraId="6D27F0BE" w14:textId="29443E3F" w:rsidR="00F22269" w:rsidRPr="00412F6E" w:rsidRDefault="00F22269" w:rsidP="00F22269">
      <w:pPr>
        <w:pStyle w:val="NormalWeb"/>
        <w:shd w:val="clear" w:color="auto" w:fill="FFFFFF"/>
        <w:rPr>
          <w:rFonts w:ascii="Calibri" w:hAnsi="Calibri" w:cs="Calibri"/>
          <w:i/>
          <w:iCs/>
          <w:color w:val="009999"/>
          <w:sz w:val="18"/>
          <w:szCs w:val="20"/>
        </w:rPr>
      </w:pPr>
      <w:r w:rsidRPr="00412F6E">
        <w:rPr>
          <w:rFonts w:ascii="Calibri" w:hAnsi="Calibri" w:cs="Calibri"/>
          <w:i/>
          <w:iCs/>
          <w:color w:val="009999"/>
          <w:sz w:val="18"/>
          <w:szCs w:val="20"/>
        </w:rPr>
        <w:t>© 201</w:t>
      </w:r>
      <w:r w:rsidR="00A15D28">
        <w:rPr>
          <w:rFonts w:ascii="Calibri" w:hAnsi="Calibri" w:cs="Calibri"/>
          <w:i/>
          <w:iCs/>
          <w:color w:val="009999"/>
          <w:sz w:val="18"/>
          <w:szCs w:val="20"/>
        </w:rPr>
        <w:t>8</w:t>
      </w:r>
      <w:r w:rsidRPr="00412F6E">
        <w:rPr>
          <w:rFonts w:ascii="Calibri" w:hAnsi="Calibri" w:cs="Calibri"/>
          <w:i/>
          <w:iCs/>
          <w:color w:val="009999"/>
          <w:sz w:val="18"/>
          <w:szCs w:val="20"/>
        </w:rPr>
        <w:t xml:space="preserve"> arc</w:t>
      </w:r>
      <w:r w:rsidRPr="00412F6E">
        <w:rPr>
          <w:rFonts w:ascii="Calibri" w:hAnsi="Calibri" w:cs="Calibri"/>
          <w:i/>
          <w:iCs/>
          <w:color w:val="009999"/>
          <w:sz w:val="18"/>
          <w:szCs w:val="20"/>
          <w:vertAlign w:val="superscript"/>
        </w:rPr>
        <w:t>4</w:t>
      </w:r>
      <w:r w:rsidRPr="00412F6E">
        <w:rPr>
          <w:rFonts w:ascii="Calibri" w:hAnsi="Calibri" w:cs="Calibri"/>
          <w:i/>
          <w:iCs/>
          <w:color w:val="009999"/>
          <w:sz w:val="18"/>
          <w:szCs w:val="20"/>
        </w:rPr>
        <w:t xml:space="preserve"> Limited (Company No. 06205180)</w:t>
      </w:r>
    </w:p>
    <w:p w14:paraId="304B9273" w14:textId="77777777" w:rsidR="00F22269" w:rsidRDefault="00F22269" w:rsidP="00F22269">
      <w:pPr>
        <w:spacing w:before="0" w:after="0"/>
        <w:jc w:val="left"/>
        <w:rPr>
          <w:rFonts w:cs="Arial"/>
          <w:i/>
          <w:iCs/>
          <w:color w:val="009999"/>
          <w:sz w:val="18"/>
          <w:szCs w:val="20"/>
          <w:lang w:eastAsia="en-GB"/>
        </w:rPr>
        <w:sectPr w:rsidR="00F22269" w:rsidSect="00F22269">
          <w:headerReference w:type="default" r:id="rId10"/>
          <w:footerReference w:type="default" r:id="rId11"/>
          <w:pgSz w:w="11906" w:h="16838"/>
          <w:pgMar w:top="1440" w:right="1440" w:bottom="1134" w:left="1440" w:header="708" w:footer="708" w:gutter="0"/>
          <w:cols w:space="708"/>
          <w:titlePg/>
          <w:docGrid w:linePitch="360"/>
        </w:sectPr>
      </w:pPr>
    </w:p>
    <w:p w14:paraId="66850267" w14:textId="77777777" w:rsidR="004513B2" w:rsidRPr="00AB6B62" w:rsidRDefault="004513B2" w:rsidP="004513B2">
      <w:pPr>
        <w:pStyle w:val="TOCHeading1"/>
      </w:pPr>
      <w:bookmarkStart w:id="2" w:name="_Toc99359406"/>
      <w:r>
        <w:lastRenderedPageBreak/>
        <w:t xml:space="preserve">Table of </w:t>
      </w:r>
      <w:r w:rsidRPr="00631CB3">
        <w:t>Contents</w:t>
      </w:r>
    </w:p>
    <w:p w14:paraId="762D84F8" w14:textId="1C225AF5" w:rsidR="00897995" w:rsidRDefault="001C023A" w:rsidP="00897995">
      <w:pPr>
        <w:pStyle w:val="TOC1"/>
        <w:rPr>
          <w:rFonts w:asciiTheme="minorHAnsi" w:eastAsiaTheme="minorEastAsia" w:hAnsiTheme="minorHAnsi" w:cstheme="minorBidi"/>
          <w:sz w:val="22"/>
          <w:szCs w:val="22"/>
          <w:lang w:eastAsia="en-GB"/>
        </w:rPr>
      </w:pPr>
      <w:r>
        <w:fldChar w:fldCharType="begin"/>
      </w:r>
      <w:r>
        <w:instrText xml:space="preserve"> TOC \o "1-2" \h \z \u </w:instrText>
      </w:r>
      <w:r>
        <w:fldChar w:fldCharType="separate"/>
      </w:r>
      <w:hyperlink w:anchor="_Toc532812377" w:history="1">
        <w:r w:rsidR="00897995" w:rsidRPr="00AF3812">
          <w:rPr>
            <w:rStyle w:val="Hyperlink"/>
            <w:rFonts w:cs="Calibri"/>
          </w:rPr>
          <w:t>Executive Summary</w:t>
        </w:r>
        <w:r w:rsidR="00897995">
          <w:rPr>
            <w:webHidden/>
          </w:rPr>
          <w:tab/>
        </w:r>
        <w:r w:rsidR="00897995">
          <w:rPr>
            <w:webHidden/>
          </w:rPr>
          <w:fldChar w:fldCharType="begin"/>
        </w:r>
        <w:r w:rsidR="00897995">
          <w:rPr>
            <w:webHidden/>
          </w:rPr>
          <w:instrText xml:space="preserve"> PAGEREF _Toc532812377 \h </w:instrText>
        </w:r>
        <w:r w:rsidR="00897995">
          <w:rPr>
            <w:webHidden/>
          </w:rPr>
        </w:r>
        <w:r w:rsidR="00897995">
          <w:rPr>
            <w:webHidden/>
          </w:rPr>
          <w:fldChar w:fldCharType="separate"/>
        </w:r>
        <w:r w:rsidR="004C7DEC">
          <w:rPr>
            <w:webHidden/>
          </w:rPr>
          <w:t>8</w:t>
        </w:r>
        <w:r w:rsidR="00897995">
          <w:rPr>
            <w:webHidden/>
          </w:rPr>
          <w:fldChar w:fldCharType="end"/>
        </w:r>
      </w:hyperlink>
    </w:p>
    <w:p w14:paraId="4B530EEF" w14:textId="23F79EBF" w:rsidR="00897995" w:rsidRDefault="00A65AAD">
      <w:pPr>
        <w:pStyle w:val="TOC2"/>
        <w:rPr>
          <w:rFonts w:asciiTheme="minorHAnsi" w:eastAsiaTheme="minorEastAsia" w:hAnsiTheme="minorHAnsi" w:cstheme="minorBidi"/>
          <w:bCs w:val="0"/>
          <w:noProof/>
          <w:sz w:val="22"/>
          <w:szCs w:val="22"/>
          <w:lang w:eastAsia="en-GB"/>
        </w:rPr>
      </w:pPr>
      <w:hyperlink w:anchor="_Toc532812378" w:history="1">
        <w:r w:rsidR="00897995" w:rsidRPr="00AF3812">
          <w:rPr>
            <w:rStyle w:val="Hyperlink"/>
            <w:noProof/>
          </w:rPr>
          <w:t>Introduction</w:t>
        </w:r>
        <w:r w:rsidR="00897995">
          <w:rPr>
            <w:noProof/>
            <w:webHidden/>
          </w:rPr>
          <w:tab/>
        </w:r>
        <w:r w:rsidR="00897995">
          <w:rPr>
            <w:noProof/>
            <w:webHidden/>
          </w:rPr>
          <w:fldChar w:fldCharType="begin"/>
        </w:r>
        <w:r w:rsidR="00897995">
          <w:rPr>
            <w:noProof/>
            <w:webHidden/>
          </w:rPr>
          <w:instrText xml:space="preserve"> PAGEREF _Toc532812378 \h </w:instrText>
        </w:r>
        <w:r w:rsidR="00897995">
          <w:rPr>
            <w:noProof/>
            <w:webHidden/>
          </w:rPr>
        </w:r>
        <w:r w:rsidR="00897995">
          <w:rPr>
            <w:noProof/>
            <w:webHidden/>
          </w:rPr>
          <w:fldChar w:fldCharType="separate"/>
        </w:r>
        <w:r w:rsidR="004C7DEC">
          <w:rPr>
            <w:noProof/>
            <w:webHidden/>
          </w:rPr>
          <w:t>8</w:t>
        </w:r>
        <w:r w:rsidR="00897995">
          <w:rPr>
            <w:noProof/>
            <w:webHidden/>
          </w:rPr>
          <w:fldChar w:fldCharType="end"/>
        </w:r>
      </w:hyperlink>
    </w:p>
    <w:p w14:paraId="4C70D5F1" w14:textId="7EA24FCE" w:rsidR="00897995" w:rsidRDefault="00A65AAD">
      <w:pPr>
        <w:pStyle w:val="TOC2"/>
        <w:rPr>
          <w:rFonts w:asciiTheme="minorHAnsi" w:eastAsiaTheme="minorEastAsia" w:hAnsiTheme="minorHAnsi" w:cstheme="minorBidi"/>
          <w:bCs w:val="0"/>
          <w:noProof/>
          <w:sz w:val="22"/>
          <w:szCs w:val="22"/>
          <w:lang w:eastAsia="en-GB"/>
        </w:rPr>
      </w:pPr>
      <w:hyperlink w:anchor="_Toc532812379" w:history="1">
        <w:r w:rsidR="00897995" w:rsidRPr="00AF3812">
          <w:rPr>
            <w:rStyle w:val="Hyperlink"/>
            <w:rFonts w:cs="Calibri"/>
            <w:noProof/>
          </w:rPr>
          <w:t xml:space="preserve">Housing market </w:t>
        </w:r>
        <w:r w:rsidR="00897995" w:rsidRPr="00AF3812">
          <w:rPr>
            <w:rStyle w:val="Hyperlink"/>
            <w:noProof/>
          </w:rPr>
          <w:t>context</w:t>
        </w:r>
        <w:r w:rsidR="00897995">
          <w:rPr>
            <w:noProof/>
            <w:webHidden/>
          </w:rPr>
          <w:tab/>
        </w:r>
        <w:r w:rsidR="00897995">
          <w:rPr>
            <w:noProof/>
            <w:webHidden/>
          </w:rPr>
          <w:fldChar w:fldCharType="begin"/>
        </w:r>
        <w:r w:rsidR="00897995">
          <w:rPr>
            <w:noProof/>
            <w:webHidden/>
          </w:rPr>
          <w:instrText xml:space="preserve"> PAGEREF _Toc532812379 \h </w:instrText>
        </w:r>
        <w:r w:rsidR="00897995">
          <w:rPr>
            <w:noProof/>
            <w:webHidden/>
          </w:rPr>
        </w:r>
        <w:r w:rsidR="00897995">
          <w:rPr>
            <w:noProof/>
            <w:webHidden/>
          </w:rPr>
          <w:fldChar w:fldCharType="separate"/>
        </w:r>
        <w:r w:rsidR="004C7DEC">
          <w:rPr>
            <w:noProof/>
            <w:webHidden/>
          </w:rPr>
          <w:t>8</w:t>
        </w:r>
        <w:r w:rsidR="00897995">
          <w:rPr>
            <w:noProof/>
            <w:webHidden/>
          </w:rPr>
          <w:fldChar w:fldCharType="end"/>
        </w:r>
      </w:hyperlink>
    </w:p>
    <w:p w14:paraId="1FCC66B4" w14:textId="3AA35053" w:rsidR="00897995" w:rsidRDefault="00A65AAD">
      <w:pPr>
        <w:pStyle w:val="TOC2"/>
        <w:rPr>
          <w:rFonts w:asciiTheme="minorHAnsi" w:eastAsiaTheme="minorEastAsia" w:hAnsiTheme="minorHAnsi" w:cstheme="minorBidi"/>
          <w:bCs w:val="0"/>
          <w:noProof/>
          <w:sz w:val="22"/>
          <w:szCs w:val="22"/>
          <w:lang w:eastAsia="en-GB"/>
        </w:rPr>
      </w:pPr>
      <w:hyperlink w:anchor="_Toc532812380" w:history="1">
        <w:r w:rsidR="00897995" w:rsidRPr="00AF3812">
          <w:rPr>
            <w:rStyle w:val="Hyperlink"/>
            <w:rFonts w:cs="Calibri"/>
            <w:noProof/>
          </w:rPr>
          <w:t xml:space="preserve">Overall dwelling </w:t>
        </w:r>
        <w:r w:rsidR="00897995" w:rsidRPr="00AF3812">
          <w:rPr>
            <w:rStyle w:val="Hyperlink"/>
            <w:noProof/>
          </w:rPr>
          <w:t>need</w:t>
        </w:r>
        <w:r w:rsidR="00897995" w:rsidRPr="00AF3812">
          <w:rPr>
            <w:rStyle w:val="Hyperlink"/>
            <w:rFonts w:cs="Calibri"/>
            <w:noProof/>
          </w:rPr>
          <w:t>, type and mix</w:t>
        </w:r>
        <w:r w:rsidR="00897995">
          <w:rPr>
            <w:noProof/>
            <w:webHidden/>
          </w:rPr>
          <w:tab/>
        </w:r>
        <w:r w:rsidR="00897995">
          <w:rPr>
            <w:noProof/>
            <w:webHidden/>
          </w:rPr>
          <w:fldChar w:fldCharType="begin"/>
        </w:r>
        <w:r w:rsidR="00897995">
          <w:rPr>
            <w:noProof/>
            <w:webHidden/>
          </w:rPr>
          <w:instrText xml:space="preserve"> PAGEREF _Toc532812380 \h </w:instrText>
        </w:r>
        <w:r w:rsidR="00897995">
          <w:rPr>
            <w:noProof/>
            <w:webHidden/>
          </w:rPr>
        </w:r>
        <w:r w:rsidR="00897995">
          <w:rPr>
            <w:noProof/>
            <w:webHidden/>
          </w:rPr>
          <w:fldChar w:fldCharType="separate"/>
        </w:r>
        <w:r w:rsidR="004C7DEC">
          <w:rPr>
            <w:noProof/>
            <w:webHidden/>
          </w:rPr>
          <w:t>9</w:t>
        </w:r>
        <w:r w:rsidR="00897995">
          <w:rPr>
            <w:noProof/>
            <w:webHidden/>
          </w:rPr>
          <w:fldChar w:fldCharType="end"/>
        </w:r>
      </w:hyperlink>
    </w:p>
    <w:p w14:paraId="7F8CCD4C" w14:textId="6711BD97" w:rsidR="00897995" w:rsidRDefault="00A65AAD">
      <w:pPr>
        <w:pStyle w:val="TOC2"/>
        <w:rPr>
          <w:rFonts w:asciiTheme="minorHAnsi" w:eastAsiaTheme="minorEastAsia" w:hAnsiTheme="minorHAnsi" w:cstheme="minorBidi"/>
          <w:bCs w:val="0"/>
          <w:noProof/>
          <w:sz w:val="22"/>
          <w:szCs w:val="22"/>
          <w:lang w:eastAsia="en-GB"/>
        </w:rPr>
      </w:pPr>
      <w:hyperlink w:anchor="_Toc532812381" w:history="1">
        <w:r w:rsidR="00897995" w:rsidRPr="00AF3812">
          <w:rPr>
            <w:rStyle w:val="Hyperlink"/>
            <w:rFonts w:cs="Calibri"/>
            <w:noProof/>
          </w:rPr>
          <w:t>Older person, adapted and specialist need</w:t>
        </w:r>
        <w:r w:rsidR="00897995">
          <w:rPr>
            <w:noProof/>
            <w:webHidden/>
          </w:rPr>
          <w:tab/>
        </w:r>
        <w:r w:rsidR="00897995">
          <w:rPr>
            <w:noProof/>
            <w:webHidden/>
          </w:rPr>
          <w:fldChar w:fldCharType="begin"/>
        </w:r>
        <w:r w:rsidR="00897995">
          <w:rPr>
            <w:noProof/>
            <w:webHidden/>
          </w:rPr>
          <w:instrText xml:space="preserve"> PAGEREF _Toc532812381 \h </w:instrText>
        </w:r>
        <w:r w:rsidR="00897995">
          <w:rPr>
            <w:noProof/>
            <w:webHidden/>
          </w:rPr>
        </w:r>
        <w:r w:rsidR="00897995">
          <w:rPr>
            <w:noProof/>
            <w:webHidden/>
          </w:rPr>
          <w:fldChar w:fldCharType="separate"/>
        </w:r>
        <w:r w:rsidR="004C7DEC">
          <w:rPr>
            <w:noProof/>
            <w:webHidden/>
          </w:rPr>
          <w:t>10</w:t>
        </w:r>
        <w:r w:rsidR="00897995">
          <w:rPr>
            <w:noProof/>
            <w:webHidden/>
          </w:rPr>
          <w:fldChar w:fldCharType="end"/>
        </w:r>
      </w:hyperlink>
    </w:p>
    <w:p w14:paraId="57ACC881" w14:textId="1DDB9C4C" w:rsidR="00897995" w:rsidRDefault="00A65AAD" w:rsidP="00897995">
      <w:pPr>
        <w:pStyle w:val="TOC1"/>
        <w:rPr>
          <w:rFonts w:asciiTheme="minorHAnsi" w:eastAsiaTheme="minorEastAsia" w:hAnsiTheme="minorHAnsi" w:cstheme="minorBidi"/>
          <w:sz w:val="22"/>
          <w:szCs w:val="22"/>
          <w:lang w:eastAsia="en-GB"/>
        </w:rPr>
      </w:pPr>
      <w:hyperlink w:anchor="_Toc532812382" w:history="1">
        <w:r w:rsidR="00897995" w:rsidRPr="00AF3812">
          <w:rPr>
            <w:rStyle w:val="Hyperlink"/>
            <w14:scene3d>
              <w14:camera w14:prst="orthographicFront"/>
              <w14:lightRig w14:rig="threePt" w14:dir="t">
                <w14:rot w14:lat="0" w14:lon="0" w14:rev="0"/>
              </w14:lightRig>
            </w14:scene3d>
          </w:rPr>
          <w:t>1.</w:t>
        </w:r>
        <w:r w:rsidR="00897995">
          <w:rPr>
            <w:rFonts w:asciiTheme="minorHAnsi" w:eastAsiaTheme="minorEastAsia" w:hAnsiTheme="minorHAnsi" w:cstheme="minorBidi"/>
            <w:sz w:val="22"/>
            <w:szCs w:val="22"/>
            <w:lang w:eastAsia="en-GB"/>
          </w:rPr>
          <w:tab/>
        </w:r>
        <w:r w:rsidR="00897995" w:rsidRPr="00AF3812">
          <w:rPr>
            <w:rStyle w:val="Hyperlink"/>
          </w:rPr>
          <w:t>Introduction</w:t>
        </w:r>
        <w:r w:rsidR="00897995">
          <w:rPr>
            <w:webHidden/>
          </w:rPr>
          <w:tab/>
        </w:r>
        <w:r w:rsidR="00897995">
          <w:rPr>
            <w:webHidden/>
          </w:rPr>
          <w:fldChar w:fldCharType="begin"/>
        </w:r>
        <w:r w:rsidR="00897995">
          <w:rPr>
            <w:webHidden/>
          </w:rPr>
          <w:instrText xml:space="preserve"> PAGEREF _Toc532812382 \h </w:instrText>
        </w:r>
        <w:r w:rsidR="00897995">
          <w:rPr>
            <w:webHidden/>
          </w:rPr>
        </w:r>
        <w:r w:rsidR="00897995">
          <w:rPr>
            <w:webHidden/>
          </w:rPr>
          <w:fldChar w:fldCharType="separate"/>
        </w:r>
        <w:r w:rsidR="004C7DEC">
          <w:rPr>
            <w:webHidden/>
          </w:rPr>
          <w:t>11</w:t>
        </w:r>
        <w:r w:rsidR="00897995">
          <w:rPr>
            <w:webHidden/>
          </w:rPr>
          <w:fldChar w:fldCharType="end"/>
        </w:r>
      </w:hyperlink>
    </w:p>
    <w:p w14:paraId="1A94EC49" w14:textId="31985EB3" w:rsidR="00897995" w:rsidRDefault="00A65AAD">
      <w:pPr>
        <w:pStyle w:val="TOC2"/>
        <w:rPr>
          <w:rFonts w:asciiTheme="minorHAnsi" w:eastAsiaTheme="minorEastAsia" w:hAnsiTheme="minorHAnsi" w:cstheme="minorBidi"/>
          <w:bCs w:val="0"/>
          <w:noProof/>
          <w:sz w:val="22"/>
          <w:szCs w:val="22"/>
          <w:lang w:eastAsia="en-GB"/>
        </w:rPr>
      </w:pPr>
      <w:hyperlink w:anchor="_Toc532812383" w:history="1">
        <w:r w:rsidR="00897995" w:rsidRPr="00AF3812">
          <w:rPr>
            <w:rStyle w:val="Hyperlink"/>
            <w:noProof/>
          </w:rPr>
          <w:t>Background and objectives</w:t>
        </w:r>
        <w:r w:rsidR="00897995">
          <w:rPr>
            <w:noProof/>
            <w:webHidden/>
          </w:rPr>
          <w:tab/>
        </w:r>
        <w:r w:rsidR="00897995">
          <w:rPr>
            <w:noProof/>
            <w:webHidden/>
          </w:rPr>
          <w:fldChar w:fldCharType="begin"/>
        </w:r>
        <w:r w:rsidR="00897995">
          <w:rPr>
            <w:noProof/>
            <w:webHidden/>
          </w:rPr>
          <w:instrText xml:space="preserve"> PAGEREF _Toc532812383 \h </w:instrText>
        </w:r>
        <w:r w:rsidR="00897995">
          <w:rPr>
            <w:noProof/>
            <w:webHidden/>
          </w:rPr>
        </w:r>
        <w:r w:rsidR="00897995">
          <w:rPr>
            <w:noProof/>
            <w:webHidden/>
          </w:rPr>
          <w:fldChar w:fldCharType="separate"/>
        </w:r>
        <w:r w:rsidR="004C7DEC">
          <w:rPr>
            <w:noProof/>
            <w:webHidden/>
          </w:rPr>
          <w:t>11</w:t>
        </w:r>
        <w:r w:rsidR="00897995">
          <w:rPr>
            <w:noProof/>
            <w:webHidden/>
          </w:rPr>
          <w:fldChar w:fldCharType="end"/>
        </w:r>
      </w:hyperlink>
    </w:p>
    <w:p w14:paraId="5E3963D1" w14:textId="7F5523D9" w:rsidR="00897995" w:rsidRDefault="00A65AAD">
      <w:pPr>
        <w:pStyle w:val="TOC2"/>
        <w:rPr>
          <w:rFonts w:asciiTheme="minorHAnsi" w:eastAsiaTheme="minorEastAsia" w:hAnsiTheme="minorHAnsi" w:cstheme="minorBidi"/>
          <w:bCs w:val="0"/>
          <w:noProof/>
          <w:sz w:val="22"/>
          <w:szCs w:val="22"/>
          <w:lang w:eastAsia="en-GB"/>
        </w:rPr>
      </w:pPr>
      <w:hyperlink w:anchor="_Toc532812384" w:history="1">
        <w:r w:rsidR="00897995" w:rsidRPr="00AF3812">
          <w:rPr>
            <w:rStyle w:val="Hyperlink"/>
            <w:rFonts w:cs="Calibri"/>
            <w:noProof/>
          </w:rPr>
          <w:t>Government policy and guidance</w:t>
        </w:r>
        <w:r w:rsidR="00897995">
          <w:rPr>
            <w:noProof/>
            <w:webHidden/>
          </w:rPr>
          <w:tab/>
        </w:r>
        <w:r w:rsidR="00897995">
          <w:rPr>
            <w:noProof/>
            <w:webHidden/>
          </w:rPr>
          <w:fldChar w:fldCharType="begin"/>
        </w:r>
        <w:r w:rsidR="00897995">
          <w:rPr>
            <w:noProof/>
            <w:webHidden/>
          </w:rPr>
          <w:instrText xml:space="preserve"> PAGEREF _Toc532812384 \h </w:instrText>
        </w:r>
        <w:r w:rsidR="00897995">
          <w:rPr>
            <w:noProof/>
            <w:webHidden/>
          </w:rPr>
        </w:r>
        <w:r w:rsidR="00897995">
          <w:rPr>
            <w:noProof/>
            <w:webHidden/>
          </w:rPr>
          <w:fldChar w:fldCharType="separate"/>
        </w:r>
        <w:r w:rsidR="004C7DEC">
          <w:rPr>
            <w:noProof/>
            <w:webHidden/>
          </w:rPr>
          <w:t>11</w:t>
        </w:r>
        <w:r w:rsidR="00897995">
          <w:rPr>
            <w:noProof/>
            <w:webHidden/>
          </w:rPr>
          <w:fldChar w:fldCharType="end"/>
        </w:r>
      </w:hyperlink>
    </w:p>
    <w:p w14:paraId="5AB724B6" w14:textId="4695FB55" w:rsidR="00897995" w:rsidRDefault="00A65AAD">
      <w:pPr>
        <w:pStyle w:val="TOC2"/>
        <w:rPr>
          <w:rFonts w:asciiTheme="minorHAnsi" w:eastAsiaTheme="minorEastAsia" w:hAnsiTheme="minorHAnsi" w:cstheme="minorBidi"/>
          <w:bCs w:val="0"/>
          <w:noProof/>
          <w:sz w:val="22"/>
          <w:szCs w:val="22"/>
          <w:lang w:eastAsia="en-GB"/>
        </w:rPr>
      </w:pPr>
      <w:hyperlink w:anchor="_Toc532812385" w:history="1">
        <w:r w:rsidR="00897995" w:rsidRPr="00AF3812">
          <w:rPr>
            <w:rStyle w:val="Hyperlink"/>
            <w:rFonts w:cs="Calibri"/>
            <w:noProof/>
          </w:rPr>
          <w:t>Definitions</w:t>
        </w:r>
        <w:r w:rsidR="00897995">
          <w:rPr>
            <w:noProof/>
            <w:webHidden/>
          </w:rPr>
          <w:tab/>
        </w:r>
        <w:r w:rsidR="00897995">
          <w:rPr>
            <w:noProof/>
            <w:webHidden/>
          </w:rPr>
          <w:fldChar w:fldCharType="begin"/>
        </w:r>
        <w:r w:rsidR="00897995">
          <w:rPr>
            <w:noProof/>
            <w:webHidden/>
          </w:rPr>
          <w:instrText xml:space="preserve"> PAGEREF _Toc532812385 \h </w:instrText>
        </w:r>
        <w:r w:rsidR="00897995">
          <w:rPr>
            <w:noProof/>
            <w:webHidden/>
          </w:rPr>
        </w:r>
        <w:r w:rsidR="00897995">
          <w:rPr>
            <w:noProof/>
            <w:webHidden/>
          </w:rPr>
          <w:fldChar w:fldCharType="separate"/>
        </w:r>
        <w:r w:rsidR="004C7DEC">
          <w:rPr>
            <w:noProof/>
            <w:webHidden/>
          </w:rPr>
          <w:t>12</w:t>
        </w:r>
        <w:r w:rsidR="00897995">
          <w:rPr>
            <w:noProof/>
            <w:webHidden/>
          </w:rPr>
          <w:fldChar w:fldCharType="end"/>
        </w:r>
      </w:hyperlink>
    </w:p>
    <w:p w14:paraId="3F084783" w14:textId="7E0F3041" w:rsidR="00897995" w:rsidRDefault="00A65AAD">
      <w:pPr>
        <w:pStyle w:val="TOC2"/>
        <w:rPr>
          <w:rFonts w:asciiTheme="minorHAnsi" w:eastAsiaTheme="minorEastAsia" w:hAnsiTheme="minorHAnsi" w:cstheme="minorBidi"/>
          <w:bCs w:val="0"/>
          <w:noProof/>
          <w:sz w:val="22"/>
          <w:szCs w:val="22"/>
          <w:lang w:eastAsia="en-GB"/>
        </w:rPr>
      </w:pPr>
      <w:hyperlink w:anchor="_Toc532812386" w:history="1">
        <w:r w:rsidR="00897995" w:rsidRPr="00AF3812">
          <w:rPr>
            <w:rStyle w:val="Hyperlink"/>
            <w:rFonts w:cs="Calibri"/>
            <w:noProof/>
          </w:rPr>
          <w:t>Geography</w:t>
        </w:r>
        <w:r w:rsidR="00897995">
          <w:rPr>
            <w:noProof/>
            <w:webHidden/>
          </w:rPr>
          <w:tab/>
        </w:r>
        <w:r w:rsidR="00897995">
          <w:rPr>
            <w:noProof/>
            <w:webHidden/>
          </w:rPr>
          <w:fldChar w:fldCharType="begin"/>
        </w:r>
        <w:r w:rsidR="00897995">
          <w:rPr>
            <w:noProof/>
            <w:webHidden/>
          </w:rPr>
          <w:instrText xml:space="preserve"> PAGEREF _Toc532812386 \h </w:instrText>
        </w:r>
        <w:r w:rsidR="00897995">
          <w:rPr>
            <w:noProof/>
            <w:webHidden/>
          </w:rPr>
        </w:r>
        <w:r w:rsidR="00897995">
          <w:rPr>
            <w:noProof/>
            <w:webHidden/>
          </w:rPr>
          <w:fldChar w:fldCharType="separate"/>
        </w:r>
        <w:r w:rsidR="004C7DEC">
          <w:rPr>
            <w:noProof/>
            <w:webHidden/>
          </w:rPr>
          <w:t>13</w:t>
        </w:r>
        <w:r w:rsidR="00897995">
          <w:rPr>
            <w:noProof/>
            <w:webHidden/>
          </w:rPr>
          <w:fldChar w:fldCharType="end"/>
        </w:r>
      </w:hyperlink>
    </w:p>
    <w:p w14:paraId="3BAC4DEC" w14:textId="6E85C7C0" w:rsidR="00897995" w:rsidRDefault="00A65AAD">
      <w:pPr>
        <w:pStyle w:val="TOC2"/>
        <w:rPr>
          <w:rFonts w:asciiTheme="minorHAnsi" w:eastAsiaTheme="minorEastAsia" w:hAnsiTheme="minorHAnsi" w:cstheme="minorBidi"/>
          <w:bCs w:val="0"/>
          <w:noProof/>
          <w:sz w:val="22"/>
          <w:szCs w:val="22"/>
          <w:lang w:eastAsia="en-GB"/>
        </w:rPr>
      </w:pPr>
      <w:hyperlink w:anchor="_Toc532812387" w:history="1">
        <w:r w:rsidR="00897995" w:rsidRPr="00AF3812">
          <w:rPr>
            <w:rStyle w:val="Hyperlink"/>
            <w:noProof/>
          </w:rPr>
          <w:t>Research methodology</w:t>
        </w:r>
        <w:r w:rsidR="00897995">
          <w:rPr>
            <w:noProof/>
            <w:webHidden/>
          </w:rPr>
          <w:tab/>
        </w:r>
        <w:r w:rsidR="00897995">
          <w:rPr>
            <w:noProof/>
            <w:webHidden/>
          </w:rPr>
          <w:fldChar w:fldCharType="begin"/>
        </w:r>
        <w:r w:rsidR="00897995">
          <w:rPr>
            <w:noProof/>
            <w:webHidden/>
          </w:rPr>
          <w:instrText xml:space="preserve"> PAGEREF _Toc532812387 \h </w:instrText>
        </w:r>
        <w:r w:rsidR="00897995">
          <w:rPr>
            <w:noProof/>
            <w:webHidden/>
          </w:rPr>
        </w:r>
        <w:r w:rsidR="00897995">
          <w:rPr>
            <w:noProof/>
            <w:webHidden/>
          </w:rPr>
          <w:fldChar w:fldCharType="separate"/>
        </w:r>
        <w:r w:rsidR="004C7DEC">
          <w:rPr>
            <w:noProof/>
            <w:webHidden/>
          </w:rPr>
          <w:t>15</w:t>
        </w:r>
        <w:r w:rsidR="00897995">
          <w:rPr>
            <w:noProof/>
            <w:webHidden/>
          </w:rPr>
          <w:fldChar w:fldCharType="end"/>
        </w:r>
      </w:hyperlink>
    </w:p>
    <w:p w14:paraId="5C362EB3" w14:textId="5E1CA3D2" w:rsidR="00897995" w:rsidRDefault="00A65AAD">
      <w:pPr>
        <w:pStyle w:val="TOC2"/>
        <w:rPr>
          <w:rFonts w:asciiTheme="minorHAnsi" w:eastAsiaTheme="minorEastAsia" w:hAnsiTheme="minorHAnsi" w:cstheme="minorBidi"/>
          <w:bCs w:val="0"/>
          <w:noProof/>
          <w:sz w:val="22"/>
          <w:szCs w:val="22"/>
          <w:lang w:eastAsia="en-GB"/>
        </w:rPr>
      </w:pPr>
      <w:hyperlink w:anchor="_Toc532812388" w:history="1">
        <w:r w:rsidR="00897995" w:rsidRPr="00AF3812">
          <w:rPr>
            <w:rStyle w:val="Hyperlink"/>
            <w:rFonts w:cs="Calibri"/>
            <w:noProof/>
          </w:rPr>
          <w:t>Report structure</w:t>
        </w:r>
        <w:r w:rsidR="00897995">
          <w:rPr>
            <w:noProof/>
            <w:webHidden/>
          </w:rPr>
          <w:tab/>
        </w:r>
        <w:r w:rsidR="00897995">
          <w:rPr>
            <w:noProof/>
            <w:webHidden/>
          </w:rPr>
          <w:fldChar w:fldCharType="begin"/>
        </w:r>
        <w:r w:rsidR="00897995">
          <w:rPr>
            <w:noProof/>
            <w:webHidden/>
          </w:rPr>
          <w:instrText xml:space="preserve"> PAGEREF _Toc532812388 \h </w:instrText>
        </w:r>
        <w:r w:rsidR="00897995">
          <w:rPr>
            <w:noProof/>
            <w:webHidden/>
          </w:rPr>
        </w:r>
        <w:r w:rsidR="00897995">
          <w:rPr>
            <w:noProof/>
            <w:webHidden/>
          </w:rPr>
          <w:fldChar w:fldCharType="separate"/>
        </w:r>
        <w:r w:rsidR="004C7DEC">
          <w:rPr>
            <w:noProof/>
            <w:webHidden/>
          </w:rPr>
          <w:t>16</w:t>
        </w:r>
        <w:r w:rsidR="00897995">
          <w:rPr>
            <w:noProof/>
            <w:webHidden/>
          </w:rPr>
          <w:fldChar w:fldCharType="end"/>
        </w:r>
      </w:hyperlink>
    </w:p>
    <w:p w14:paraId="25AA6C4F" w14:textId="09D85143" w:rsidR="00897995" w:rsidRDefault="00A65AAD" w:rsidP="00897995">
      <w:pPr>
        <w:pStyle w:val="TOC1"/>
        <w:rPr>
          <w:rFonts w:asciiTheme="minorHAnsi" w:eastAsiaTheme="minorEastAsia" w:hAnsiTheme="minorHAnsi" w:cstheme="minorBidi"/>
          <w:sz w:val="22"/>
          <w:szCs w:val="22"/>
          <w:lang w:eastAsia="en-GB"/>
        </w:rPr>
      </w:pPr>
      <w:hyperlink w:anchor="_Toc532812389" w:history="1">
        <w:r w:rsidR="00897995" w:rsidRPr="00AF3812">
          <w:rPr>
            <w:rStyle w:val="Hyperlink"/>
            <w14:scene3d>
              <w14:camera w14:prst="orthographicFront"/>
              <w14:lightRig w14:rig="threePt" w14:dir="t">
                <w14:rot w14:lat="0" w14:lon="0" w14:rev="0"/>
              </w14:lightRig>
            </w14:scene3d>
          </w:rPr>
          <w:t>2.</w:t>
        </w:r>
        <w:r w:rsidR="00897995">
          <w:rPr>
            <w:rFonts w:asciiTheme="minorHAnsi" w:eastAsiaTheme="minorEastAsia" w:hAnsiTheme="minorHAnsi" w:cstheme="minorBidi"/>
            <w:sz w:val="22"/>
            <w:szCs w:val="22"/>
            <w:lang w:eastAsia="en-GB"/>
          </w:rPr>
          <w:tab/>
        </w:r>
        <w:r w:rsidR="00897995" w:rsidRPr="00AF3812">
          <w:rPr>
            <w:rStyle w:val="Hyperlink"/>
          </w:rPr>
          <w:t>Policy and strategic review</w:t>
        </w:r>
        <w:r w:rsidR="00897995">
          <w:rPr>
            <w:webHidden/>
          </w:rPr>
          <w:tab/>
        </w:r>
        <w:r w:rsidR="00897995">
          <w:rPr>
            <w:webHidden/>
          </w:rPr>
          <w:fldChar w:fldCharType="begin"/>
        </w:r>
        <w:r w:rsidR="00897995">
          <w:rPr>
            <w:webHidden/>
          </w:rPr>
          <w:instrText xml:space="preserve"> PAGEREF _Toc532812389 \h </w:instrText>
        </w:r>
        <w:r w:rsidR="00897995">
          <w:rPr>
            <w:webHidden/>
          </w:rPr>
        </w:r>
        <w:r w:rsidR="00897995">
          <w:rPr>
            <w:webHidden/>
          </w:rPr>
          <w:fldChar w:fldCharType="separate"/>
        </w:r>
        <w:r w:rsidR="004C7DEC">
          <w:rPr>
            <w:webHidden/>
          </w:rPr>
          <w:t>17</w:t>
        </w:r>
        <w:r w:rsidR="00897995">
          <w:rPr>
            <w:webHidden/>
          </w:rPr>
          <w:fldChar w:fldCharType="end"/>
        </w:r>
      </w:hyperlink>
    </w:p>
    <w:p w14:paraId="1609E007" w14:textId="12174146" w:rsidR="00897995" w:rsidRDefault="00A65AAD">
      <w:pPr>
        <w:pStyle w:val="TOC2"/>
        <w:rPr>
          <w:rFonts w:asciiTheme="minorHAnsi" w:eastAsiaTheme="minorEastAsia" w:hAnsiTheme="minorHAnsi" w:cstheme="minorBidi"/>
          <w:bCs w:val="0"/>
          <w:noProof/>
          <w:sz w:val="22"/>
          <w:szCs w:val="22"/>
          <w:lang w:eastAsia="en-GB"/>
        </w:rPr>
      </w:pPr>
      <w:hyperlink w:anchor="_Toc532812390" w:history="1">
        <w:r w:rsidR="00897995" w:rsidRPr="00AF3812">
          <w:rPr>
            <w:rStyle w:val="Hyperlink"/>
            <w:rFonts w:cs="Calibri"/>
            <w:noProof/>
          </w:rPr>
          <w:t>National context</w:t>
        </w:r>
        <w:r w:rsidR="00897995">
          <w:rPr>
            <w:noProof/>
            <w:webHidden/>
          </w:rPr>
          <w:tab/>
        </w:r>
        <w:r w:rsidR="00897995">
          <w:rPr>
            <w:noProof/>
            <w:webHidden/>
          </w:rPr>
          <w:fldChar w:fldCharType="begin"/>
        </w:r>
        <w:r w:rsidR="00897995">
          <w:rPr>
            <w:noProof/>
            <w:webHidden/>
          </w:rPr>
          <w:instrText xml:space="preserve"> PAGEREF _Toc532812390 \h </w:instrText>
        </w:r>
        <w:r w:rsidR="00897995">
          <w:rPr>
            <w:noProof/>
            <w:webHidden/>
          </w:rPr>
        </w:r>
        <w:r w:rsidR="00897995">
          <w:rPr>
            <w:noProof/>
            <w:webHidden/>
          </w:rPr>
          <w:fldChar w:fldCharType="separate"/>
        </w:r>
        <w:r w:rsidR="004C7DEC">
          <w:rPr>
            <w:noProof/>
            <w:webHidden/>
          </w:rPr>
          <w:t>17</w:t>
        </w:r>
        <w:r w:rsidR="00897995">
          <w:rPr>
            <w:noProof/>
            <w:webHidden/>
          </w:rPr>
          <w:fldChar w:fldCharType="end"/>
        </w:r>
      </w:hyperlink>
    </w:p>
    <w:p w14:paraId="13E43168" w14:textId="2FFA5179" w:rsidR="00897995" w:rsidRDefault="00A65AAD">
      <w:pPr>
        <w:pStyle w:val="TOC2"/>
        <w:rPr>
          <w:rFonts w:asciiTheme="minorHAnsi" w:eastAsiaTheme="minorEastAsia" w:hAnsiTheme="minorHAnsi" w:cstheme="minorBidi"/>
          <w:bCs w:val="0"/>
          <w:noProof/>
          <w:sz w:val="22"/>
          <w:szCs w:val="22"/>
          <w:lang w:eastAsia="en-GB"/>
        </w:rPr>
      </w:pPr>
      <w:hyperlink w:anchor="_Toc532812391" w:history="1">
        <w:r w:rsidR="00897995" w:rsidRPr="00AF3812">
          <w:rPr>
            <w:rStyle w:val="Hyperlink"/>
            <w:rFonts w:cs="Calibri"/>
            <w:noProof/>
          </w:rPr>
          <w:t>Strategic context</w:t>
        </w:r>
        <w:r w:rsidR="00897995">
          <w:rPr>
            <w:noProof/>
            <w:webHidden/>
          </w:rPr>
          <w:tab/>
        </w:r>
        <w:r w:rsidR="00897995">
          <w:rPr>
            <w:noProof/>
            <w:webHidden/>
          </w:rPr>
          <w:fldChar w:fldCharType="begin"/>
        </w:r>
        <w:r w:rsidR="00897995">
          <w:rPr>
            <w:noProof/>
            <w:webHidden/>
          </w:rPr>
          <w:instrText xml:space="preserve"> PAGEREF _Toc532812391 \h </w:instrText>
        </w:r>
        <w:r w:rsidR="00897995">
          <w:rPr>
            <w:noProof/>
            <w:webHidden/>
          </w:rPr>
        </w:r>
        <w:r w:rsidR="00897995">
          <w:rPr>
            <w:noProof/>
            <w:webHidden/>
          </w:rPr>
          <w:fldChar w:fldCharType="separate"/>
        </w:r>
        <w:r w:rsidR="004C7DEC">
          <w:rPr>
            <w:noProof/>
            <w:webHidden/>
          </w:rPr>
          <w:t>17</w:t>
        </w:r>
        <w:r w:rsidR="00897995">
          <w:rPr>
            <w:noProof/>
            <w:webHidden/>
          </w:rPr>
          <w:fldChar w:fldCharType="end"/>
        </w:r>
      </w:hyperlink>
    </w:p>
    <w:p w14:paraId="3448137C" w14:textId="057BA32D" w:rsidR="00897995" w:rsidRDefault="00A65AAD">
      <w:pPr>
        <w:pStyle w:val="TOC2"/>
        <w:rPr>
          <w:rFonts w:asciiTheme="minorHAnsi" w:eastAsiaTheme="minorEastAsia" w:hAnsiTheme="minorHAnsi" w:cstheme="minorBidi"/>
          <w:bCs w:val="0"/>
          <w:noProof/>
          <w:sz w:val="22"/>
          <w:szCs w:val="22"/>
          <w:lang w:eastAsia="en-GB"/>
        </w:rPr>
      </w:pPr>
      <w:hyperlink w:anchor="_Toc532812392" w:history="1">
        <w:r w:rsidR="00897995" w:rsidRPr="00AF3812">
          <w:rPr>
            <w:rStyle w:val="Hyperlink"/>
            <w:rFonts w:cs="Calibri"/>
            <w:noProof/>
          </w:rPr>
          <w:t>Local policy context</w:t>
        </w:r>
        <w:r w:rsidR="00897995">
          <w:rPr>
            <w:noProof/>
            <w:webHidden/>
          </w:rPr>
          <w:tab/>
        </w:r>
        <w:r w:rsidR="00897995">
          <w:rPr>
            <w:noProof/>
            <w:webHidden/>
          </w:rPr>
          <w:fldChar w:fldCharType="begin"/>
        </w:r>
        <w:r w:rsidR="00897995">
          <w:rPr>
            <w:noProof/>
            <w:webHidden/>
          </w:rPr>
          <w:instrText xml:space="preserve"> PAGEREF _Toc532812392 \h </w:instrText>
        </w:r>
        <w:r w:rsidR="00897995">
          <w:rPr>
            <w:noProof/>
            <w:webHidden/>
          </w:rPr>
        </w:r>
        <w:r w:rsidR="00897995">
          <w:rPr>
            <w:noProof/>
            <w:webHidden/>
          </w:rPr>
          <w:fldChar w:fldCharType="separate"/>
        </w:r>
        <w:r w:rsidR="004C7DEC">
          <w:rPr>
            <w:noProof/>
            <w:webHidden/>
          </w:rPr>
          <w:t>18</w:t>
        </w:r>
        <w:r w:rsidR="00897995">
          <w:rPr>
            <w:noProof/>
            <w:webHidden/>
          </w:rPr>
          <w:fldChar w:fldCharType="end"/>
        </w:r>
      </w:hyperlink>
    </w:p>
    <w:p w14:paraId="4C20586F" w14:textId="62D1B321" w:rsidR="00897995" w:rsidRDefault="00A65AAD">
      <w:pPr>
        <w:pStyle w:val="TOC2"/>
        <w:rPr>
          <w:rFonts w:asciiTheme="minorHAnsi" w:eastAsiaTheme="minorEastAsia" w:hAnsiTheme="minorHAnsi" w:cstheme="minorBidi"/>
          <w:bCs w:val="0"/>
          <w:noProof/>
          <w:sz w:val="22"/>
          <w:szCs w:val="22"/>
          <w:lang w:eastAsia="en-GB"/>
        </w:rPr>
      </w:pPr>
      <w:hyperlink w:anchor="_Toc532812393" w:history="1">
        <w:r w:rsidR="00897995" w:rsidRPr="00AF3812">
          <w:rPr>
            <w:rStyle w:val="Hyperlink"/>
            <w:noProof/>
          </w:rPr>
          <w:t>Planning policy context</w:t>
        </w:r>
        <w:r w:rsidR="00897995">
          <w:rPr>
            <w:noProof/>
            <w:webHidden/>
          </w:rPr>
          <w:tab/>
        </w:r>
        <w:r w:rsidR="00897995">
          <w:rPr>
            <w:noProof/>
            <w:webHidden/>
          </w:rPr>
          <w:fldChar w:fldCharType="begin"/>
        </w:r>
        <w:r w:rsidR="00897995">
          <w:rPr>
            <w:noProof/>
            <w:webHidden/>
          </w:rPr>
          <w:instrText xml:space="preserve"> PAGEREF _Toc532812393 \h </w:instrText>
        </w:r>
        <w:r w:rsidR="00897995">
          <w:rPr>
            <w:noProof/>
            <w:webHidden/>
          </w:rPr>
        </w:r>
        <w:r w:rsidR="00897995">
          <w:rPr>
            <w:noProof/>
            <w:webHidden/>
          </w:rPr>
          <w:fldChar w:fldCharType="separate"/>
        </w:r>
        <w:r w:rsidR="004C7DEC">
          <w:rPr>
            <w:noProof/>
            <w:webHidden/>
          </w:rPr>
          <w:t>19</w:t>
        </w:r>
        <w:r w:rsidR="00897995">
          <w:rPr>
            <w:noProof/>
            <w:webHidden/>
          </w:rPr>
          <w:fldChar w:fldCharType="end"/>
        </w:r>
      </w:hyperlink>
    </w:p>
    <w:p w14:paraId="0FED72BE" w14:textId="51708323" w:rsidR="00897995" w:rsidRDefault="00A65AAD">
      <w:pPr>
        <w:pStyle w:val="TOC2"/>
        <w:rPr>
          <w:rFonts w:asciiTheme="minorHAnsi" w:eastAsiaTheme="minorEastAsia" w:hAnsiTheme="minorHAnsi" w:cstheme="minorBidi"/>
          <w:bCs w:val="0"/>
          <w:noProof/>
          <w:sz w:val="22"/>
          <w:szCs w:val="22"/>
          <w:lang w:eastAsia="en-GB"/>
        </w:rPr>
      </w:pPr>
      <w:hyperlink w:anchor="_Toc532812394" w:history="1">
        <w:r w:rsidR="00897995" w:rsidRPr="00AF3812">
          <w:rPr>
            <w:rStyle w:val="Hyperlink"/>
            <w:rFonts w:cs="Calibri"/>
            <w:noProof/>
          </w:rPr>
          <w:t>Concluding comments</w:t>
        </w:r>
        <w:r w:rsidR="00897995">
          <w:rPr>
            <w:noProof/>
            <w:webHidden/>
          </w:rPr>
          <w:tab/>
        </w:r>
        <w:r w:rsidR="00897995">
          <w:rPr>
            <w:noProof/>
            <w:webHidden/>
          </w:rPr>
          <w:fldChar w:fldCharType="begin"/>
        </w:r>
        <w:r w:rsidR="00897995">
          <w:rPr>
            <w:noProof/>
            <w:webHidden/>
          </w:rPr>
          <w:instrText xml:space="preserve"> PAGEREF _Toc532812394 \h </w:instrText>
        </w:r>
        <w:r w:rsidR="00897995">
          <w:rPr>
            <w:noProof/>
            <w:webHidden/>
          </w:rPr>
        </w:r>
        <w:r w:rsidR="00897995">
          <w:rPr>
            <w:noProof/>
            <w:webHidden/>
          </w:rPr>
          <w:fldChar w:fldCharType="separate"/>
        </w:r>
        <w:r w:rsidR="004C7DEC">
          <w:rPr>
            <w:noProof/>
            <w:webHidden/>
          </w:rPr>
          <w:t>19</w:t>
        </w:r>
        <w:r w:rsidR="00897995">
          <w:rPr>
            <w:noProof/>
            <w:webHidden/>
          </w:rPr>
          <w:fldChar w:fldCharType="end"/>
        </w:r>
      </w:hyperlink>
    </w:p>
    <w:p w14:paraId="2357A364" w14:textId="7FC0554C" w:rsidR="00897995" w:rsidRDefault="00A65AAD" w:rsidP="00897995">
      <w:pPr>
        <w:pStyle w:val="TOC1"/>
        <w:rPr>
          <w:rFonts w:asciiTheme="minorHAnsi" w:eastAsiaTheme="minorEastAsia" w:hAnsiTheme="minorHAnsi" w:cstheme="minorBidi"/>
          <w:sz w:val="22"/>
          <w:szCs w:val="22"/>
          <w:lang w:eastAsia="en-GB"/>
        </w:rPr>
      </w:pPr>
      <w:hyperlink w:anchor="_Toc532812395" w:history="1">
        <w:r w:rsidR="00897995" w:rsidRPr="00AF3812">
          <w:rPr>
            <w:rStyle w:val="Hyperlink"/>
            <w14:scene3d>
              <w14:camera w14:prst="orthographicFront"/>
              <w14:lightRig w14:rig="threePt" w14:dir="t">
                <w14:rot w14:lat="0" w14:lon="0" w14:rev="0"/>
              </w14:lightRig>
            </w14:scene3d>
          </w:rPr>
          <w:t>3.</w:t>
        </w:r>
        <w:r w:rsidR="00897995">
          <w:rPr>
            <w:rFonts w:asciiTheme="minorHAnsi" w:eastAsiaTheme="minorEastAsia" w:hAnsiTheme="minorHAnsi" w:cstheme="minorBidi"/>
            <w:sz w:val="22"/>
            <w:szCs w:val="22"/>
            <w:lang w:eastAsia="en-GB"/>
          </w:rPr>
          <w:tab/>
        </w:r>
        <w:r w:rsidR="00897995" w:rsidRPr="00AF3812">
          <w:rPr>
            <w:rStyle w:val="Hyperlink"/>
          </w:rPr>
          <w:t>Understanding housing market dynamics and drivers</w:t>
        </w:r>
        <w:r w:rsidR="00897995">
          <w:rPr>
            <w:webHidden/>
          </w:rPr>
          <w:tab/>
        </w:r>
        <w:r w:rsidR="00897995">
          <w:rPr>
            <w:webHidden/>
          </w:rPr>
          <w:fldChar w:fldCharType="begin"/>
        </w:r>
        <w:r w:rsidR="00897995">
          <w:rPr>
            <w:webHidden/>
          </w:rPr>
          <w:instrText xml:space="preserve"> PAGEREF _Toc532812395 \h </w:instrText>
        </w:r>
        <w:r w:rsidR="00897995">
          <w:rPr>
            <w:webHidden/>
          </w:rPr>
        </w:r>
        <w:r w:rsidR="00897995">
          <w:rPr>
            <w:webHidden/>
          </w:rPr>
          <w:fldChar w:fldCharType="separate"/>
        </w:r>
        <w:r w:rsidR="004C7DEC">
          <w:rPr>
            <w:webHidden/>
          </w:rPr>
          <w:t>20</w:t>
        </w:r>
        <w:r w:rsidR="00897995">
          <w:rPr>
            <w:webHidden/>
          </w:rPr>
          <w:fldChar w:fldCharType="end"/>
        </w:r>
      </w:hyperlink>
    </w:p>
    <w:p w14:paraId="7423E7ED" w14:textId="34B45AD6" w:rsidR="00897995" w:rsidRDefault="00A65AAD">
      <w:pPr>
        <w:pStyle w:val="TOC2"/>
        <w:rPr>
          <w:rFonts w:asciiTheme="minorHAnsi" w:eastAsiaTheme="minorEastAsia" w:hAnsiTheme="minorHAnsi" w:cstheme="minorBidi"/>
          <w:bCs w:val="0"/>
          <w:noProof/>
          <w:sz w:val="22"/>
          <w:szCs w:val="22"/>
          <w:lang w:eastAsia="en-GB"/>
        </w:rPr>
      </w:pPr>
      <w:hyperlink w:anchor="_Toc532812396" w:history="1">
        <w:r w:rsidR="00897995" w:rsidRPr="00AF3812">
          <w:rPr>
            <w:rStyle w:val="Hyperlink"/>
            <w:rFonts w:cs="Calibri"/>
            <w:noProof/>
          </w:rPr>
          <w:t>Introduction</w:t>
        </w:r>
        <w:r w:rsidR="00897995">
          <w:rPr>
            <w:noProof/>
            <w:webHidden/>
          </w:rPr>
          <w:tab/>
        </w:r>
        <w:r w:rsidR="00897995">
          <w:rPr>
            <w:noProof/>
            <w:webHidden/>
          </w:rPr>
          <w:fldChar w:fldCharType="begin"/>
        </w:r>
        <w:r w:rsidR="00897995">
          <w:rPr>
            <w:noProof/>
            <w:webHidden/>
          </w:rPr>
          <w:instrText xml:space="preserve"> PAGEREF _Toc532812396 \h </w:instrText>
        </w:r>
        <w:r w:rsidR="00897995">
          <w:rPr>
            <w:noProof/>
            <w:webHidden/>
          </w:rPr>
        </w:r>
        <w:r w:rsidR="00897995">
          <w:rPr>
            <w:noProof/>
            <w:webHidden/>
          </w:rPr>
          <w:fldChar w:fldCharType="separate"/>
        </w:r>
        <w:r w:rsidR="004C7DEC">
          <w:rPr>
            <w:noProof/>
            <w:webHidden/>
          </w:rPr>
          <w:t>20</w:t>
        </w:r>
        <w:r w:rsidR="00897995">
          <w:rPr>
            <w:noProof/>
            <w:webHidden/>
          </w:rPr>
          <w:fldChar w:fldCharType="end"/>
        </w:r>
      </w:hyperlink>
    </w:p>
    <w:p w14:paraId="20855C92" w14:textId="7A29AC01" w:rsidR="00897995" w:rsidRDefault="00A65AAD">
      <w:pPr>
        <w:pStyle w:val="TOC2"/>
        <w:rPr>
          <w:rFonts w:asciiTheme="minorHAnsi" w:eastAsiaTheme="minorEastAsia" w:hAnsiTheme="minorHAnsi" w:cstheme="minorBidi"/>
          <w:bCs w:val="0"/>
          <w:noProof/>
          <w:sz w:val="22"/>
          <w:szCs w:val="22"/>
          <w:lang w:eastAsia="en-GB"/>
        </w:rPr>
      </w:pPr>
      <w:hyperlink w:anchor="_Toc532812397" w:history="1">
        <w:r w:rsidR="00897995" w:rsidRPr="00AF3812">
          <w:rPr>
            <w:rStyle w:val="Hyperlink"/>
            <w:rFonts w:cs="Calibri"/>
            <w:noProof/>
          </w:rPr>
          <w:t>House price trends</w:t>
        </w:r>
        <w:r w:rsidR="00897995">
          <w:rPr>
            <w:noProof/>
            <w:webHidden/>
          </w:rPr>
          <w:tab/>
        </w:r>
        <w:r w:rsidR="00897995">
          <w:rPr>
            <w:noProof/>
            <w:webHidden/>
          </w:rPr>
          <w:fldChar w:fldCharType="begin"/>
        </w:r>
        <w:r w:rsidR="00897995">
          <w:rPr>
            <w:noProof/>
            <w:webHidden/>
          </w:rPr>
          <w:instrText xml:space="preserve"> PAGEREF _Toc532812397 \h </w:instrText>
        </w:r>
        <w:r w:rsidR="00897995">
          <w:rPr>
            <w:noProof/>
            <w:webHidden/>
          </w:rPr>
        </w:r>
        <w:r w:rsidR="00897995">
          <w:rPr>
            <w:noProof/>
            <w:webHidden/>
          </w:rPr>
          <w:fldChar w:fldCharType="separate"/>
        </w:r>
        <w:r w:rsidR="004C7DEC">
          <w:rPr>
            <w:noProof/>
            <w:webHidden/>
          </w:rPr>
          <w:t>20</w:t>
        </w:r>
        <w:r w:rsidR="00897995">
          <w:rPr>
            <w:noProof/>
            <w:webHidden/>
          </w:rPr>
          <w:fldChar w:fldCharType="end"/>
        </w:r>
      </w:hyperlink>
    </w:p>
    <w:p w14:paraId="373D0F0D" w14:textId="428B2D32" w:rsidR="00897995" w:rsidRDefault="00A65AAD">
      <w:pPr>
        <w:pStyle w:val="TOC2"/>
        <w:rPr>
          <w:rFonts w:asciiTheme="minorHAnsi" w:eastAsiaTheme="minorEastAsia" w:hAnsiTheme="minorHAnsi" w:cstheme="minorBidi"/>
          <w:bCs w:val="0"/>
          <w:noProof/>
          <w:sz w:val="22"/>
          <w:szCs w:val="22"/>
          <w:lang w:eastAsia="en-GB"/>
        </w:rPr>
      </w:pPr>
      <w:hyperlink w:anchor="_Toc532812398" w:history="1">
        <w:r w:rsidR="00897995" w:rsidRPr="00AF3812">
          <w:rPr>
            <w:rStyle w:val="Hyperlink"/>
            <w:noProof/>
          </w:rPr>
          <w:t>Relative affordability</w:t>
        </w:r>
        <w:r w:rsidR="00897995">
          <w:rPr>
            <w:noProof/>
            <w:webHidden/>
          </w:rPr>
          <w:tab/>
        </w:r>
        <w:r w:rsidR="00897995">
          <w:rPr>
            <w:noProof/>
            <w:webHidden/>
          </w:rPr>
          <w:fldChar w:fldCharType="begin"/>
        </w:r>
        <w:r w:rsidR="00897995">
          <w:rPr>
            <w:noProof/>
            <w:webHidden/>
          </w:rPr>
          <w:instrText xml:space="preserve"> PAGEREF _Toc532812398 \h </w:instrText>
        </w:r>
        <w:r w:rsidR="00897995">
          <w:rPr>
            <w:noProof/>
            <w:webHidden/>
          </w:rPr>
        </w:r>
        <w:r w:rsidR="00897995">
          <w:rPr>
            <w:noProof/>
            <w:webHidden/>
          </w:rPr>
          <w:fldChar w:fldCharType="separate"/>
        </w:r>
        <w:r w:rsidR="004C7DEC">
          <w:rPr>
            <w:noProof/>
            <w:webHidden/>
          </w:rPr>
          <w:t>24</w:t>
        </w:r>
        <w:r w:rsidR="00897995">
          <w:rPr>
            <w:noProof/>
            <w:webHidden/>
          </w:rPr>
          <w:fldChar w:fldCharType="end"/>
        </w:r>
      </w:hyperlink>
    </w:p>
    <w:p w14:paraId="3C774089" w14:textId="1FEF5D4F" w:rsidR="00897995" w:rsidRDefault="00A65AAD">
      <w:pPr>
        <w:pStyle w:val="TOC2"/>
        <w:rPr>
          <w:rFonts w:asciiTheme="minorHAnsi" w:eastAsiaTheme="minorEastAsia" w:hAnsiTheme="minorHAnsi" w:cstheme="minorBidi"/>
          <w:bCs w:val="0"/>
          <w:noProof/>
          <w:sz w:val="22"/>
          <w:szCs w:val="22"/>
          <w:lang w:eastAsia="en-GB"/>
        </w:rPr>
      </w:pPr>
      <w:hyperlink w:anchor="_Toc532812399" w:history="1">
        <w:r w:rsidR="00897995" w:rsidRPr="00AF3812">
          <w:rPr>
            <w:rStyle w:val="Hyperlink"/>
            <w:rFonts w:cs="Calibri"/>
            <w:noProof/>
          </w:rPr>
          <w:t>Relative affordability of housing tenure options</w:t>
        </w:r>
        <w:r w:rsidR="00897995">
          <w:rPr>
            <w:noProof/>
            <w:webHidden/>
          </w:rPr>
          <w:tab/>
        </w:r>
        <w:r w:rsidR="00897995">
          <w:rPr>
            <w:noProof/>
            <w:webHidden/>
          </w:rPr>
          <w:fldChar w:fldCharType="begin"/>
        </w:r>
        <w:r w:rsidR="00897995">
          <w:rPr>
            <w:noProof/>
            <w:webHidden/>
          </w:rPr>
          <w:instrText xml:space="preserve"> PAGEREF _Toc532812399 \h </w:instrText>
        </w:r>
        <w:r w:rsidR="00897995">
          <w:rPr>
            <w:noProof/>
            <w:webHidden/>
          </w:rPr>
        </w:r>
        <w:r w:rsidR="00897995">
          <w:rPr>
            <w:noProof/>
            <w:webHidden/>
          </w:rPr>
          <w:fldChar w:fldCharType="separate"/>
        </w:r>
        <w:r w:rsidR="004C7DEC">
          <w:rPr>
            <w:noProof/>
            <w:webHidden/>
          </w:rPr>
          <w:t>25</w:t>
        </w:r>
        <w:r w:rsidR="00897995">
          <w:rPr>
            <w:noProof/>
            <w:webHidden/>
          </w:rPr>
          <w:fldChar w:fldCharType="end"/>
        </w:r>
      </w:hyperlink>
    </w:p>
    <w:p w14:paraId="45F3A74E" w14:textId="678FCF74" w:rsidR="00897995" w:rsidRDefault="00A65AAD">
      <w:pPr>
        <w:pStyle w:val="TOC2"/>
        <w:rPr>
          <w:rFonts w:asciiTheme="minorHAnsi" w:eastAsiaTheme="minorEastAsia" w:hAnsiTheme="minorHAnsi" w:cstheme="minorBidi"/>
          <w:bCs w:val="0"/>
          <w:noProof/>
          <w:sz w:val="22"/>
          <w:szCs w:val="22"/>
          <w:lang w:eastAsia="en-GB"/>
        </w:rPr>
      </w:pPr>
      <w:hyperlink w:anchor="_Toc532812400" w:history="1">
        <w:r w:rsidR="00897995" w:rsidRPr="00AF3812">
          <w:rPr>
            <w:rStyle w:val="Hyperlink"/>
            <w:rFonts w:cs="Calibri"/>
            <w:noProof/>
          </w:rPr>
          <w:t>Household migration</w:t>
        </w:r>
        <w:r w:rsidR="00897995">
          <w:rPr>
            <w:noProof/>
            <w:webHidden/>
          </w:rPr>
          <w:tab/>
        </w:r>
        <w:r w:rsidR="00897995">
          <w:rPr>
            <w:noProof/>
            <w:webHidden/>
          </w:rPr>
          <w:fldChar w:fldCharType="begin"/>
        </w:r>
        <w:r w:rsidR="00897995">
          <w:rPr>
            <w:noProof/>
            <w:webHidden/>
          </w:rPr>
          <w:instrText xml:space="preserve"> PAGEREF _Toc532812400 \h </w:instrText>
        </w:r>
        <w:r w:rsidR="00897995">
          <w:rPr>
            <w:noProof/>
            <w:webHidden/>
          </w:rPr>
        </w:r>
        <w:r w:rsidR="00897995">
          <w:rPr>
            <w:noProof/>
            <w:webHidden/>
          </w:rPr>
          <w:fldChar w:fldCharType="separate"/>
        </w:r>
        <w:r w:rsidR="004C7DEC">
          <w:rPr>
            <w:noProof/>
            <w:webHidden/>
          </w:rPr>
          <w:t>32</w:t>
        </w:r>
        <w:r w:rsidR="00897995">
          <w:rPr>
            <w:noProof/>
            <w:webHidden/>
          </w:rPr>
          <w:fldChar w:fldCharType="end"/>
        </w:r>
      </w:hyperlink>
    </w:p>
    <w:p w14:paraId="2F662584" w14:textId="4F433215" w:rsidR="00897995" w:rsidRDefault="00A65AAD">
      <w:pPr>
        <w:pStyle w:val="TOC2"/>
        <w:rPr>
          <w:rFonts w:asciiTheme="minorHAnsi" w:eastAsiaTheme="minorEastAsia" w:hAnsiTheme="minorHAnsi" w:cstheme="minorBidi"/>
          <w:bCs w:val="0"/>
          <w:noProof/>
          <w:sz w:val="22"/>
          <w:szCs w:val="22"/>
          <w:lang w:eastAsia="en-GB"/>
        </w:rPr>
      </w:pPr>
      <w:hyperlink w:anchor="_Toc532812401" w:history="1">
        <w:r w:rsidR="00897995" w:rsidRPr="00AF3812">
          <w:rPr>
            <w:rStyle w:val="Hyperlink"/>
            <w:noProof/>
          </w:rPr>
          <w:t>Travel to work</w:t>
        </w:r>
        <w:r w:rsidR="00897995">
          <w:rPr>
            <w:noProof/>
            <w:webHidden/>
          </w:rPr>
          <w:tab/>
        </w:r>
        <w:r w:rsidR="00897995">
          <w:rPr>
            <w:noProof/>
            <w:webHidden/>
          </w:rPr>
          <w:fldChar w:fldCharType="begin"/>
        </w:r>
        <w:r w:rsidR="00897995">
          <w:rPr>
            <w:noProof/>
            <w:webHidden/>
          </w:rPr>
          <w:instrText xml:space="preserve"> PAGEREF _Toc532812401 \h </w:instrText>
        </w:r>
        <w:r w:rsidR="00897995">
          <w:rPr>
            <w:noProof/>
            <w:webHidden/>
          </w:rPr>
        </w:r>
        <w:r w:rsidR="00897995">
          <w:rPr>
            <w:noProof/>
            <w:webHidden/>
          </w:rPr>
          <w:fldChar w:fldCharType="separate"/>
        </w:r>
        <w:r w:rsidR="004C7DEC">
          <w:rPr>
            <w:noProof/>
            <w:webHidden/>
          </w:rPr>
          <w:t>34</w:t>
        </w:r>
        <w:r w:rsidR="00897995">
          <w:rPr>
            <w:noProof/>
            <w:webHidden/>
          </w:rPr>
          <w:fldChar w:fldCharType="end"/>
        </w:r>
      </w:hyperlink>
    </w:p>
    <w:p w14:paraId="7CBA0C0C" w14:textId="55B006AD" w:rsidR="00897995" w:rsidRDefault="00A65AAD">
      <w:pPr>
        <w:pStyle w:val="TOC2"/>
        <w:rPr>
          <w:rFonts w:asciiTheme="minorHAnsi" w:eastAsiaTheme="minorEastAsia" w:hAnsiTheme="minorHAnsi" w:cstheme="minorBidi"/>
          <w:bCs w:val="0"/>
          <w:noProof/>
          <w:sz w:val="22"/>
          <w:szCs w:val="22"/>
          <w:lang w:eastAsia="en-GB"/>
        </w:rPr>
      </w:pPr>
      <w:hyperlink w:anchor="_Toc532812402" w:history="1">
        <w:r w:rsidR="00897995" w:rsidRPr="00AF3812">
          <w:rPr>
            <w:rStyle w:val="Hyperlink"/>
            <w:noProof/>
          </w:rPr>
          <w:t>A qualitative perspective on housing market dynamics and drivers</w:t>
        </w:r>
        <w:r w:rsidR="00897995">
          <w:rPr>
            <w:noProof/>
            <w:webHidden/>
          </w:rPr>
          <w:tab/>
        </w:r>
        <w:r w:rsidR="00897995">
          <w:rPr>
            <w:noProof/>
            <w:webHidden/>
          </w:rPr>
          <w:fldChar w:fldCharType="begin"/>
        </w:r>
        <w:r w:rsidR="00897995">
          <w:rPr>
            <w:noProof/>
            <w:webHidden/>
          </w:rPr>
          <w:instrText xml:space="preserve"> PAGEREF _Toc532812402 \h </w:instrText>
        </w:r>
        <w:r w:rsidR="00897995">
          <w:rPr>
            <w:noProof/>
            <w:webHidden/>
          </w:rPr>
        </w:r>
        <w:r w:rsidR="00897995">
          <w:rPr>
            <w:noProof/>
            <w:webHidden/>
          </w:rPr>
          <w:fldChar w:fldCharType="separate"/>
        </w:r>
        <w:r w:rsidR="004C7DEC">
          <w:rPr>
            <w:noProof/>
            <w:webHidden/>
          </w:rPr>
          <w:t>36</w:t>
        </w:r>
        <w:r w:rsidR="00897995">
          <w:rPr>
            <w:noProof/>
            <w:webHidden/>
          </w:rPr>
          <w:fldChar w:fldCharType="end"/>
        </w:r>
      </w:hyperlink>
    </w:p>
    <w:p w14:paraId="086D1310" w14:textId="536726B0" w:rsidR="00897995" w:rsidRDefault="00A65AAD">
      <w:pPr>
        <w:pStyle w:val="TOC2"/>
        <w:rPr>
          <w:rFonts w:asciiTheme="minorHAnsi" w:eastAsiaTheme="minorEastAsia" w:hAnsiTheme="minorHAnsi" w:cstheme="minorBidi"/>
          <w:bCs w:val="0"/>
          <w:noProof/>
          <w:sz w:val="22"/>
          <w:szCs w:val="22"/>
          <w:lang w:eastAsia="en-GB"/>
        </w:rPr>
      </w:pPr>
      <w:hyperlink w:anchor="_Toc532812403" w:history="1">
        <w:r w:rsidR="00897995" w:rsidRPr="00AF3812">
          <w:rPr>
            <w:rStyle w:val="Hyperlink"/>
            <w:rFonts w:cs="Calibri"/>
            <w:noProof/>
          </w:rPr>
          <w:t>Concluding comments</w:t>
        </w:r>
        <w:r w:rsidR="00897995">
          <w:rPr>
            <w:noProof/>
            <w:webHidden/>
          </w:rPr>
          <w:tab/>
        </w:r>
        <w:r w:rsidR="00897995">
          <w:rPr>
            <w:noProof/>
            <w:webHidden/>
          </w:rPr>
          <w:fldChar w:fldCharType="begin"/>
        </w:r>
        <w:r w:rsidR="00897995">
          <w:rPr>
            <w:noProof/>
            <w:webHidden/>
          </w:rPr>
          <w:instrText xml:space="preserve"> PAGEREF _Toc532812403 \h </w:instrText>
        </w:r>
        <w:r w:rsidR="00897995">
          <w:rPr>
            <w:noProof/>
            <w:webHidden/>
          </w:rPr>
        </w:r>
        <w:r w:rsidR="00897995">
          <w:rPr>
            <w:noProof/>
            <w:webHidden/>
          </w:rPr>
          <w:fldChar w:fldCharType="separate"/>
        </w:r>
        <w:r w:rsidR="004C7DEC">
          <w:rPr>
            <w:noProof/>
            <w:webHidden/>
          </w:rPr>
          <w:t>43</w:t>
        </w:r>
        <w:r w:rsidR="00897995">
          <w:rPr>
            <w:noProof/>
            <w:webHidden/>
          </w:rPr>
          <w:fldChar w:fldCharType="end"/>
        </w:r>
      </w:hyperlink>
    </w:p>
    <w:p w14:paraId="5B80F319" w14:textId="751C9A16" w:rsidR="00897995" w:rsidRDefault="00A65AAD" w:rsidP="00897995">
      <w:pPr>
        <w:pStyle w:val="TOC1"/>
        <w:rPr>
          <w:rFonts w:asciiTheme="minorHAnsi" w:eastAsiaTheme="minorEastAsia" w:hAnsiTheme="minorHAnsi" w:cstheme="minorBidi"/>
          <w:sz w:val="22"/>
          <w:szCs w:val="22"/>
          <w:lang w:eastAsia="en-GB"/>
        </w:rPr>
      </w:pPr>
      <w:hyperlink w:anchor="_Toc532812404" w:history="1">
        <w:r w:rsidR="00897995" w:rsidRPr="00AF3812">
          <w:rPr>
            <w:rStyle w:val="Hyperlink"/>
            <w14:scene3d>
              <w14:camera w14:prst="orthographicFront"/>
              <w14:lightRig w14:rig="threePt" w14:dir="t">
                <w14:rot w14:lat="0" w14:lon="0" w14:rev="0"/>
              </w14:lightRig>
            </w14:scene3d>
          </w:rPr>
          <w:t>4.</w:t>
        </w:r>
        <w:r w:rsidR="00897995">
          <w:rPr>
            <w:rFonts w:asciiTheme="minorHAnsi" w:eastAsiaTheme="minorEastAsia" w:hAnsiTheme="minorHAnsi" w:cstheme="minorBidi"/>
            <w:sz w:val="22"/>
            <w:szCs w:val="22"/>
            <w:lang w:eastAsia="en-GB"/>
          </w:rPr>
          <w:tab/>
        </w:r>
        <w:r w:rsidR="00897995" w:rsidRPr="00AF3812">
          <w:rPr>
            <w:rStyle w:val="Hyperlink"/>
          </w:rPr>
          <w:t>Housing stock review</w:t>
        </w:r>
        <w:r w:rsidR="00897995">
          <w:rPr>
            <w:webHidden/>
          </w:rPr>
          <w:tab/>
        </w:r>
        <w:r w:rsidR="00897995">
          <w:rPr>
            <w:webHidden/>
          </w:rPr>
          <w:fldChar w:fldCharType="begin"/>
        </w:r>
        <w:r w:rsidR="00897995">
          <w:rPr>
            <w:webHidden/>
          </w:rPr>
          <w:instrText xml:space="preserve"> PAGEREF _Toc532812404 \h </w:instrText>
        </w:r>
        <w:r w:rsidR="00897995">
          <w:rPr>
            <w:webHidden/>
          </w:rPr>
        </w:r>
        <w:r w:rsidR="00897995">
          <w:rPr>
            <w:webHidden/>
          </w:rPr>
          <w:fldChar w:fldCharType="separate"/>
        </w:r>
        <w:r w:rsidR="004C7DEC">
          <w:rPr>
            <w:webHidden/>
          </w:rPr>
          <w:t>44</w:t>
        </w:r>
        <w:r w:rsidR="00897995">
          <w:rPr>
            <w:webHidden/>
          </w:rPr>
          <w:fldChar w:fldCharType="end"/>
        </w:r>
      </w:hyperlink>
    </w:p>
    <w:p w14:paraId="7CFAFF50" w14:textId="4FB511AC" w:rsidR="00897995" w:rsidRDefault="00A65AAD">
      <w:pPr>
        <w:pStyle w:val="TOC2"/>
        <w:rPr>
          <w:rFonts w:asciiTheme="minorHAnsi" w:eastAsiaTheme="minorEastAsia" w:hAnsiTheme="minorHAnsi" w:cstheme="minorBidi"/>
          <w:bCs w:val="0"/>
          <w:noProof/>
          <w:sz w:val="22"/>
          <w:szCs w:val="22"/>
          <w:lang w:eastAsia="en-GB"/>
        </w:rPr>
      </w:pPr>
      <w:hyperlink w:anchor="_Toc532812405" w:history="1">
        <w:r w:rsidR="00897995" w:rsidRPr="00AF3812">
          <w:rPr>
            <w:rStyle w:val="Hyperlink"/>
            <w:rFonts w:cs="Calibri"/>
            <w:noProof/>
          </w:rPr>
          <w:t>Introduction</w:t>
        </w:r>
        <w:r w:rsidR="00897995">
          <w:rPr>
            <w:noProof/>
            <w:webHidden/>
          </w:rPr>
          <w:tab/>
        </w:r>
        <w:r w:rsidR="00897995">
          <w:rPr>
            <w:noProof/>
            <w:webHidden/>
          </w:rPr>
          <w:fldChar w:fldCharType="begin"/>
        </w:r>
        <w:r w:rsidR="00897995">
          <w:rPr>
            <w:noProof/>
            <w:webHidden/>
          </w:rPr>
          <w:instrText xml:space="preserve"> PAGEREF _Toc532812405 \h </w:instrText>
        </w:r>
        <w:r w:rsidR="00897995">
          <w:rPr>
            <w:noProof/>
            <w:webHidden/>
          </w:rPr>
        </w:r>
        <w:r w:rsidR="00897995">
          <w:rPr>
            <w:noProof/>
            <w:webHidden/>
          </w:rPr>
          <w:fldChar w:fldCharType="separate"/>
        </w:r>
        <w:r w:rsidR="004C7DEC">
          <w:rPr>
            <w:noProof/>
            <w:webHidden/>
          </w:rPr>
          <w:t>44</w:t>
        </w:r>
        <w:r w:rsidR="00897995">
          <w:rPr>
            <w:noProof/>
            <w:webHidden/>
          </w:rPr>
          <w:fldChar w:fldCharType="end"/>
        </w:r>
      </w:hyperlink>
    </w:p>
    <w:p w14:paraId="44219C38" w14:textId="51858A04" w:rsidR="00897995" w:rsidRDefault="00A65AAD">
      <w:pPr>
        <w:pStyle w:val="TOC2"/>
        <w:rPr>
          <w:rFonts w:asciiTheme="minorHAnsi" w:eastAsiaTheme="minorEastAsia" w:hAnsiTheme="minorHAnsi" w:cstheme="minorBidi"/>
          <w:bCs w:val="0"/>
          <w:noProof/>
          <w:sz w:val="22"/>
          <w:szCs w:val="22"/>
          <w:lang w:eastAsia="en-GB"/>
        </w:rPr>
      </w:pPr>
      <w:hyperlink w:anchor="_Toc532812406" w:history="1">
        <w:r w:rsidR="00897995" w:rsidRPr="00AF3812">
          <w:rPr>
            <w:rStyle w:val="Hyperlink"/>
            <w:rFonts w:cs="Calibri"/>
            <w:noProof/>
          </w:rPr>
          <w:t>Estimates of current dwellings in terms of type, size and tenure</w:t>
        </w:r>
        <w:r w:rsidR="00897995">
          <w:rPr>
            <w:noProof/>
            <w:webHidden/>
          </w:rPr>
          <w:tab/>
        </w:r>
        <w:r w:rsidR="00897995">
          <w:rPr>
            <w:noProof/>
            <w:webHidden/>
          </w:rPr>
          <w:fldChar w:fldCharType="begin"/>
        </w:r>
        <w:r w:rsidR="00897995">
          <w:rPr>
            <w:noProof/>
            <w:webHidden/>
          </w:rPr>
          <w:instrText xml:space="preserve"> PAGEREF _Toc532812406 \h </w:instrText>
        </w:r>
        <w:r w:rsidR="00897995">
          <w:rPr>
            <w:noProof/>
            <w:webHidden/>
          </w:rPr>
        </w:r>
        <w:r w:rsidR="00897995">
          <w:rPr>
            <w:noProof/>
            <w:webHidden/>
          </w:rPr>
          <w:fldChar w:fldCharType="separate"/>
        </w:r>
        <w:r w:rsidR="004C7DEC">
          <w:rPr>
            <w:noProof/>
            <w:webHidden/>
          </w:rPr>
          <w:t>44</w:t>
        </w:r>
        <w:r w:rsidR="00897995">
          <w:rPr>
            <w:noProof/>
            <w:webHidden/>
          </w:rPr>
          <w:fldChar w:fldCharType="end"/>
        </w:r>
      </w:hyperlink>
    </w:p>
    <w:p w14:paraId="5872E96F" w14:textId="40B4BE8E" w:rsidR="00897995" w:rsidRDefault="00A65AAD">
      <w:pPr>
        <w:pStyle w:val="TOC2"/>
        <w:rPr>
          <w:rFonts w:asciiTheme="minorHAnsi" w:eastAsiaTheme="minorEastAsia" w:hAnsiTheme="minorHAnsi" w:cstheme="minorBidi"/>
          <w:bCs w:val="0"/>
          <w:noProof/>
          <w:sz w:val="22"/>
          <w:szCs w:val="22"/>
          <w:lang w:eastAsia="en-GB"/>
        </w:rPr>
      </w:pPr>
      <w:hyperlink w:anchor="_Toc532812407" w:history="1">
        <w:r w:rsidR="00897995" w:rsidRPr="00AF3812">
          <w:rPr>
            <w:rStyle w:val="Hyperlink"/>
            <w:rFonts w:cs="Calibri"/>
            <w:noProof/>
          </w:rPr>
          <w:t>The owner-occupied sector</w:t>
        </w:r>
        <w:r w:rsidR="00897995">
          <w:rPr>
            <w:noProof/>
            <w:webHidden/>
          </w:rPr>
          <w:tab/>
        </w:r>
        <w:r w:rsidR="00897995">
          <w:rPr>
            <w:noProof/>
            <w:webHidden/>
          </w:rPr>
          <w:fldChar w:fldCharType="begin"/>
        </w:r>
        <w:r w:rsidR="00897995">
          <w:rPr>
            <w:noProof/>
            <w:webHidden/>
          </w:rPr>
          <w:instrText xml:space="preserve"> PAGEREF _Toc532812407 \h </w:instrText>
        </w:r>
        <w:r w:rsidR="00897995">
          <w:rPr>
            <w:noProof/>
            <w:webHidden/>
          </w:rPr>
        </w:r>
        <w:r w:rsidR="00897995">
          <w:rPr>
            <w:noProof/>
            <w:webHidden/>
          </w:rPr>
          <w:fldChar w:fldCharType="separate"/>
        </w:r>
        <w:r w:rsidR="004C7DEC">
          <w:rPr>
            <w:noProof/>
            <w:webHidden/>
          </w:rPr>
          <w:t>46</w:t>
        </w:r>
        <w:r w:rsidR="00897995">
          <w:rPr>
            <w:noProof/>
            <w:webHidden/>
          </w:rPr>
          <w:fldChar w:fldCharType="end"/>
        </w:r>
      </w:hyperlink>
    </w:p>
    <w:p w14:paraId="4B72200A" w14:textId="42E2AB89" w:rsidR="00897995" w:rsidRDefault="00A65AAD">
      <w:pPr>
        <w:pStyle w:val="TOC2"/>
        <w:rPr>
          <w:rFonts w:asciiTheme="minorHAnsi" w:eastAsiaTheme="minorEastAsia" w:hAnsiTheme="minorHAnsi" w:cstheme="minorBidi"/>
          <w:bCs w:val="0"/>
          <w:noProof/>
          <w:sz w:val="22"/>
          <w:szCs w:val="22"/>
          <w:lang w:eastAsia="en-GB"/>
        </w:rPr>
      </w:pPr>
      <w:hyperlink w:anchor="_Toc532812408" w:history="1">
        <w:r w:rsidR="00897995" w:rsidRPr="00AF3812">
          <w:rPr>
            <w:rStyle w:val="Hyperlink"/>
            <w:noProof/>
          </w:rPr>
          <w:t>The private rented sector</w:t>
        </w:r>
        <w:r w:rsidR="00897995">
          <w:rPr>
            <w:noProof/>
            <w:webHidden/>
          </w:rPr>
          <w:tab/>
        </w:r>
        <w:r w:rsidR="00897995">
          <w:rPr>
            <w:noProof/>
            <w:webHidden/>
          </w:rPr>
          <w:fldChar w:fldCharType="begin"/>
        </w:r>
        <w:r w:rsidR="00897995">
          <w:rPr>
            <w:noProof/>
            <w:webHidden/>
          </w:rPr>
          <w:instrText xml:space="preserve"> PAGEREF _Toc532812408 \h </w:instrText>
        </w:r>
        <w:r w:rsidR="00897995">
          <w:rPr>
            <w:noProof/>
            <w:webHidden/>
          </w:rPr>
        </w:r>
        <w:r w:rsidR="00897995">
          <w:rPr>
            <w:noProof/>
            <w:webHidden/>
          </w:rPr>
          <w:fldChar w:fldCharType="separate"/>
        </w:r>
        <w:r w:rsidR="004C7DEC">
          <w:rPr>
            <w:noProof/>
            <w:webHidden/>
          </w:rPr>
          <w:t>48</w:t>
        </w:r>
        <w:r w:rsidR="00897995">
          <w:rPr>
            <w:noProof/>
            <w:webHidden/>
          </w:rPr>
          <w:fldChar w:fldCharType="end"/>
        </w:r>
      </w:hyperlink>
    </w:p>
    <w:p w14:paraId="7443FBDE" w14:textId="5F228AA6" w:rsidR="00897995" w:rsidRDefault="00A65AAD">
      <w:pPr>
        <w:pStyle w:val="TOC2"/>
        <w:rPr>
          <w:rFonts w:asciiTheme="minorHAnsi" w:eastAsiaTheme="minorEastAsia" w:hAnsiTheme="minorHAnsi" w:cstheme="minorBidi"/>
          <w:bCs w:val="0"/>
          <w:noProof/>
          <w:sz w:val="22"/>
          <w:szCs w:val="22"/>
          <w:lang w:eastAsia="en-GB"/>
        </w:rPr>
      </w:pPr>
      <w:hyperlink w:anchor="_Toc532812409" w:history="1">
        <w:r w:rsidR="00897995" w:rsidRPr="00AF3812">
          <w:rPr>
            <w:rStyle w:val="Hyperlink"/>
            <w:rFonts w:cs="Calibri"/>
            <w:noProof/>
          </w:rPr>
          <w:t>The affordable sector</w:t>
        </w:r>
        <w:r w:rsidR="00897995">
          <w:rPr>
            <w:noProof/>
            <w:webHidden/>
          </w:rPr>
          <w:tab/>
        </w:r>
        <w:r w:rsidR="00897995">
          <w:rPr>
            <w:noProof/>
            <w:webHidden/>
          </w:rPr>
          <w:fldChar w:fldCharType="begin"/>
        </w:r>
        <w:r w:rsidR="00897995">
          <w:rPr>
            <w:noProof/>
            <w:webHidden/>
          </w:rPr>
          <w:instrText xml:space="preserve"> PAGEREF _Toc532812409 \h </w:instrText>
        </w:r>
        <w:r w:rsidR="00897995">
          <w:rPr>
            <w:noProof/>
            <w:webHidden/>
          </w:rPr>
        </w:r>
        <w:r w:rsidR="00897995">
          <w:rPr>
            <w:noProof/>
            <w:webHidden/>
          </w:rPr>
          <w:fldChar w:fldCharType="separate"/>
        </w:r>
        <w:r w:rsidR="004C7DEC">
          <w:rPr>
            <w:noProof/>
            <w:webHidden/>
          </w:rPr>
          <w:t>50</w:t>
        </w:r>
        <w:r w:rsidR="00897995">
          <w:rPr>
            <w:noProof/>
            <w:webHidden/>
          </w:rPr>
          <w:fldChar w:fldCharType="end"/>
        </w:r>
      </w:hyperlink>
    </w:p>
    <w:p w14:paraId="6F22647D" w14:textId="73185E60" w:rsidR="00897995" w:rsidRDefault="00A65AAD">
      <w:pPr>
        <w:pStyle w:val="TOC2"/>
        <w:rPr>
          <w:rFonts w:asciiTheme="minorHAnsi" w:eastAsiaTheme="minorEastAsia" w:hAnsiTheme="minorHAnsi" w:cstheme="minorBidi"/>
          <w:bCs w:val="0"/>
          <w:noProof/>
          <w:sz w:val="22"/>
          <w:szCs w:val="22"/>
          <w:lang w:eastAsia="en-GB"/>
        </w:rPr>
      </w:pPr>
      <w:hyperlink w:anchor="_Toc532812410" w:history="1">
        <w:r w:rsidR="00897995" w:rsidRPr="00AF3812">
          <w:rPr>
            <w:rStyle w:val="Hyperlink"/>
            <w:noProof/>
          </w:rPr>
          <w:t>The age and condition of Eden District’s housing</w:t>
        </w:r>
        <w:r w:rsidR="00897995">
          <w:rPr>
            <w:noProof/>
            <w:webHidden/>
          </w:rPr>
          <w:tab/>
        </w:r>
        <w:r w:rsidR="00897995">
          <w:rPr>
            <w:noProof/>
            <w:webHidden/>
          </w:rPr>
          <w:fldChar w:fldCharType="begin"/>
        </w:r>
        <w:r w:rsidR="00897995">
          <w:rPr>
            <w:noProof/>
            <w:webHidden/>
          </w:rPr>
          <w:instrText xml:space="preserve"> PAGEREF _Toc532812410 \h </w:instrText>
        </w:r>
        <w:r w:rsidR="00897995">
          <w:rPr>
            <w:noProof/>
            <w:webHidden/>
          </w:rPr>
        </w:r>
        <w:r w:rsidR="00897995">
          <w:rPr>
            <w:noProof/>
            <w:webHidden/>
          </w:rPr>
          <w:fldChar w:fldCharType="separate"/>
        </w:r>
        <w:r w:rsidR="004C7DEC">
          <w:rPr>
            <w:noProof/>
            <w:webHidden/>
          </w:rPr>
          <w:t>50</w:t>
        </w:r>
        <w:r w:rsidR="00897995">
          <w:rPr>
            <w:noProof/>
            <w:webHidden/>
          </w:rPr>
          <w:fldChar w:fldCharType="end"/>
        </w:r>
      </w:hyperlink>
    </w:p>
    <w:p w14:paraId="1575FE88" w14:textId="3BFDF9B8" w:rsidR="00897995" w:rsidRDefault="00A65AAD">
      <w:pPr>
        <w:pStyle w:val="TOC2"/>
        <w:rPr>
          <w:rFonts w:asciiTheme="minorHAnsi" w:eastAsiaTheme="minorEastAsia" w:hAnsiTheme="minorHAnsi" w:cstheme="minorBidi"/>
          <w:bCs w:val="0"/>
          <w:noProof/>
          <w:sz w:val="22"/>
          <w:szCs w:val="22"/>
          <w:lang w:eastAsia="en-GB"/>
        </w:rPr>
      </w:pPr>
      <w:hyperlink w:anchor="_Toc532812411" w:history="1">
        <w:r w:rsidR="00897995" w:rsidRPr="00AF3812">
          <w:rPr>
            <w:rStyle w:val="Hyperlink"/>
            <w:rFonts w:cs="Calibri"/>
            <w:noProof/>
          </w:rPr>
          <w:t>Housing development (past and planned)</w:t>
        </w:r>
        <w:r w:rsidR="00897995">
          <w:rPr>
            <w:noProof/>
            <w:webHidden/>
          </w:rPr>
          <w:tab/>
        </w:r>
        <w:r w:rsidR="00897995">
          <w:rPr>
            <w:noProof/>
            <w:webHidden/>
          </w:rPr>
          <w:fldChar w:fldCharType="begin"/>
        </w:r>
        <w:r w:rsidR="00897995">
          <w:rPr>
            <w:noProof/>
            <w:webHidden/>
          </w:rPr>
          <w:instrText xml:space="preserve"> PAGEREF _Toc532812411 \h </w:instrText>
        </w:r>
        <w:r w:rsidR="00897995">
          <w:rPr>
            <w:noProof/>
            <w:webHidden/>
          </w:rPr>
        </w:r>
        <w:r w:rsidR="00897995">
          <w:rPr>
            <w:noProof/>
            <w:webHidden/>
          </w:rPr>
          <w:fldChar w:fldCharType="separate"/>
        </w:r>
        <w:r w:rsidR="004C7DEC">
          <w:rPr>
            <w:noProof/>
            <w:webHidden/>
          </w:rPr>
          <w:t>53</w:t>
        </w:r>
        <w:r w:rsidR="00897995">
          <w:rPr>
            <w:noProof/>
            <w:webHidden/>
          </w:rPr>
          <w:fldChar w:fldCharType="end"/>
        </w:r>
      </w:hyperlink>
    </w:p>
    <w:p w14:paraId="6AB26944" w14:textId="300F763A" w:rsidR="00897995" w:rsidRDefault="00A65AAD">
      <w:pPr>
        <w:pStyle w:val="TOC2"/>
        <w:rPr>
          <w:rFonts w:asciiTheme="minorHAnsi" w:eastAsiaTheme="minorEastAsia" w:hAnsiTheme="minorHAnsi" w:cstheme="minorBidi"/>
          <w:bCs w:val="0"/>
          <w:noProof/>
          <w:sz w:val="22"/>
          <w:szCs w:val="22"/>
          <w:lang w:eastAsia="en-GB"/>
        </w:rPr>
      </w:pPr>
      <w:hyperlink w:anchor="_Toc532812412" w:history="1">
        <w:r w:rsidR="00897995" w:rsidRPr="00AF3812">
          <w:rPr>
            <w:rStyle w:val="Hyperlink"/>
            <w:rFonts w:cs="Calibri"/>
            <w:noProof/>
          </w:rPr>
          <w:t>Concluding comments</w:t>
        </w:r>
        <w:r w:rsidR="00897995">
          <w:rPr>
            <w:noProof/>
            <w:webHidden/>
          </w:rPr>
          <w:tab/>
        </w:r>
        <w:r w:rsidR="00897995">
          <w:rPr>
            <w:noProof/>
            <w:webHidden/>
          </w:rPr>
          <w:fldChar w:fldCharType="begin"/>
        </w:r>
        <w:r w:rsidR="00897995">
          <w:rPr>
            <w:noProof/>
            <w:webHidden/>
          </w:rPr>
          <w:instrText xml:space="preserve"> PAGEREF _Toc532812412 \h </w:instrText>
        </w:r>
        <w:r w:rsidR="00897995">
          <w:rPr>
            <w:noProof/>
            <w:webHidden/>
          </w:rPr>
        </w:r>
        <w:r w:rsidR="00897995">
          <w:rPr>
            <w:noProof/>
            <w:webHidden/>
          </w:rPr>
          <w:fldChar w:fldCharType="separate"/>
        </w:r>
        <w:r w:rsidR="004C7DEC">
          <w:rPr>
            <w:noProof/>
            <w:webHidden/>
          </w:rPr>
          <w:t>54</w:t>
        </w:r>
        <w:r w:rsidR="00897995">
          <w:rPr>
            <w:noProof/>
            <w:webHidden/>
          </w:rPr>
          <w:fldChar w:fldCharType="end"/>
        </w:r>
      </w:hyperlink>
    </w:p>
    <w:p w14:paraId="597D48F1" w14:textId="399462D9" w:rsidR="00897995" w:rsidRDefault="00A65AAD" w:rsidP="00897995">
      <w:pPr>
        <w:pStyle w:val="TOC1"/>
        <w:rPr>
          <w:rFonts w:asciiTheme="minorHAnsi" w:eastAsiaTheme="minorEastAsia" w:hAnsiTheme="minorHAnsi" w:cstheme="minorBidi"/>
          <w:sz w:val="22"/>
          <w:szCs w:val="22"/>
          <w:lang w:eastAsia="en-GB"/>
        </w:rPr>
      </w:pPr>
      <w:hyperlink w:anchor="_Toc532812413" w:history="1">
        <w:r w:rsidR="00897995" w:rsidRPr="00AF3812">
          <w:rPr>
            <w:rStyle w:val="Hyperlink"/>
            <w14:scene3d>
              <w14:camera w14:prst="orthographicFront"/>
              <w14:lightRig w14:rig="threePt" w14:dir="t">
                <w14:rot w14:lat="0" w14:lon="0" w14:rev="0"/>
              </w14:lightRig>
            </w14:scene3d>
          </w:rPr>
          <w:t>5.</w:t>
        </w:r>
        <w:r w:rsidR="00897995">
          <w:rPr>
            <w:rFonts w:asciiTheme="minorHAnsi" w:eastAsiaTheme="minorEastAsia" w:hAnsiTheme="minorHAnsi" w:cstheme="minorBidi"/>
            <w:sz w:val="22"/>
            <w:szCs w:val="22"/>
            <w:lang w:eastAsia="en-GB"/>
          </w:rPr>
          <w:tab/>
        </w:r>
        <w:r w:rsidR="00897995" w:rsidRPr="00AF3812">
          <w:rPr>
            <w:rStyle w:val="Hyperlink"/>
          </w:rPr>
          <w:t>Affordable housing need and the needs of different groups</w:t>
        </w:r>
        <w:r w:rsidR="00897995">
          <w:rPr>
            <w:webHidden/>
          </w:rPr>
          <w:tab/>
        </w:r>
        <w:r w:rsidR="00897995">
          <w:rPr>
            <w:webHidden/>
          </w:rPr>
          <w:fldChar w:fldCharType="begin"/>
        </w:r>
        <w:r w:rsidR="00897995">
          <w:rPr>
            <w:webHidden/>
          </w:rPr>
          <w:instrText xml:space="preserve"> PAGEREF _Toc532812413 \h </w:instrText>
        </w:r>
        <w:r w:rsidR="00897995">
          <w:rPr>
            <w:webHidden/>
          </w:rPr>
        </w:r>
        <w:r w:rsidR="00897995">
          <w:rPr>
            <w:webHidden/>
          </w:rPr>
          <w:fldChar w:fldCharType="separate"/>
        </w:r>
        <w:r w:rsidR="004C7DEC">
          <w:rPr>
            <w:webHidden/>
          </w:rPr>
          <w:t>55</w:t>
        </w:r>
        <w:r w:rsidR="00897995">
          <w:rPr>
            <w:webHidden/>
          </w:rPr>
          <w:fldChar w:fldCharType="end"/>
        </w:r>
      </w:hyperlink>
    </w:p>
    <w:p w14:paraId="36642D54" w14:textId="7C41E506" w:rsidR="00897995" w:rsidRDefault="00A65AAD">
      <w:pPr>
        <w:pStyle w:val="TOC2"/>
        <w:rPr>
          <w:rFonts w:asciiTheme="minorHAnsi" w:eastAsiaTheme="minorEastAsia" w:hAnsiTheme="minorHAnsi" w:cstheme="minorBidi"/>
          <w:bCs w:val="0"/>
          <w:noProof/>
          <w:sz w:val="22"/>
          <w:szCs w:val="22"/>
          <w:lang w:eastAsia="en-GB"/>
        </w:rPr>
      </w:pPr>
      <w:hyperlink w:anchor="_Toc532812414" w:history="1">
        <w:r w:rsidR="00897995" w:rsidRPr="00AF3812">
          <w:rPr>
            <w:rStyle w:val="Hyperlink"/>
            <w:noProof/>
          </w:rPr>
          <w:t>Introduction</w:t>
        </w:r>
        <w:r w:rsidR="00897995">
          <w:rPr>
            <w:noProof/>
            <w:webHidden/>
          </w:rPr>
          <w:tab/>
        </w:r>
        <w:r w:rsidR="00897995">
          <w:rPr>
            <w:noProof/>
            <w:webHidden/>
          </w:rPr>
          <w:fldChar w:fldCharType="begin"/>
        </w:r>
        <w:r w:rsidR="00897995">
          <w:rPr>
            <w:noProof/>
            <w:webHidden/>
          </w:rPr>
          <w:instrText xml:space="preserve"> PAGEREF _Toc532812414 \h </w:instrText>
        </w:r>
        <w:r w:rsidR="00897995">
          <w:rPr>
            <w:noProof/>
            <w:webHidden/>
          </w:rPr>
        </w:r>
        <w:r w:rsidR="00897995">
          <w:rPr>
            <w:noProof/>
            <w:webHidden/>
          </w:rPr>
          <w:fldChar w:fldCharType="separate"/>
        </w:r>
        <w:r w:rsidR="004C7DEC">
          <w:rPr>
            <w:noProof/>
            <w:webHidden/>
          </w:rPr>
          <w:t>55</w:t>
        </w:r>
        <w:r w:rsidR="00897995">
          <w:rPr>
            <w:noProof/>
            <w:webHidden/>
          </w:rPr>
          <w:fldChar w:fldCharType="end"/>
        </w:r>
      </w:hyperlink>
    </w:p>
    <w:p w14:paraId="3C2BB8F2" w14:textId="13F45F32" w:rsidR="00897995" w:rsidRDefault="00A65AAD">
      <w:pPr>
        <w:pStyle w:val="TOC2"/>
        <w:rPr>
          <w:rFonts w:asciiTheme="minorHAnsi" w:eastAsiaTheme="minorEastAsia" w:hAnsiTheme="minorHAnsi" w:cstheme="minorBidi"/>
          <w:bCs w:val="0"/>
          <w:noProof/>
          <w:sz w:val="22"/>
          <w:szCs w:val="22"/>
          <w:lang w:eastAsia="en-GB"/>
        </w:rPr>
      </w:pPr>
      <w:hyperlink w:anchor="_Toc532812415" w:history="1">
        <w:r w:rsidR="00897995" w:rsidRPr="00AF3812">
          <w:rPr>
            <w:rStyle w:val="Hyperlink"/>
            <w:noProof/>
          </w:rPr>
          <w:t>Affordable Housing Needs Assessment</w:t>
        </w:r>
        <w:r w:rsidR="00897995">
          <w:rPr>
            <w:noProof/>
            <w:webHidden/>
          </w:rPr>
          <w:tab/>
        </w:r>
        <w:r w:rsidR="00897995">
          <w:rPr>
            <w:noProof/>
            <w:webHidden/>
          </w:rPr>
          <w:fldChar w:fldCharType="begin"/>
        </w:r>
        <w:r w:rsidR="00897995">
          <w:rPr>
            <w:noProof/>
            <w:webHidden/>
          </w:rPr>
          <w:instrText xml:space="preserve"> PAGEREF _Toc532812415 \h </w:instrText>
        </w:r>
        <w:r w:rsidR="00897995">
          <w:rPr>
            <w:noProof/>
            <w:webHidden/>
          </w:rPr>
        </w:r>
        <w:r w:rsidR="00897995">
          <w:rPr>
            <w:noProof/>
            <w:webHidden/>
          </w:rPr>
          <w:fldChar w:fldCharType="separate"/>
        </w:r>
        <w:r w:rsidR="004C7DEC">
          <w:rPr>
            <w:noProof/>
            <w:webHidden/>
          </w:rPr>
          <w:t>56</w:t>
        </w:r>
        <w:r w:rsidR="00897995">
          <w:rPr>
            <w:noProof/>
            <w:webHidden/>
          </w:rPr>
          <w:fldChar w:fldCharType="end"/>
        </w:r>
      </w:hyperlink>
    </w:p>
    <w:p w14:paraId="7462F60D" w14:textId="4FEEC71B" w:rsidR="00897995" w:rsidRDefault="00A65AAD">
      <w:pPr>
        <w:pStyle w:val="TOC2"/>
        <w:rPr>
          <w:rFonts w:asciiTheme="minorHAnsi" w:eastAsiaTheme="minorEastAsia" w:hAnsiTheme="minorHAnsi" w:cstheme="minorBidi"/>
          <w:bCs w:val="0"/>
          <w:noProof/>
          <w:sz w:val="22"/>
          <w:szCs w:val="22"/>
          <w:lang w:eastAsia="en-GB"/>
        </w:rPr>
      </w:pPr>
      <w:hyperlink w:anchor="_Toc532812416" w:history="1">
        <w:r w:rsidR="00897995" w:rsidRPr="00AF3812">
          <w:rPr>
            <w:rStyle w:val="Hyperlink"/>
            <w:rFonts w:cs="Calibri"/>
            <w:noProof/>
          </w:rPr>
          <w:t>Tenure split</w:t>
        </w:r>
        <w:r w:rsidR="00897995">
          <w:rPr>
            <w:noProof/>
            <w:webHidden/>
          </w:rPr>
          <w:tab/>
        </w:r>
        <w:r w:rsidR="00897995">
          <w:rPr>
            <w:noProof/>
            <w:webHidden/>
          </w:rPr>
          <w:fldChar w:fldCharType="begin"/>
        </w:r>
        <w:r w:rsidR="00897995">
          <w:rPr>
            <w:noProof/>
            <w:webHidden/>
          </w:rPr>
          <w:instrText xml:space="preserve"> PAGEREF _Toc532812416 \h </w:instrText>
        </w:r>
        <w:r w:rsidR="00897995">
          <w:rPr>
            <w:noProof/>
            <w:webHidden/>
          </w:rPr>
        </w:r>
        <w:r w:rsidR="00897995">
          <w:rPr>
            <w:noProof/>
            <w:webHidden/>
          </w:rPr>
          <w:fldChar w:fldCharType="separate"/>
        </w:r>
        <w:r w:rsidR="004C7DEC">
          <w:rPr>
            <w:noProof/>
            <w:webHidden/>
          </w:rPr>
          <w:t>60</w:t>
        </w:r>
        <w:r w:rsidR="00897995">
          <w:rPr>
            <w:noProof/>
            <w:webHidden/>
          </w:rPr>
          <w:fldChar w:fldCharType="end"/>
        </w:r>
      </w:hyperlink>
    </w:p>
    <w:p w14:paraId="13863E45" w14:textId="5C0E8F82" w:rsidR="00897995" w:rsidRDefault="00A65AAD">
      <w:pPr>
        <w:pStyle w:val="TOC2"/>
        <w:rPr>
          <w:rFonts w:asciiTheme="minorHAnsi" w:eastAsiaTheme="minorEastAsia" w:hAnsiTheme="minorHAnsi" w:cstheme="minorBidi"/>
          <w:bCs w:val="0"/>
          <w:noProof/>
          <w:sz w:val="22"/>
          <w:szCs w:val="22"/>
          <w:lang w:eastAsia="en-GB"/>
        </w:rPr>
      </w:pPr>
      <w:hyperlink w:anchor="_Toc532812417" w:history="1">
        <w:r w:rsidR="00897995" w:rsidRPr="00AF3812">
          <w:rPr>
            <w:rStyle w:val="Hyperlink"/>
            <w:noProof/>
          </w:rPr>
          <w:t>Summary</w:t>
        </w:r>
        <w:r w:rsidR="00897995">
          <w:rPr>
            <w:noProof/>
            <w:webHidden/>
          </w:rPr>
          <w:tab/>
        </w:r>
        <w:r w:rsidR="00897995">
          <w:rPr>
            <w:noProof/>
            <w:webHidden/>
          </w:rPr>
          <w:fldChar w:fldCharType="begin"/>
        </w:r>
        <w:r w:rsidR="00897995">
          <w:rPr>
            <w:noProof/>
            <w:webHidden/>
          </w:rPr>
          <w:instrText xml:space="preserve"> PAGEREF _Toc532812417 \h </w:instrText>
        </w:r>
        <w:r w:rsidR="00897995">
          <w:rPr>
            <w:noProof/>
            <w:webHidden/>
          </w:rPr>
        </w:r>
        <w:r w:rsidR="00897995">
          <w:rPr>
            <w:noProof/>
            <w:webHidden/>
          </w:rPr>
          <w:fldChar w:fldCharType="separate"/>
        </w:r>
        <w:r w:rsidR="004C7DEC">
          <w:rPr>
            <w:noProof/>
            <w:webHidden/>
          </w:rPr>
          <w:t>61</w:t>
        </w:r>
        <w:r w:rsidR="00897995">
          <w:rPr>
            <w:noProof/>
            <w:webHidden/>
          </w:rPr>
          <w:fldChar w:fldCharType="end"/>
        </w:r>
      </w:hyperlink>
    </w:p>
    <w:p w14:paraId="200FA620" w14:textId="0739DDAD" w:rsidR="00897995" w:rsidRDefault="00A65AAD" w:rsidP="00897995">
      <w:pPr>
        <w:pStyle w:val="TOC1"/>
        <w:rPr>
          <w:rFonts w:asciiTheme="minorHAnsi" w:eastAsiaTheme="minorEastAsia" w:hAnsiTheme="minorHAnsi" w:cstheme="minorBidi"/>
          <w:sz w:val="22"/>
          <w:szCs w:val="22"/>
          <w:lang w:eastAsia="en-GB"/>
        </w:rPr>
      </w:pPr>
      <w:hyperlink w:anchor="_Toc532812418" w:history="1">
        <w:r w:rsidR="00897995" w:rsidRPr="00AF3812">
          <w:rPr>
            <w:rStyle w:val="Hyperlink"/>
            <w14:scene3d>
              <w14:camera w14:prst="orthographicFront"/>
              <w14:lightRig w14:rig="threePt" w14:dir="t">
                <w14:rot w14:lat="0" w14:lon="0" w14:rev="0"/>
              </w14:lightRig>
            </w14:scene3d>
          </w:rPr>
          <w:t>6.</w:t>
        </w:r>
        <w:r w:rsidR="00897995">
          <w:rPr>
            <w:rFonts w:asciiTheme="minorHAnsi" w:eastAsiaTheme="minorEastAsia" w:hAnsiTheme="minorHAnsi" w:cstheme="minorBidi"/>
            <w:sz w:val="22"/>
            <w:szCs w:val="22"/>
            <w:lang w:eastAsia="en-GB"/>
          </w:rPr>
          <w:tab/>
        </w:r>
        <w:r w:rsidR="00897995" w:rsidRPr="00AF3812">
          <w:rPr>
            <w:rStyle w:val="Hyperlink"/>
            <w:rFonts w:cs="Calibri"/>
          </w:rPr>
          <w:t>The needs of different groups</w:t>
        </w:r>
        <w:r w:rsidR="00897995">
          <w:rPr>
            <w:webHidden/>
          </w:rPr>
          <w:tab/>
        </w:r>
        <w:r w:rsidR="00897995">
          <w:rPr>
            <w:webHidden/>
          </w:rPr>
          <w:fldChar w:fldCharType="begin"/>
        </w:r>
        <w:r w:rsidR="00897995">
          <w:rPr>
            <w:webHidden/>
          </w:rPr>
          <w:instrText xml:space="preserve"> PAGEREF _Toc532812418 \h </w:instrText>
        </w:r>
        <w:r w:rsidR="00897995">
          <w:rPr>
            <w:webHidden/>
          </w:rPr>
        </w:r>
        <w:r w:rsidR="00897995">
          <w:rPr>
            <w:webHidden/>
          </w:rPr>
          <w:fldChar w:fldCharType="separate"/>
        </w:r>
        <w:r w:rsidR="004C7DEC">
          <w:rPr>
            <w:webHidden/>
          </w:rPr>
          <w:t>62</w:t>
        </w:r>
        <w:r w:rsidR="00897995">
          <w:rPr>
            <w:webHidden/>
          </w:rPr>
          <w:fldChar w:fldCharType="end"/>
        </w:r>
      </w:hyperlink>
    </w:p>
    <w:p w14:paraId="1364D0ED" w14:textId="5DFEE314" w:rsidR="00897995" w:rsidRDefault="00A65AAD">
      <w:pPr>
        <w:pStyle w:val="TOC2"/>
        <w:rPr>
          <w:rFonts w:asciiTheme="minorHAnsi" w:eastAsiaTheme="minorEastAsia" w:hAnsiTheme="minorHAnsi" w:cstheme="minorBidi"/>
          <w:bCs w:val="0"/>
          <w:noProof/>
          <w:sz w:val="22"/>
          <w:szCs w:val="22"/>
          <w:lang w:eastAsia="en-GB"/>
        </w:rPr>
      </w:pPr>
      <w:hyperlink w:anchor="_Toc532812419" w:history="1">
        <w:r w:rsidR="00897995" w:rsidRPr="00AF3812">
          <w:rPr>
            <w:rStyle w:val="Hyperlink"/>
            <w:noProof/>
          </w:rPr>
          <w:t>Introduction</w:t>
        </w:r>
        <w:r w:rsidR="00897995">
          <w:rPr>
            <w:noProof/>
            <w:webHidden/>
          </w:rPr>
          <w:tab/>
        </w:r>
        <w:r w:rsidR="00897995">
          <w:rPr>
            <w:noProof/>
            <w:webHidden/>
          </w:rPr>
          <w:fldChar w:fldCharType="begin"/>
        </w:r>
        <w:r w:rsidR="00897995">
          <w:rPr>
            <w:noProof/>
            <w:webHidden/>
          </w:rPr>
          <w:instrText xml:space="preserve"> PAGEREF _Toc532812419 \h </w:instrText>
        </w:r>
        <w:r w:rsidR="00897995">
          <w:rPr>
            <w:noProof/>
            <w:webHidden/>
          </w:rPr>
        </w:r>
        <w:r w:rsidR="00897995">
          <w:rPr>
            <w:noProof/>
            <w:webHidden/>
          </w:rPr>
          <w:fldChar w:fldCharType="separate"/>
        </w:r>
        <w:r w:rsidR="004C7DEC">
          <w:rPr>
            <w:noProof/>
            <w:webHidden/>
          </w:rPr>
          <w:t>62</w:t>
        </w:r>
        <w:r w:rsidR="00897995">
          <w:rPr>
            <w:noProof/>
            <w:webHidden/>
          </w:rPr>
          <w:fldChar w:fldCharType="end"/>
        </w:r>
      </w:hyperlink>
    </w:p>
    <w:p w14:paraId="1DAFC986" w14:textId="44A53716" w:rsidR="00897995" w:rsidRDefault="00A65AAD">
      <w:pPr>
        <w:pStyle w:val="TOC2"/>
        <w:rPr>
          <w:rFonts w:asciiTheme="minorHAnsi" w:eastAsiaTheme="minorEastAsia" w:hAnsiTheme="minorHAnsi" w:cstheme="minorBidi"/>
          <w:bCs w:val="0"/>
          <w:noProof/>
          <w:sz w:val="22"/>
          <w:szCs w:val="22"/>
          <w:lang w:eastAsia="en-GB"/>
        </w:rPr>
      </w:pPr>
      <w:hyperlink w:anchor="_Toc532812420" w:history="1">
        <w:r w:rsidR="00897995" w:rsidRPr="00AF3812">
          <w:rPr>
            <w:rStyle w:val="Hyperlink"/>
            <w:noProof/>
          </w:rPr>
          <w:t>The private rented sector</w:t>
        </w:r>
        <w:r w:rsidR="00897995">
          <w:rPr>
            <w:noProof/>
            <w:webHidden/>
          </w:rPr>
          <w:tab/>
        </w:r>
        <w:r w:rsidR="00897995">
          <w:rPr>
            <w:noProof/>
            <w:webHidden/>
          </w:rPr>
          <w:fldChar w:fldCharType="begin"/>
        </w:r>
        <w:r w:rsidR="00897995">
          <w:rPr>
            <w:noProof/>
            <w:webHidden/>
          </w:rPr>
          <w:instrText xml:space="preserve"> PAGEREF _Toc532812420 \h </w:instrText>
        </w:r>
        <w:r w:rsidR="00897995">
          <w:rPr>
            <w:noProof/>
            <w:webHidden/>
          </w:rPr>
        </w:r>
        <w:r w:rsidR="00897995">
          <w:rPr>
            <w:noProof/>
            <w:webHidden/>
          </w:rPr>
          <w:fldChar w:fldCharType="separate"/>
        </w:r>
        <w:r w:rsidR="004C7DEC">
          <w:rPr>
            <w:noProof/>
            <w:webHidden/>
          </w:rPr>
          <w:t>62</w:t>
        </w:r>
        <w:r w:rsidR="00897995">
          <w:rPr>
            <w:noProof/>
            <w:webHidden/>
          </w:rPr>
          <w:fldChar w:fldCharType="end"/>
        </w:r>
      </w:hyperlink>
    </w:p>
    <w:p w14:paraId="7BD2E0B5" w14:textId="488A4E13" w:rsidR="00897995" w:rsidRDefault="00A65AAD">
      <w:pPr>
        <w:pStyle w:val="TOC2"/>
        <w:rPr>
          <w:rFonts w:asciiTheme="minorHAnsi" w:eastAsiaTheme="minorEastAsia" w:hAnsiTheme="minorHAnsi" w:cstheme="minorBidi"/>
          <w:bCs w:val="0"/>
          <w:noProof/>
          <w:sz w:val="22"/>
          <w:szCs w:val="22"/>
          <w:lang w:eastAsia="en-GB"/>
        </w:rPr>
      </w:pPr>
      <w:hyperlink w:anchor="_Toc532812421" w:history="1">
        <w:r w:rsidR="00897995" w:rsidRPr="00AF3812">
          <w:rPr>
            <w:rStyle w:val="Hyperlink"/>
            <w:noProof/>
          </w:rPr>
          <w:t>Self-build and custom housebuilding</w:t>
        </w:r>
        <w:r w:rsidR="00897995">
          <w:rPr>
            <w:noProof/>
            <w:webHidden/>
          </w:rPr>
          <w:tab/>
        </w:r>
        <w:r w:rsidR="00897995">
          <w:rPr>
            <w:noProof/>
            <w:webHidden/>
          </w:rPr>
          <w:fldChar w:fldCharType="begin"/>
        </w:r>
        <w:r w:rsidR="00897995">
          <w:rPr>
            <w:noProof/>
            <w:webHidden/>
          </w:rPr>
          <w:instrText xml:space="preserve"> PAGEREF _Toc532812421 \h </w:instrText>
        </w:r>
        <w:r w:rsidR="00897995">
          <w:rPr>
            <w:noProof/>
            <w:webHidden/>
          </w:rPr>
        </w:r>
        <w:r w:rsidR="00897995">
          <w:rPr>
            <w:noProof/>
            <w:webHidden/>
          </w:rPr>
          <w:fldChar w:fldCharType="separate"/>
        </w:r>
        <w:r w:rsidR="004C7DEC">
          <w:rPr>
            <w:noProof/>
            <w:webHidden/>
          </w:rPr>
          <w:t>62</w:t>
        </w:r>
        <w:r w:rsidR="00897995">
          <w:rPr>
            <w:noProof/>
            <w:webHidden/>
          </w:rPr>
          <w:fldChar w:fldCharType="end"/>
        </w:r>
      </w:hyperlink>
    </w:p>
    <w:p w14:paraId="64038772" w14:textId="5A299FC5" w:rsidR="00897995" w:rsidRDefault="00A65AAD">
      <w:pPr>
        <w:pStyle w:val="TOC2"/>
        <w:rPr>
          <w:rFonts w:asciiTheme="minorHAnsi" w:eastAsiaTheme="minorEastAsia" w:hAnsiTheme="minorHAnsi" w:cstheme="minorBidi"/>
          <w:bCs w:val="0"/>
          <w:noProof/>
          <w:sz w:val="22"/>
          <w:szCs w:val="22"/>
          <w:lang w:eastAsia="en-GB"/>
        </w:rPr>
      </w:pPr>
      <w:hyperlink w:anchor="_Toc532812422" w:history="1">
        <w:r w:rsidR="00897995" w:rsidRPr="00AF3812">
          <w:rPr>
            <w:rStyle w:val="Hyperlink"/>
            <w:noProof/>
          </w:rPr>
          <w:t>Family housing/households with children</w:t>
        </w:r>
        <w:r w:rsidR="00897995">
          <w:rPr>
            <w:noProof/>
            <w:webHidden/>
          </w:rPr>
          <w:tab/>
        </w:r>
        <w:r w:rsidR="00897995">
          <w:rPr>
            <w:noProof/>
            <w:webHidden/>
          </w:rPr>
          <w:fldChar w:fldCharType="begin"/>
        </w:r>
        <w:r w:rsidR="00897995">
          <w:rPr>
            <w:noProof/>
            <w:webHidden/>
          </w:rPr>
          <w:instrText xml:space="preserve"> PAGEREF _Toc532812422 \h </w:instrText>
        </w:r>
        <w:r w:rsidR="00897995">
          <w:rPr>
            <w:noProof/>
            <w:webHidden/>
          </w:rPr>
        </w:r>
        <w:r w:rsidR="00897995">
          <w:rPr>
            <w:noProof/>
            <w:webHidden/>
          </w:rPr>
          <w:fldChar w:fldCharType="separate"/>
        </w:r>
        <w:r w:rsidR="004C7DEC">
          <w:rPr>
            <w:noProof/>
            <w:webHidden/>
          </w:rPr>
          <w:t>63</w:t>
        </w:r>
        <w:r w:rsidR="00897995">
          <w:rPr>
            <w:noProof/>
            <w:webHidden/>
          </w:rPr>
          <w:fldChar w:fldCharType="end"/>
        </w:r>
      </w:hyperlink>
    </w:p>
    <w:p w14:paraId="76701ED1" w14:textId="0A98B216" w:rsidR="00897995" w:rsidRDefault="00A65AAD">
      <w:pPr>
        <w:pStyle w:val="TOC2"/>
        <w:rPr>
          <w:rFonts w:asciiTheme="minorHAnsi" w:eastAsiaTheme="minorEastAsia" w:hAnsiTheme="minorHAnsi" w:cstheme="minorBidi"/>
          <w:bCs w:val="0"/>
          <w:noProof/>
          <w:sz w:val="22"/>
          <w:szCs w:val="22"/>
          <w:lang w:eastAsia="en-GB"/>
        </w:rPr>
      </w:pPr>
      <w:hyperlink w:anchor="_Toc532812423" w:history="1">
        <w:r w:rsidR="00897995" w:rsidRPr="00AF3812">
          <w:rPr>
            <w:rStyle w:val="Hyperlink"/>
            <w:noProof/>
          </w:rPr>
          <w:t>Housing for o</w:t>
        </w:r>
        <w:r w:rsidR="00897995" w:rsidRPr="00AF3812">
          <w:rPr>
            <w:rStyle w:val="Hyperlink"/>
            <w:noProof/>
            <w:lang w:val="x-none"/>
          </w:rPr>
          <w:t>lder people</w:t>
        </w:r>
        <w:r w:rsidR="00897995">
          <w:rPr>
            <w:noProof/>
            <w:webHidden/>
          </w:rPr>
          <w:tab/>
        </w:r>
        <w:r w:rsidR="00897995">
          <w:rPr>
            <w:noProof/>
            <w:webHidden/>
          </w:rPr>
          <w:fldChar w:fldCharType="begin"/>
        </w:r>
        <w:r w:rsidR="00897995">
          <w:rPr>
            <w:noProof/>
            <w:webHidden/>
          </w:rPr>
          <w:instrText xml:space="preserve"> PAGEREF _Toc532812423 \h </w:instrText>
        </w:r>
        <w:r w:rsidR="00897995">
          <w:rPr>
            <w:noProof/>
            <w:webHidden/>
          </w:rPr>
        </w:r>
        <w:r w:rsidR="00897995">
          <w:rPr>
            <w:noProof/>
            <w:webHidden/>
          </w:rPr>
          <w:fldChar w:fldCharType="separate"/>
        </w:r>
        <w:r w:rsidR="004C7DEC">
          <w:rPr>
            <w:noProof/>
            <w:webHidden/>
          </w:rPr>
          <w:t>64</w:t>
        </w:r>
        <w:r w:rsidR="00897995">
          <w:rPr>
            <w:noProof/>
            <w:webHidden/>
          </w:rPr>
          <w:fldChar w:fldCharType="end"/>
        </w:r>
      </w:hyperlink>
    </w:p>
    <w:p w14:paraId="465B222D" w14:textId="7F4A0EC9" w:rsidR="00897995" w:rsidRDefault="00A65AAD">
      <w:pPr>
        <w:pStyle w:val="TOC2"/>
        <w:rPr>
          <w:rFonts w:asciiTheme="minorHAnsi" w:eastAsiaTheme="minorEastAsia" w:hAnsiTheme="minorHAnsi" w:cstheme="minorBidi"/>
          <w:bCs w:val="0"/>
          <w:noProof/>
          <w:sz w:val="22"/>
          <w:szCs w:val="22"/>
          <w:lang w:eastAsia="en-GB"/>
        </w:rPr>
      </w:pPr>
      <w:hyperlink w:anchor="_Toc532812424" w:history="1">
        <w:r w:rsidR="00897995" w:rsidRPr="00AF3812">
          <w:rPr>
            <w:rStyle w:val="Hyperlink"/>
            <w:rFonts w:cs="Calibri"/>
            <w:noProof/>
          </w:rPr>
          <w:t>Future need for specialist older person accommodation and residential care institutions</w:t>
        </w:r>
        <w:r w:rsidR="00897995">
          <w:rPr>
            <w:noProof/>
            <w:webHidden/>
          </w:rPr>
          <w:tab/>
        </w:r>
        <w:r w:rsidR="00897995">
          <w:rPr>
            <w:noProof/>
            <w:webHidden/>
          </w:rPr>
          <w:fldChar w:fldCharType="begin"/>
        </w:r>
        <w:r w:rsidR="00897995">
          <w:rPr>
            <w:noProof/>
            <w:webHidden/>
          </w:rPr>
          <w:instrText xml:space="preserve"> PAGEREF _Toc532812424 \h </w:instrText>
        </w:r>
        <w:r w:rsidR="00897995">
          <w:rPr>
            <w:noProof/>
            <w:webHidden/>
          </w:rPr>
        </w:r>
        <w:r w:rsidR="00897995">
          <w:rPr>
            <w:noProof/>
            <w:webHidden/>
          </w:rPr>
          <w:fldChar w:fldCharType="separate"/>
        </w:r>
        <w:r w:rsidR="004C7DEC">
          <w:rPr>
            <w:noProof/>
            <w:webHidden/>
          </w:rPr>
          <w:t>65</w:t>
        </w:r>
        <w:r w:rsidR="00897995">
          <w:rPr>
            <w:noProof/>
            <w:webHidden/>
          </w:rPr>
          <w:fldChar w:fldCharType="end"/>
        </w:r>
      </w:hyperlink>
    </w:p>
    <w:p w14:paraId="313AE1B4" w14:textId="24EF0407" w:rsidR="00897995" w:rsidRDefault="00A65AAD">
      <w:pPr>
        <w:pStyle w:val="TOC2"/>
        <w:rPr>
          <w:rFonts w:asciiTheme="minorHAnsi" w:eastAsiaTheme="minorEastAsia" w:hAnsiTheme="minorHAnsi" w:cstheme="minorBidi"/>
          <w:bCs w:val="0"/>
          <w:noProof/>
          <w:sz w:val="22"/>
          <w:szCs w:val="22"/>
          <w:lang w:eastAsia="en-GB"/>
        </w:rPr>
      </w:pPr>
      <w:hyperlink w:anchor="_Toc532812425" w:history="1">
        <w:r w:rsidR="00897995" w:rsidRPr="00AF3812">
          <w:rPr>
            <w:rStyle w:val="Hyperlink"/>
            <w:noProof/>
          </w:rPr>
          <w:t>Housing for people with disabilities and additional needs</w:t>
        </w:r>
        <w:r w:rsidR="00897995">
          <w:rPr>
            <w:noProof/>
            <w:webHidden/>
          </w:rPr>
          <w:tab/>
        </w:r>
        <w:r w:rsidR="00897995">
          <w:rPr>
            <w:noProof/>
            <w:webHidden/>
          </w:rPr>
          <w:fldChar w:fldCharType="begin"/>
        </w:r>
        <w:r w:rsidR="00897995">
          <w:rPr>
            <w:noProof/>
            <w:webHidden/>
          </w:rPr>
          <w:instrText xml:space="preserve"> PAGEREF _Toc532812425 \h </w:instrText>
        </w:r>
        <w:r w:rsidR="00897995">
          <w:rPr>
            <w:noProof/>
            <w:webHidden/>
          </w:rPr>
        </w:r>
        <w:r w:rsidR="00897995">
          <w:rPr>
            <w:noProof/>
            <w:webHidden/>
          </w:rPr>
          <w:fldChar w:fldCharType="separate"/>
        </w:r>
        <w:r w:rsidR="004C7DEC">
          <w:rPr>
            <w:noProof/>
            <w:webHidden/>
          </w:rPr>
          <w:t>73</w:t>
        </w:r>
        <w:r w:rsidR="00897995">
          <w:rPr>
            <w:noProof/>
            <w:webHidden/>
          </w:rPr>
          <w:fldChar w:fldCharType="end"/>
        </w:r>
      </w:hyperlink>
    </w:p>
    <w:p w14:paraId="3AF18990" w14:textId="256BFE7F" w:rsidR="00897995" w:rsidRDefault="00A65AAD">
      <w:pPr>
        <w:pStyle w:val="TOC2"/>
        <w:rPr>
          <w:rFonts w:asciiTheme="minorHAnsi" w:eastAsiaTheme="minorEastAsia" w:hAnsiTheme="minorHAnsi" w:cstheme="minorBidi"/>
          <w:bCs w:val="0"/>
          <w:noProof/>
          <w:sz w:val="22"/>
          <w:szCs w:val="22"/>
          <w:lang w:eastAsia="en-GB"/>
        </w:rPr>
      </w:pPr>
      <w:hyperlink w:anchor="_Toc532812426" w:history="1">
        <w:r w:rsidR="00897995" w:rsidRPr="00AF3812">
          <w:rPr>
            <w:rStyle w:val="Hyperlink"/>
            <w:noProof/>
          </w:rPr>
          <w:t>Benefit claimants - Disability Living Allowance (DLA) by disabling condition</w:t>
        </w:r>
        <w:r w:rsidR="00897995">
          <w:rPr>
            <w:noProof/>
            <w:webHidden/>
          </w:rPr>
          <w:tab/>
        </w:r>
        <w:r w:rsidR="00897995">
          <w:rPr>
            <w:noProof/>
            <w:webHidden/>
          </w:rPr>
          <w:fldChar w:fldCharType="begin"/>
        </w:r>
        <w:r w:rsidR="00897995">
          <w:rPr>
            <w:noProof/>
            <w:webHidden/>
          </w:rPr>
          <w:instrText xml:space="preserve"> PAGEREF _Toc532812426 \h </w:instrText>
        </w:r>
        <w:r w:rsidR="00897995">
          <w:rPr>
            <w:noProof/>
            <w:webHidden/>
          </w:rPr>
        </w:r>
        <w:r w:rsidR="00897995">
          <w:rPr>
            <w:noProof/>
            <w:webHidden/>
          </w:rPr>
          <w:fldChar w:fldCharType="separate"/>
        </w:r>
        <w:r w:rsidR="004C7DEC">
          <w:rPr>
            <w:noProof/>
            <w:webHidden/>
          </w:rPr>
          <w:t>77</w:t>
        </w:r>
        <w:r w:rsidR="00897995">
          <w:rPr>
            <w:noProof/>
            <w:webHidden/>
          </w:rPr>
          <w:fldChar w:fldCharType="end"/>
        </w:r>
      </w:hyperlink>
    </w:p>
    <w:p w14:paraId="5F37249D" w14:textId="09A67D97" w:rsidR="00897995" w:rsidRDefault="00A65AAD">
      <w:pPr>
        <w:pStyle w:val="TOC2"/>
        <w:rPr>
          <w:rFonts w:asciiTheme="minorHAnsi" w:eastAsiaTheme="minorEastAsia" w:hAnsiTheme="minorHAnsi" w:cstheme="minorBidi"/>
          <w:bCs w:val="0"/>
          <w:noProof/>
          <w:sz w:val="22"/>
          <w:szCs w:val="22"/>
          <w:lang w:eastAsia="en-GB"/>
        </w:rPr>
      </w:pPr>
      <w:hyperlink w:anchor="_Toc532812427" w:history="1">
        <w:r w:rsidR="00897995" w:rsidRPr="00AF3812">
          <w:rPr>
            <w:rStyle w:val="Hyperlink"/>
            <w:noProof/>
          </w:rPr>
          <w:t>Stakeholder views on specialist housing in Eden District</w:t>
        </w:r>
        <w:r w:rsidR="00897995">
          <w:rPr>
            <w:noProof/>
            <w:webHidden/>
          </w:rPr>
          <w:tab/>
        </w:r>
        <w:r w:rsidR="00897995">
          <w:rPr>
            <w:noProof/>
            <w:webHidden/>
          </w:rPr>
          <w:fldChar w:fldCharType="begin"/>
        </w:r>
        <w:r w:rsidR="00897995">
          <w:rPr>
            <w:noProof/>
            <w:webHidden/>
          </w:rPr>
          <w:instrText xml:space="preserve"> PAGEREF _Toc532812427 \h </w:instrText>
        </w:r>
        <w:r w:rsidR="00897995">
          <w:rPr>
            <w:noProof/>
            <w:webHidden/>
          </w:rPr>
        </w:r>
        <w:r w:rsidR="00897995">
          <w:rPr>
            <w:noProof/>
            <w:webHidden/>
          </w:rPr>
          <w:fldChar w:fldCharType="separate"/>
        </w:r>
        <w:r w:rsidR="004C7DEC">
          <w:rPr>
            <w:noProof/>
            <w:webHidden/>
          </w:rPr>
          <w:t>78</w:t>
        </w:r>
        <w:r w:rsidR="00897995">
          <w:rPr>
            <w:noProof/>
            <w:webHidden/>
          </w:rPr>
          <w:fldChar w:fldCharType="end"/>
        </w:r>
      </w:hyperlink>
    </w:p>
    <w:p w14:paraId="618489ED" w14:textId="303EE1C4" w:rsidR="00897995" w:rsidRDefault="00A65AAD">
      <w:pPr>
        <w:pStyle w:val="TOC2"/>
        <w:rPr>
          <w:rFonts w:asciiTheme="minorHAnsi" w:eastAsiaTheme="minorEastAsia" w:hAnsiTheme="minorHAnsi" w:cstheme="minorBidi"/>
          <w:bCs w:val="0"/>
          <w:noProof/>
          <w:sz w:val="22"/>
          <w:szCs w:val="22"/>
          <w:lang w:eastAsia="en-GB"/>
        </w:rPr>
      </w:pPr>
      <w:hyperlink w:anchor="_Toc532812428" w:history="1">
        <w:r w:rsidR="00897995" w:rsidRPr="00AF3812">
          <w:rPr>
            <w:rStyle w:val="Hyperlink"/>
            <w:noProof/>
          </w:rPr>
          <w:t>Recommendations for optional accessibility and wheelchair</w:t>
        </w:r>
        <w:r w:rsidR="00897995" w:rsidRPr="00AF3812">
          <w:rPr>
            <w:rStyle w:val="Hyperlink"/>
            <w:noProof/>
            <w:lang w:val="en-US"/>
          </w:rPr>
          <w:t xml:space="preserve"> </w:t>
        </w:r>
        <w:r w:rsidR="00897995" w:rsidRPr="00AF3812">
          <w:rPr>
            <w:rStyle w:val="Hyperlink"/>
            <w:noProof/>
          </w:rPr>
          <w:t>standard housing</w:t>
        </w:r>
        <w:r w:rsidR="00897995">
          <w:rPr>
            <w:noProof/>
            <w:webHidden/>
          </w:rPr>
          <w:tab/>
        </w:r>
        <w:r w:rsidR="00897995">
          <w:rPr>
            <w:noProof/>
            <w:webHidden/>
          </w:rPr>
          <w:fldChar w:fldCharType="begin"/>
        </w:r>
        <w:r w:rsidR="00897995">
          <w:rPr>
            <w:noProof/>
            <w:webHidden/>
          </w:rPr>
          <w:instrText xml:space="preserve"> PAGEREF _Toc532812428 \h </w:instrText>
        </w:r>
        <w:r w:rsidR="00897995">
          <w:rPr>
            <w:noProof/>
            <w:webHidden/>
          </w:rPr>
        </w:r>
        <w:r w:rsidR="00897995">
          <w:rPr>
            <w:noProof/>
            <w:webHidden/>
          </w:rPr>
          <w:fldChar w:fldCharType="separate"/>
        </w:r>
        <w:r w:rsidR="004C7DEC">
          <w:rPr>
            <w:noProof/>
            <w:webHidden/>
          </w:rPr>
          <w:t>79</w:t>
        </w:r>
        <w:r w:rsidR="00897995">
          <w:rPr>
            <w:noProof/>
            <w:webHidden/>
          </w:rPr>
          <w:fldChar w:fldCharType="end"/>
        </w:r>
      </w:hyperlink>
    </w:p>
    <w:p w14:paraId="34AC42B5" w14:textId="0F31D617" w:rsidR="00897995" w:rsidRDefault="00A65AAD">
      <w:pPr>
        <w:pStyle w:val="TOC2"/>
        <w:rPr>
          <w:rFonts w:asciiTheme="minorHAnsi" w:eastAsiaTheme="minorEastAsia" w:hAnsiTheme="minorHAnsi" w:cstheme="minorBidi"/>
          <w:bCs w:val="0"/>
          <w:noProof/>
          <w:sz w:val="22"/>
          <w:szCs w:val="22"/>
          <w:lang w:eastAsia="en-GB"/>
        </w:rPr>
      </w:pPr>
      <w:hyperlink w:anchor="_Toc532812429" w:history="1">
        <w:r w:rsidR="00897995" w:rsidRPr="00AF3812">
          <w:rPr>
            <w:rStyle w:val="Hyperlink"/>
            <w:rFonts w:cs="Calibri"/>
            <w:iCs/>
            <w:noProof/>
            <w:lang w:val="x-none"/>
          </w:rPr>
          <w:t>Summa</w:t>
        </w:r>
        <w:r w:rsidR="00897995" w:rsidRPr="00AF3812">
          <w:rPr>
            <w:rStyle w:val="Hyperlink"/>
            <w:rFonts w:cs="Calibri"/>
            <w:iCs/>
            <w:noProof/>
          </w:rPr>
          <w:t>ry</w:t>
        </w:r>
        <w:r w:rsidR="00897995">
          <w:rPr>
            <w:noProof/>
            <w:webHidden/>
          </w:rPr>
          <w:tab/>
        </w:r>
        <w:r w:rsidR="00897995">
          <w:rPr>
            <w:noProof/>
            <w:webHidden/>
          </w:rPr>
          <w:fldChar w:fldCharType="begin"/>
        </w:r>
        <w:r w:rsidR="00897995">
          <w:rPr>
            <w:noProof/>
            <w:webHidden/>
          </w:rPr>
          <w:instrText xml:space="preserve"> PAGEREF _Toc532812429 \h </w:instrText>
        </w:r>
        <w:r w:rsidR="00897995">
          <w:rPr>
            <w:noProof/>
            <w:webHidden/>
          </w:rPr>
        </w:r>
        <w:r w:rsidR="00897995">
          <w:rPr>
            <w:noProof/>
            <w:webHidden/>
          </w:rPr>
          <w:fldChar w:fldCharType="separate"/>
        </w:r>
        <w:r w:rsidR="004C7DEC">
          <w:rPr>
            <w:noProof/>
            <w:webHidden/>
          </w:rPr>
          <w:t>84</w:t>
        </w:r>
        <w:r w:rsidR="00897995">
          <w:rPr>
            <w:noProof/>
            <w:webHidden/>
          </w:rPr>
          <w:fldChar w:fldCharType="end"/>
        </w:r>
      </w:hyperlink>
    </w:p>
    <w:p w14:paraId="4F87EC06" w14:textId="2CF0C3E9" w:rsidR="00897995" w:rsidRDefault="00A65AAD" w:rsidP="00897995">
      <w:pPr>
        <w:pStyle w:val="TOC1"/>
        <w:rPr>
          <w:rFonts w:asciiTheme="minorHAnsi" w:eastAsiaTheme="minorEastAsia" w:hAnsiTheme="minorHAnsi" w:cstheme="minorBidi"/>
          <w:sz w:val="22"/>
          <w:szCs w:val="22"/>
          <w:lang w:eastAsia="en-GB"/>
        </w:rPr>
      </w:pPr>
      <w:hyperlink w:anchor="_Toc532812430" w:history="1">
        <w:r w:rsidR="00897995" w:rsidRPr="00AF3812">
          <w:rPr>
            <w:rStyle w:val="Hyperlink"/>
            <w14:scene3d>
              <w14:camera w14:prst="orthographicFront"/>
              <w14:lightRig w14:rig="threePt" w14:dir="t">
                <w14:rot w14:lat="0" w14:lon="0" w14:rev="0"/>
              </w14:lightRig>
            </w14:scene3d>
          </w:rPr>
          <w:t>7.</w:t>
        </w:r>
        <w:r w:rsidR="00897995">
          <w:rPr>
            <w:rFonts w:asciiTheme="minorHAnsi" w:eastAsiaTheme="minorEastAsia" w:hAnsiTheme="minorHAnsi" w:cstheme="minorBidi"/>
            <w:sz w:val="22"/>
            <w:szCs w:val="22"/>
            <w:lang w:eastAsia="en-GB"/>
          </w:rPr>
          <w:tab/>
        </w:r>
        <w:r w:rsidR="00897995" w:rsidRPr="00AF3812">
          <w:rPr>
            <w:rStyle w:val="Hyperlink"/>
          </w:rPr>
          <w:t>Dwelling type and mix</w:t>
        </w:r>
        <w:r w:rsidR="00897995">
          <w:rPr>
            <w:webHidden/>
          </w:rPr>
          <w:tab/>
        </w:r>
        <w:r w:rsidR="00897995">
          <w:rPr>
            <w:webHidden/>
          </w:rPr>
          <w:fldChar w:fldCharType="begin"/>
        </w:r>
        <w:r w:rsidR="00897995">
          <w:rPr>
            <w:webHidden/>
          </w:rPr>
          <w:instrText xml:space="preserve"> PAGEREF _Toc532812430 \h </w:instrText>
        </w:r>
        <w:r w:rsidR="00897995">
          <w:rPr>
            <w:webHidden/>
          </w:rPr>
        </w:r>
        <w:r w:rsidR="00897995">
          <w:rPr>
            <w:webHidden/>
          </w:rPr>
          <w:fldChar w:fldCharType="separate"/>
        </w:r>
        <w:r w:rsidR="004C7DEC">
          <w:rPr>
            <w:webHidden/>
          </w:rPr>
          <w:t>86</w:t>
        </w:r>
        <w:r w:rsidR="00897995">
          <w:rPr>
            <w:webHidden/>
          </w:rPr>
          <w:fldChar w:fldCharType="end"/>
        </w:r>
      </w:hyperlink>
    </w:p>
    <w:p w14:paraId="2C768CF4" w14:textId="3D6F7328" w:rsidR="00897995" w:rsidRDefault="00A65AAD">
      <w:pPr>
        <w:pStyle w:val="TOC2"/>
        <w:rPr>
          <w:rFonts w:asciiTheme="minorHAnsi" w:eastAsiaTheme="minorEastAsia" w:hAnsiTheme="minorHAnsi" w:cstheme="minorBidi"/>
          <w:bCs w:val="0"/>
          <w:noProof/>
          <w:sz w:val="22"/>
          <w:szCs w:val="22"/>
          <w:lang w:eastAsia="en-GB"/>
        </w:rPr>
      </w:pPr>
      <w:hyperlink w:anchor="_Toc532812431" w:history="1">
        <w:r w:rsidR="00897995" w:rsidRPr="00AF3812">
          <w:rPr>
            <w:rStyle w:val="Hyperlink"/>
            <w:noProof/>
          </w:rPr>
          <w:t>Introduction</w:t>
        </w:r>
        <w:r w:rsidR="00897995">
          <w:rPr>
            <w:noProof/>
            <w:webHidden/>
          </w:rPr>
          <w:tab/>
        </w:r>
        <w:r w:rsidR="00897995">
          <w:rPr>
            <w:noProof/>
            <w:webHidden/>
          </w:rPr>
          <w:fldChar w:fldCharType="begin"/>
        </w:r>
        <w:r w:rsidR="00897995">
          <w:rPr>
            <w:noProof/>
            <w:webHidden/>
          </w:rPr>
          <w:instrText xml:space="preserve"> PAGEREF _Toc532812431 \h </w:instrText>
        </w:r>
        <w:r w:rsidR="00897995">
          <w:rPr>
            <w:noProof/>
            <w:webHidden/>
          </w:rPr>
        </w:r>
        <w:r w:rsidR="00897995">
          <w:rPr>
            <w:noProof/>
            <w:webHidden/>
          </w:rPr>
          <w:fldChar w:fldCharType="separate"/>
        </w:r>
        <w:r w:rsidR="004C7DEC">
          <w:rPr>
            <w:noProof/>
            <w:webHidden/>
          </w:rPr>
          <w:t>86</w:t>
        </w:r>
        <w:r w:rsidR="00897995">
          <w:rPr>
            <w:noProof/>
            <w:webHidden/>
          </w:rPr>
          <w:fldChar w:fldCharType="end"/>
        </w:r>
      </w:hyperlink>
    </w:p>
    <w:p w14:paraId="5B0A4042" w14:textId="2E55322C" w:rsidR="00897995" w:rsidRDefault="00A65AAD">
      <w:pPr>
        <w:pStyle w:val="TOC2"/>
        <w:rPr>
          <w:rFonts w:asciiTheme="minorHAnsi" w:eastAsiaTheme="minorEastAsia" w:hAnsiTheme="minorHAnsi" w:cstheme="minorBidi"/>
          <w:bCs w:val="0"/>
          <w:noProof/>
          <w:sz w:val="22"/>
          <w:szCs w:val="22"/>
          <w:lang w:eastAsia="en-GB"/>
        </w:rPr>
      </w:pPr>
      <w:hyperlink w:anchor="_Toc532812432" w:history="1">
        <w:r w:rsidR="00897995" w:rsidRPr="00AF3812">
          <w:rPr>
            <w:rStyle w:val="Hyperlink"/>
            <w:noProof/>
          </w:rPr>
          <w:t>Starting points</w:t>
        </w:r>
        <w:r w:rsidR="00897995">
          <w:rPr>
            <w:noProof/>
            <w:webHidden/>
          </w:rPr>
          <w:tab/>
        </w:r>
        <w:r w:rsidR="00897995">
          <w:rPr>
            <w:noProof/>
            <w:webHidden/>
          </w:rPr>
          <w:fldChar w:fldCharType="begin"/>
        </w:r>
        <w:r w:rsidR="00897995">
          <w:rPr>
            <w:noProof/>
            <w:webHidden/>
          </w:rPr>
          <w:instrText xml:space="preserve"> PAGEREF _Toc532812432 \h </w:instrText>
        </w:r>
        <w:r w:rsidR="00897995">
          <w:rPr>
            <w:noProof/>
            <w:webHidden/>
          </w:rPr>
        </w:r>
        <w:r w:rsidR="00897995">
          <w:rPr>
            <w:noProof/>
            <w:webHidden/>
          </w:rPr>
          <w:fldChar w:fldCharType="separate"/>
        </w:r>
        <w:r w:rsidR="004C7DEC">
          <w:rPr>
            <w:noProof/>
            <w:webHidden/>
          </w:rPr>
          <w:t>86</w:t>
        </w:r>
        <w:r w:rsidR="00897995">
          <w:rPr>
            <w:noProof/>
            <w:webHidden/>
          </w:rPr>
          <w:fldChar w:fldCharType="end"/>
        </w:r>
      </w:hyperlink>
    </w:p>
    <w:p w14:paraId="33501917" w14:textId="39347A86" w:rsidR="00897995" w:rsidRDefault="00A65AAD">
      <w:pPr>
        <w:pStyle w:val="TOC2"/>
        <w:rPr>
          <w:rFonts w:asciiTheme="minorHAnsi" w:eastAsiaTheme="minorEastAsia" w:hAnsiTheme="minorHAnsi" w:cstheme="minorBidi"/>
          <w:bCs w:val="0"/>
          <w:noProof/>
          <w:sz w:val="22"/>
          <w:szCs w:val="22"/>
          <w:lang w:eastAsia="en-GB"/>
        </w:rPr>
      </w:pPr>
      <w:hyperlink w:anchor="_Toc532812433" w:history="1">
        <w:r w:rsidR="00897995" w:rsidRPr="00AF3812">
          <w:rPr>
            <w:rStyle w:val="Hyperlink"/>
            <w:noProof/>
          </w:rPr>
          <w:t>HMA-level analysis</w:t>
        </w:r>
        <w:r w:rsidR="00897995">
          <w:rPr>
            <w:noProof/>
            <w:webHidden/>
          </w:rPr>
          <w:tab/>
        </w:r>
        <w:r w:rsidR="00897995">
          <w:rPr>
            <w:noProof/>
            <w:webHidden/>
          </w:rPr>
          <w:fldChar w:fldCharType="begin"/>
        </w:r>
        <w:r w:rsidR="00897995">
          <w:rPr>
            <w:noProof/>
            <w:webHidden/>
          </w:rPr>
          <w:instrText xml:space="preserve"> PAGEREF _Toc532812433 \h </w:instrText>
        </w:r>
        <w:r w:rsidR="00897995">
          <w:rPr>
            <w:noProof/>
            <w:webHidden/>
          </w:rPr>
        </w:r>
        <w:r w:rsidR="00897995">
          <w:rPr>
            <w:noProof/>
            <w:webHidden/>
          </w:rPr>
          <w:fldChar w:fldCharType="separate"/>
        </w:r>
        <w:r w:rsidR="004C7DEC">
          <w:rPr>
            <w:noProof/>
            <w:webHidden/>
          </w:rPr>
          <w:t>93</w:t>
        </w:r>
        <w:r w:rsidR="00897995">
          <w:rPr>
            <w:noProof/>
            <w:webHidden/>
          </w:rPr>
          <w:fldChar w:fldCharType="end"/>
        </w:r>
      </w:hyperlink>
    </w:p>
    <w:p w14:paraId="22DF5D86" w14:textId="3A26172D" w:rsidR="00897995" w:rsidRDefault="00A65AAD">
      <w:pPr>
        <w:pStyle w:val="TOC2"/>
        <w:rPr>
          <w:rFonts w:asciiTheme="minorHAnsi" w:eastAsiaTheme="minorEastAsia" w:hAnsiTheme="minorHAnsi" w:cstheme="minorBidi"/>
          <w:bCs w:val="0"/>
          <w:noProof/>
          <w:sz w:val="22"/>
          <w:szCs w:val="22"/>
          <w:lang w:eastAsia="en-GB"/>
        </w:rPr>
      </w:pPr>
      <w:hyperlink w:anchor="_Toc532812434" w:history="1">
        <w:r w:rsidR="00897995" w:rsidRPr="00AF3812">
          <w:rPr>
            <w:rStyle w:val="Hyperlink"/>
            <w:noProof/>
          </w:rPr>
          <w:t>Concluding comments</w:t>
        </w:r>
        <w:r w:rsidR="00897995">
          <w:rPr>
            <w:noProof/>
            <w:webHidden/>
          </w:rPr>
          <w:tab/>
        </w:r>
        <w:r w:rsidR="00897995">
          <w:rPr>
            <w:noProof/>
            <w:webHidden/>
          </w:rPr>
          <w:fldChar w:fldCharType="begin"/>
        </w:r>
        <w:r w:rsidR="00897995">
          <w:rPr>
            <w:noProof/>
            <w:webHidden/>
          </w:rPr>
          <w:instrText xml:space="preserve"> PAGEREF _Toc532812434 \h </w:instrText>
        </w:r>
        <w:r w:rsidR="00897995">
          <w:rPr>
            <w:noProof/>
            <w:webHidden/>
          </w:rPr>
        </w:r>
        <w:r w:rsidR="00897995">
          <w:rPr>
            <w:noProof/>
            <w:webHidden/>
          </w:rPr>
          <w:fldChar w:fldCharType="separate"/>
        </w:r>
        <w:r w:rsidR="004C7DEC">
          <w:rPr>
            <w:noProof/>
            <w:webHidden/>
          </w:rPr>
          <w:t>96</w:t>
        </w:r>
        <w:r w:rsidR="00897995">
          <w:rPr>
            <w:noProof/>
            <w:webHidden/>
          </w:rPr>
          <w:fldChar w:fldCharType="end"/>
        </w:r>
      </w:hyperlink>
    </w:p>
    <w:p w14:paraId="6E13B32C" w14:textId="657644E1" w:rsidR="00897995" w:rsidRDefault="00A65AAD" w:rsidP="00897995">
      <w:pPr>
        <w:pStyle w:val="TOC1"/>
        <w:rPr>
          <w:rFonts w:asciiTheme="minorHAnsi" w:eastAsiaTheme="minorEastAsia" w:hAnsiTheme="minorHAnsi" w:cstheme="minorBidi"/>
          <w:sz w:val="22"/>
          <w:szCs w:val="22"/>
          <w:lang w:eastAsia="en-GB"/>
        </w:rPr>
      </w:pPr>
      <w:hyperlink w:anchor="_Toc532812435" w:history="1">
        <w:r w:rsidR="00897995" w:rsidRPr="00AF3812">
          <w:rPr>
            <w:rStyle w:val="Hyperlink"/>
            <w14:scene3d>
              <w14:camera w14:prst="orthographicFront"/>
              <w14:lightRig w14:rig="threePt" w14:dir="t">
                <w14:rot w14:lat="0" w14:lon="0" w14:rev="0"/>
              </w14:lightRig>
            </w14:scene3d>
          </w:rPr>
          <w:t>8.</w:t>
        </w:r>
        <w:r w:rsidR="00897995">
          <w:rPr>
            <w:rFonts w:asciiTheme="minorHAnsi" w:eastAsiaTheme="minorEastAsia" w:hAnsiTheme="minorHAnsi" w:cstheme="minorBidi"/>
            <w:sz w:val="22"/>
            <w:szCs w:val="22"/>
            <w:lang w:eastAsia="en-GB"/>
          </w:rPr>
          <w:tab/>
        </w:r>
        <w:r w:rsidR="00897995" w:rsidRPr="00AF3812">
          <w:rPr>
            <w:rStyle w:val="Hyperlink"/>
          </w:rPr>
          <w:t>Conclusion: policy and strategic issues</w:t>
        </w:r>
        <w:r w:rsidR="00897995">
          <w:rPr>
            <w:webHidden/>
          </w:rPr>
          <w:tab/>
        </w:r>
        <w:r w:rsidR="00897995">
          <w:rPr>
            <w:webHidden/>
          </w:rPr>
          <w:fldChar w:fldCharType="begin"/>
        </w:r>
        <w:r w:rsidR="00897995">
          <w:rPr>
            <w:webHidden/>
          </w:rPr>
          <w:instrText xml:space="preserve"> PAGEREF _Toc532812435 \h </w:instrText>
        </w:r>
        <w:r w:rsidR="00897995">
          <w:rPr>
            <w:webHidden/>
          </w:rPr>
        </w:r>
        <w:r w:rsidR="00897995">
          <w:rPr>
            <w:webHidden/>
          </w:rPr>
          <w:fldChar w:fldCharType="separate"/>
        </w:r>
        <w:r w:rsidR="004C7DEC">
          <w:rPr>
            <w:webHidden/>
          </w:rPr>
          <w:t>97</w:t>
        </w:r>
        <w:r w:rsidR="00897995">
          <w:rPr>
            <w:webHidden/>
          </w:rPr>
          <w:fldChar w:fldCharType="end"/>
        </w:r>
      </w:hyperlink>
    </w:p>
    <w:p w14:paraId="04CD827E" w14:textId="606661AF" w:rsidR="00897995" w:rsidRDefault="00A65AAD">
      <w:pPr>
        <w:pStyle w:val="TOC2"/>
        <w:rPr>
          <w:rFonts w:asciiTheme="minorHAnsi" w:eastAsiaTheme="minorEastAsia" w:hAnsiTheme="minorHAnsi" w:cstheme="minorBidi"/>
          <w:bCs w:val="0"/>
          <w:noProof/>
          <w:sz w:val="22"/>
          <w:szCs w:val="22"/>
          <w:lang w:eastAsia="en-GB"/>
        </w:rPr>
      </w:pPr>
      <w:hyperlink w:anchor="_Toc532812436" w:history="1">
        <w:r w:rsidR="00897995" w:rsidRPr="00AF3812">
          <w:rPr>
            <w:rStyle w:val="Hyperlink"/>
            <w:noProof/>
          </w:rPr>
          <w:t>Introduction</w:t>
        </w:r>
        <w:r w:rsidR="00897995">
          <w:rPr>
            <w:noProof/>
            <w:webHidden/>
          </w:rPr>
          <w:tab/>
        </w:r>
        <w:r w:rsidR="00897995">
          <w:rPr>
            <w:noProof/>
            <w:webHidden/>
          </w:rPr>
          <w:fldChar w:fldCharType="begin"/>
        </w:r>
        <w:r w:rsidR="00897995">
          <w:rPr>
            <w:noProof/>
            <w:webHidden/>
          </w:rPr>
          <w:instrText xml:space="preserve"> PAGEREF _Toc532812436 \h </w:instrText>
        </w:r>
        <w:r w:rsidR="00897995">
          <w:rPr>
            <w:noProof/>
            <w:webHidden/>
          </w:rPr>
        </w:r>
        <w:r w:rsidR="00897995">
          <w:rPr>
            <w:noProof/>
            <w:webHidden/>
          </w:rPr>
          <w:fldChar w:fldCharType="separate"/>
        </w:r>
        <w:r w:rsidR="004C7DEC">
          <w:rPr>
            <w:noProof/>
            <w:webHidden/>
          </w:rPr>
          <w:t>97</w:t>
        </w:r>
        <w:r w:rsidR="00897995">
          <w:rPr>
            <w:noProof/>
            <w:webHidden/>
          </w:rPr>
          <w:fldChar w:fldCharType="end"/>
        </w:r>
      </w:hyperlink>
    </w:p>
    <w:p w14:paraId="5B13D7A4" w14:textId="66F42B08" w:rsidR="00897995" w:rsidRDefault="00A65AAD">
      <w:pPr>
        <w:pStyle w:val="TOC2"/>
        <w:rPr>
          <w:rFonts w:asciiTheme="minorHAnsi" w:eastAsiaTheme="minorEastAsia" w:hAnsiTheme="minorHAnsi" w:cstheme="minorBidi"/>
          <w:bCs w:val="0"/>
          <w:noProof/>
          <w:sz w:val="22"/>
          <w:szCs w:val="22"/>
          <w:lang w:eastAsia="en-GB"/>
        </w:rPr>
      </w:pPr>
      <w:hyperlink w:anchor="_Toc532812437" w:history="1">
        <w:r w:rsidR="00897995" w:rsidRPr="00AF3812">
          <w:rPr>
            <w:rStyle w:val="Hyperlink"/>
            <w:noProof/>
          </w:rPr>
          <w:t>Affordable housing need</w:t>
        </w:r>
        <w:r w:rsidR="00897995">
          <w:rPr>
            <w:noProof/>
            <w:webHidden/>
          </w:rPr>
          <w:tab/>
        </w:r>
        <w:r w:rsidR="00897995">
          <w:rPr>
            <w:noProof/>
            <w:webHidden/>
          </w:rPr>
          <w:fldChar w:fldCharType="begin"/>
        </w:r>
        <w:r w:rsidR="00897995">
          <w:rPr>
            <w:noProof/>
            <w:webHidden/>
          </w:rPr>
          <w:instrText xml:space="preserve"> PAGEREF _Toc532812437 \h </w:instrText>
        </w:r>
        <w:r w:rsidR="00897995">
          <w:rPr>
            <w:noProof/>
            <w:webHidden/>
          </w:rPr>
        </w:r>
        <w:r w:rsidR="00897995">
          <w:rPr>
            <w:noProof/>
            <w:webHidden/>
          </w:rPr>
          <w:fldChar w:fldCharType="separate"/>
        </w:r>
        <w:r w:rsidR="004C7DEC">
          <w:rPr>
            <w:noProof/>
            <w:webHidden/>
          </w:rPr>
          <w:t>97</w:t>
        </w:r>
        <w:r w:rsidR="00897995">
          <w:rPr>
            <w:noProof/>
            <w:webHidden/>
          </w:rPr>
          <w:fldChar w:fldCharType="end"/>
        </w:r>
      </w:hyperlink>
    </w:p>
    <w:p w14:paraId="23448D70" w14:textId="2C10D86C" w:rsidR="00897995" w:rsidRDefault="00A65AAD">
      <w:pPr>
        <w:pStyle w:val="TOC2"/>
        <w:rPr>
          <w:rFonts w:asciiTheme="minorHAnsi" w:eastAsiaTheme="minorEastAsia" w:hAnsiTheme="minorHAnsi" w:cstheme="minorBidi"/>
          <w:bCs w:val="0"/>
          <w:noProof/>
          <w:sz w:val="22"/>
          <w:szCs w:val="22"/>
          <w:lang w:eastAsia="en-GB"/>
        </w:rPr>
      </w:pPr>
      <w:hyperlink w:anchor="_Toc532812438" w:history="1">
        <w:r w:rsidR="00897995" w:rsidRPr="00AF3812">
          <w:rPr>
            <w:rStyle w:val="Hyperlink"/>
            <w:noProof/>
          </w:rPr>
          <w:t>Overall housing need and market mix</w:t>
        </w:r>
        <w:r w:rsidR="00897995">
          <w:rPr>
            <w:noProof/>
            <w:webHidden/>
          </w:rPr>
          <w:tab/>
        </w:r>
        <w:r w:rsidR="00897995">
          <w:rPr>
            <w:noProof/>
            <w:webHidden/>
          </w:rPr>
          <w:fldChar w:fldCharType="begin"/>
        </w:r>
        <w:r w:rsidR="00897995">
          <w:rPr>
            <w:noProof/>
            <w:webHidden/>
          </w:rPr>
          <w:instrText xml:space="preserve"> PAGEREF _Toc532812438 \h </w:instrText>
        </w:r>
        <w:r w:rsidR="00897995">
          <w:rPr>
            <w:noProof/>
            <w:webHidden/>
          </w:rPr>
        </w:r>
        <w:r w:rsidR="00897995">
          <w:rPr>
            <w:noProof/>
            <w:webHidden/>
          </w:rPr>
          <w:fldChar w:fldCharType="separate"/>
        </w:r>
        <w:r w:rsidR="004C7DEC">
          <w:rPr>
            <w:noProof/>
            <w:webHidden/>
          </w:rPr>
          <w:t>97</w:t>
        </w:r>
        <w:r w:rsidR="00897995">
          <w:rPr>
            <w:noProof/>
            <w:webHidden/>
          </w:rPr>
          <w:fldChar w:fldCharType="end"/>
        </w:r>
      </w:hyperlink>
    </w:p>
    <w:p w14:paraId="17F2D9E2" w14:textId="1973148E" w:rsidR="00897995" w:rsidRDefault="00A65AAD">
      <w:pPr>
        <w:pStyle w:val="TOC2"/>
        <w:rPr>
          <w:rFonts w:asciiTheme="minorHAnsi" w:eastAsiaTheme="minorEastAsia" w:hAnsiTheme="minorHAnsi" w:cstheme="minorBidi"/>
          <w:bCs w:val="0"/>
          <w:noProof/>
          <w:sz w:val="22"/>
          <w:szCs w:val="22"/>
          <w:lang w:eastAsia="en-GB"/>
        </w:rPr>
      </w:pPr>
      <w:hyperlink w:anchor="_Toc532812439" w:history="1">
        <w:r w:rsidR="00897995" w:rsidRPr="00AF3812">
          <w:rPr>
            <w:rStyle w:val="Hyperlink"/>
            <w:noProof/>
          </w:rPr>
          <w:t>Meeting the needs of older people and those with disabilities</w:t>
        </w:r>
        <w:r w:rsidR="00897995">
          <w:rPr>
            <w:noProof/>
            <w:webHidden/>
          </w:rPr>
          <w:tab/>
        </w:r>
        <w:r w:rsidR="00897995">
          <w:rPr>
            <w:noProof/>
            <w:webHidden/>
          </w:rPr>
          <w:fldChar w:fldCharType="begin"/>
        </w:r>
        <w:r w:rsidR="00897995">
          <w:rPr>
            <w:noProof/>
            <w:webHidden/>
          </w:rPr>
          <w:instrText xml:space="preserve"> PAGEREF _Toc532812439 \h </w:instrText>
        </w:r>
        <w:r w:rsidR="00897995">
          <w:rPr>
            <w:noProof/>
            <w:webHidden/>
          </w:rPr>
        </w:r>
        <w:r w:rsidR="00897995">
          <w:rPr>
            <w:noProof/>
            <w:webHidden/>
          </w:rPr>
          <w:fldChar w:fldCharType="separate"/>
        </w:r>
        <w:r w:rsidR="004C7DEC">
          <w:rPr>
            <w:noProof/>
            <w:webHidden/>
          </w:rPr>
          <w:t>97</w:t>
        </w:r>
        <w:r w:rsidR="00897995">
          <w:rPr>
            <w:noProof/>
            <w:webHidden/>
          </w:rPr>
          <w:fldChar w:fldCharType="end"/>
        </w:r>
      </w:hyperlink>
    </w:p>
    <w:p w14:paraId="5A9D5E8F" w14:textId="2B95F328" w:rsidR="00897995" w:rsidRDefault="00A65AAD" w:rsidP="00897995">
      <w:pPr>
        <w:pStyle w:val="TOC1"/>
        <w:rPr>
          <w:rFonts w:asciiTheme="minorHAnsi" w:eastAsiaTheme="minorEastAsia" w:hAnsiTheme="minorHAnsi" w:cstheme="minorBidi"/>
          <w:sz w:val="22"/>
          <w:szCs w:val="22"/>
          <w:lang w:eastAsia="en-GB"/>
        </w:rPr>
      </w:pPr>
      <w:hyperlink w:anchor="_Toc532812440" w:history="1">
        <w:r w:rsidR="00897995" w:rsidRPr="00AF3812">
          <w:rPr>
            <w:rStyle w:val="Hyperlink"/>
            <w:rFonts w:cs="Calibri"/>
          </w:rPr>
          <w:t>Introduction to Technical Appendices</w:t>
        </w:r>
        <w:r w:rsidR="00897995">
          <w:rPr>
            <w:webHidden/>
          </w:rPr>
          <w:tab/>
        </w:r>
        <w:r w:rsidR="00897995">
          <w:rPr>
            <w:webHidden/>
          </w:rPr>
          <w:fldChar w:fldCharType="begin"/>
        </w:r>
        <w:r w:rsidR="00897995">
          <w:rPr>
            <w:webHidden/>
          </w:rPr>
          <w:instrText xml:space="preserve"> PAGEREF _Toc532812440 \h </w:instrText>
        </w:r>
        <w:r w:rsidR="00897995">
          <w:rPr>
            <w:webHidden/>
          </w:rPr>
        </w:r>
        <w:r w:rsidR="00897995">
          <w:rPr>
            <w:webHidden/>
          </w:rPr>
          <w:fldChar w:fldCharType="separate"/>
        </w:r>
        <w:r w:rsidR="004C7DEC">
          <w:rPr>
            <w:webHidden/>
          </w:rPr>
          <w:t>99</w:t>
        </w:r>
        <w:r w:rsidR="00897995">
          <w:rPr>
            <w:webHidden/>
          </w:rPr>
          <w:fldChar w:fldCharType="end"/>
        </w:r>
      </w:hyperlink>
    </w:p>
    <w:p w14:paraId="62417B46" w14:textId="7A71F0E2" w:rsidR="00897995" w:rsidRDefault="00A65AAD" w:rsidP="00897995">
      <w:pPr>
        <w:pStyle w:val="TOC1"/>
        <w:rPr>
          <w:rFonts w:asciiTheme="minorHAnsi" w:eastAsiaTheme="minorEastAsia" w:hAnsiTheme="minorHAnsi" w:cstheme="minorBidi"/>
          <w:sz w:val="22"/>
          <w:szCs w:val="22"/>
          <w:lang w:eastAsia="en-GB"/>
        </w:rPr>
      </w:pPr>
      <w:hyperlink w:anchor="_Toc532812441" w:history="1">
        <w:r w:rsidR="00897995" w:rsidRPr="00AF3812">
          <w:rPr>
            <w:rStyle w:val="Hyperlink"/>
            <w:rFonts w:cs="Calibri"/>
          </w:rPr>
          <w:t>Technical Appendix A: Research methodology</w:t>
        </w:r>
        <w:r w:rsidR="00897995">
          <w:rPr>
            <w:webHidden/>
          </w:rPr>
          <w:tab/>
        </w:r>
        <w:r w:rsidR="00897995">
          <w:rPr>
            <w:webHidden/>
          </w:rPr>
          <w:fldChar w:fldCharType="begin"/>
        </w:r>
        <w:r w:rsidR="00897995">
          <w:rPr>
            <w:webHidden/>
          </w:rPr>
          <w:instrText xml:space="preserve"> PAGEREF _Toc532812441 \h </w:instrText>
        </w:r>
        <w:r w:rsidR="00897995">
          <w:rPr>
            <w:webHidden/>
          </w:rPr>
        </w:r>
        <w:r w:rsidR="00897995">
          <w:rPr>
            <w:webHidden/>
          </w:rPr>
          <w:fldChar w:fldCharType="separate"/>
        </w:r>
        <w:r w:rsidR="004C7DEC">
          <w:rPr>
            <w:webHidden/>
          </w:rPr>
          <w:t>100</w:t>
        </w:r>
        <w:r w:rsidR="00897995">
          <w:rPr>
            <w:webHidden/>
          </w:rPr>
          <w:fldChar w:fldCharType="end"/>
        </w:r>
      </w:hyperlink>
    </w:p>
    <w:p w14:paraId="052318C8" w14:textId="1D2C3E0B" w:rsidR="00897995" w:rsidRDefault="00A65AAD">
      <w:pPr>
        <w:pStyle w:val="TOC2"/>
        <w:rPr>
          <w:rFonts w:asciiTheme="minorHAnsi" w:eastAsiaTheme="minorEastAsia" w:hAnsiTheme="minorHAnsi" w:cstheme="minorBidi"/>
          <w:bCs w:val="0"/>
          <w:noProof/>
          <w:sz w:val="22"/>
          <w:szCs w:val="22"/>
          <w:lang w:eastAsia="en-GB"/>
        </w:rPr>
      </w:pPr>
      <w:hyperlink w:anchor="_Toc532812442" w:history="1">
        <w:r w:rsidR="00897995" w:rsidRPr="00AF3812">
          <w:rPr>
            <w:rStyle w:val="Hyperlink"/>
            <w:rFonts w:cs="Calibri"/>
            <w:noProof/>
          </w:rPr>
          <w:t>Overall approach</w:t>
        </w:r>
        <w:r w:rsidR="00897995">
          <w:rPr>
            <w:noProof/>
            <w:webHidden/>
          </w:rPr>
          <w:tab/>
        </w:r>
        <w:r w:rsidR="00897995">
          <w:rPr>
            <w:noProof/>
            <w:webHidden/>
          </w:rPr>
          <w:fldChar w:fldCharType="begin"/>
        </w:r>
        <w:r w:rsidR="00897995">
          <w:rPr>
            <w:noProof/>
            <w:webHidden/>
          </w:rPr>
          <w:instrText xml:space="preserve"> PAGEREF _Toc532812442 \h </w:instrText>
        </w:r>
        <w:r w:rsidR="00897995">
          <w:rPr>
            <w:noProof/>
            <w:webHidden/>
          </w:rPr>
        </w:r>
        <w:r w:rsidR="00897995">
          <w:rPr>
            <w:noProof/>
            <w:webHidden/>
          </w:rPr>
          <w:fldChar w:fldCharType="separate"/>
        </w:r>
        <w:r w:rsidR="004C7DEC">
          <w:rPr>
            <w:noProof/>
            <w:webHidden/>
          </w:rPr>
          <w:t>100</w:t>
        </w:r>
        <w:r w:rsidR="00897995">
          <w:rPr>
            <w:noProof/>
            <w:webHidden/>
          </w:rPr>
          <w:fldChar w:fldCharType="end"/>
        </w:r>
      </w:hyperlink>
    </w:p>
    <w:p w14:paraId="2E7A56CC" w14:textId="15B43E2E" w:rsidR="00897995" w:rsidRDefault="00A65AAD">
      <w:pPr>
        <w:pStyle w:val="TOC2"/>
        <w:rPr>
          <w:rFonts w:asciiTheme="minorHAnsi" w:eastAsiaTheme="minorEastAsia" w:hAnsiTheme="minorHAnsi" w:cstheme="minorBidi"/>
          <w:bCs w:val="0"/>
          <w:noProof/>
          <w:sz w:val="22"/>
          <w:szCs w:val="22"/>
          <w:lang w:eastAsia="en-GB"/>
        </w:rPr>
      </w:pPr>
      <w:hyperlink w:anchor="_Toc532812443" w:history="1">
        <w:r w:rsidR="00897995" w:rsidRPr="00AF3812">
          <w:rPr>
            <w:rStyle w:val="Hyperlink"/>
            <w:rFonts w:cs="Calibri"/>
            <w:noProof/>
          </w:rPr>
          <w:t>Baseline dwelling stock information and household survey sample errors</w:t>
        </w:r>
        <w:r w:rsidR="00897995">
          <w:rPr>
            <w:noProof/>
            <w:webHidden/>
          </w:rPr>
          <w:tab/>
        </w:r>
        <w:r w:rsidR="00897995">
          <w:rPr>
            <w:noProof/>
            <w:webHidden/>
          </w:rPr>
          <w:fldChar w:fldCharType="begin"/>
        </w:r>
        <w:r w:rsidR="00897995">
          <w:rPr>
            <w:noProof/>
            <w:webHidden/>
          </w:rPr>
          <w:instrText xml:space="preserve"> PAGEREF _Toc532812443 \h </w:instrText>
        </w:r>
        <w:r w:rsidR="00897995">
          <w:rPr>
            <w:noProof/>
            <w:webHidden/>
          </w:rPr>
        </w:r>
        <w:r w:rsidR="00897995">
          <w:rPr>
            <w:noProof/>
            <w:webHidden/>
          </w:rPr>
          <w:fldChar w:fldCharType="separate"/>
        </w:r>
        <w:r w:rsidR="004C7DEC">
          <w:rPr>
            <w:noProof/>
            <w:webHidden/>
          </w:rPr>
          <w:t>100</w:t>
        </w:r>
        <w:r w:rsidR="00897995">
          <w:rPr>
            <w:noProof/>
            <w:webHidden/>
          </w:rPr>
          <w:fldChar w:fldCharType="end"/>
        </w:r>
      </w:hyperlink>
    </w:p>
    <w:p w14:paraId="2660950C" w14:textId="3542F2EB" w:rsidR="00897995" w:rsidRDefault="00A65AAD" w:rsidP="00897995">
      <w:pPr>
        <w:pStyle w:val="TOC1"/>
        <w:rPr>
          <w:rFonts w:asciiTheme="minorHAnsi" w:eastAsiaTheme="minorEastAsia" w:hAnsiTheme="minorHAnsi" w:cstheme="minorBidi"/>
          <w:sz w:val="22"/>
          <w:szCs w:val="22"/>
          <w:lang w:eastAsia="en-GB"/>
        </w:rPr>
      </w:pPr>
      <w:hyperlink w:anchor="_Toc532812444" w:history="1">
        <w:r w:rsidR="00897995" w:rsidRPr="00AF3812">
          <w:rPr>
            <w:rStyle w:val="Hyperlink"/>
            <w:rFonts w:cs="Calibri"/>
          </w:rPr>
          <w:t>Technical Appendix B: Policy review</w:t>
        </w:r>
        <w:r w:rsidR="00897995">
          <w:rPr>
            <w:webHidden/>
          </w:rPr>
          <w:tab/>
        </w:r>
        <w:r w:rsidR="00897995">
          <w:rPr>
            <w:webHidden/>
          </w:rPr>
          <w:fldChar w:fldCharType="begin"/>
        </w:r>
        <w:r w:rsidR="00897995">
          <w:rPr>
            <w:webHidden/>
          </w:rPr>
          <w:instrText xml:space="preserve"> PAGEREF _Toc532812444 \h </w:instrText>
        </w:r>
        <w:r w:rsidR="00897995">
          <w:rPr>
            <w:webHidden/>
          </w:rPr>
        </w:r>
        <w:r w:rsidR="00897995">
          <w:rPr>
            <w:webHidden/>
          </w:rPr>
          <w:fldChar w:fldCharType="separate"/>
        </w:r>
        <w:r w:rsidR="004C7DEC">
          <w:rPr>
            <w:webHidden/>
          </w:rPr>
          <w:t>104</w:t>
        </w:r>
        <w:r w:rsidR="00897995">
          <w:rPr>
            <w:webHidden/>
          </w:rPr>
          <w:fldChar w:fldCharType="end"/>
        </w:r>
      </w:hyperlink>
    </w:p>
    <w:p w14:paraId="6242A508" w14:textId="44B99F04" w:rsidR="00897995" w:rsidRDefault="00A65AAD">
      <w:pPr>
        <w:pStyle w:val="TOC2"/>
        <w:rPr>
          <w:rFonts w:asciiTheme="minorHAnsi" w:eastAsiaTheme="minorEastAsia" w:hAnsiTheme="minorHAnsi" w:cstheme="minorBidi"/>
          <w:bCs w:val="0"/>
          <w:noProof/>
          <w:sz w:val="22"/>
          <w:szCs w:val="22"/>
          <w:lang w:eastAsia="en-GB"/>
        </w:rPr>
      </w:pPr>
      <w:hyperlink w:anchor="_Toc532812445" w:history="1">
        <w:r w:rsidR="00897995" w:rsidRPr="00AF3812">
          <w:rPr>
            <w:rStyle w:val="Hyperlink"/>
            <w:noProof/>
          </w:rPr>
          <w:t>Introduction</w:t>
        </w:r>
        <w:r w:rsidR="00897995">
          <w:rPr>
            <w:noProof/>
            <w:webHidden/>
          </w:rPr>
          <w:tab/>
        </w:r>
        <w:r w:rsidR="00897995">
          <w:rPr>
            <w:noProof/>
            <w:webHidden/>
          </w:rPr>
          <w:fldChar w:fldCharType="begin"/>
        </w:r>
        <w:r w:rsidR="00897995">
          <w:rPr>
            <w:noProof/>
            <w:webHidden/>
          </w:rPr>
          <w:instrText xml:space="preserve"> PAGEREF _Toc532812445 \h </w:instrText>
        </w:r>
        <w:r w:rsidR="00897995">
          <w:rPr>
            <w:noProof/>
            <w:webHidden/>
          </w:rPr>
        </w:r>
        <w:r w:rsidR="00897995">
          <w:rPr>
            <w:noProof/>
            <w:webHidden/>
          </w:rPr>
          <w:fldChar w:fldCharType="separate"/>
        </w:r>
        <w:r w:rsidR="004C7DEC">
          <w:rPr>
            <w:noProof/>
            <w:webHidden/>
          </w:rPr>
          <w:t>104</w:t>
        </w:r>
        <w:r w:rsidR="00897995">
          <w:rPr>
            <w:noProof/>
            <w:webHidden/>
          </w:rPr>
          <w:fldChar w:fldCharType="end"/>
        </w:r>
      </w:hyperlink>
    </w:p>
    <w:p w14:paraId="31C1FC2C" w14:textId="3D46D175" w:rsidR="00897995" w:rsidRDefault="00A65AAD">
      <w:pPr>
        <w:pStyle w:val="TOC2"/>
        <w:rPr>
          <w:rFonts w:asciiTheme="minorHAnsi" w:eastAsiaTheme="minorEastAsia" w:hAnsiTheme="minorHAnsi" w:cstheme="minorBidi"/>
          <w:bCs w:val="0"/>
          <w:noProof/>
          <w:sz w:val="22"/>
          <w:szCs w:val="22"/>
          <w:lang w:eastAsia="en-GB"/>
        </w:rPr>
      </w:pPr>
      <w:hyperlink w:anchor="_Toc532812446" w:history="1">
        <w:r w:rsidR="00897995" w:rsidRPr="00AF3812">
          <w:rPr>
            <w:rStyle w:val="Hyperlink"/>
            <w:noProof/>
          </w:rPr>
          <w:t>2010-2015 (Coalition Government)</w:t>
        </w:r>
        <w:r w:rsidR="00897995">
          <w:rPr>
            <w:noProof/>
            <w:webHidden/>
          </w:rPr>
          <w:tab/>
        </w:r>
        <w:r w:rsidR="00897995">
          <w:rPr>
            <w:noProof/>
            <w:webHidden/>
          </w:rPr>
          <w:fldChar w:fldCharType="begin"/>
        </w:r>
        <w:r w:rsidR="00897995">
          <w:rPr>
            <w:noProof/>
            <w:webHidden/>
          </w:rPr>
          <w:instrText xml:space="preserve"> PAGEREF _Toc532812446 \h </w:instrText>
        </w:r>
        <w:r w:rsidR="00897995">
          <w:rPr>
            <w:noProof/>
            <w:webHidden/>
          </w:rPr>
        </w:r>
        <w:r w:rsidR="00897995">
          <w:rPr>
            <w:noProof/>
            <w:webHidden/>
          </w:rPr>
          <w:fldChar w:fldCharType="separate"/>
        </w:r>
        <w:r w:rsidR="004C7DEC">
          <w:rPr>
            <w:noProof/>
            <w:webHidden/>
          </w:rPr>
          <w:t>104</w:t>
        </w:r>
        <w:r w:rsidR="00897995">
          <w:rPr>
            <w:noProof/>
            <w:webHidden/>
          </w:rPr>
          <w:fldChar w:fldCharType="end"/>
        </w:r>
      </w:hyperlink>
    </w:p>
    <w:p w14:paraId="79F3FCC5" w14:textId="77769B6F" w:rsidR="00897995" w:rsidRDefault="00A65AAD">
      <w:pPr>
        <w:pStyle w:val="TOC2"/>
        <w:rPr>
          <w:rFonts w:asciiTheme="minorHAnsi" w:eastAsiaTheme="minorEastAsia" w:hAnsiTheme="minorHAnsi" w:cstheme="minorBidi"/>
          <w:bCs w:val="0"/>
          <w:noProof/>
          <w:sz w:val="22"/>
          <w:szCs w:val="22"/>
          <w:lang w:eastAsia="en-GB"/>
        </w:rPr>
      </w:pPr>
      <w:hyperlink w:anchor="_Toc532812447" w:history="1">
        <w:r w:rsidR="00897995" w:rsidRPr="00AF3812">
          <w:rPr>
            <w:rStyle w:val="Hyperlink"/>
            <w:noProof/>
          </w:rPr>
          <w:t>2015-2016 (Conservative Government under David Cameron)</w:t>
        </w:r>
        <w:r w:rsidR="00897995">
          <w:rPr>
            <w:noProof/>
            <w:webHidden/>
          </w:rPr>
          <w:tab/>
        </w:r>
        <w:r w:rsidR="00897995">
          <w:rPr>
            <w:noProof/>
            <w:webHidden/>
          </w:rPr>
          <w:fldChar w:fldCharType="begin"/>
        </w:r>
        <w:r w:rsidR="00897995">
          <w:rPr>
            <w:noProof/>
            <w:webHidden/>
          </w:rPr>
          <w:instrText xml:space="preserve"> PAGEREF _Toc532812447 \h </w:instrText>
        </w:r>
        <w:r w:rsidR="00897995">
          <w:rPr>
            <w:noProof/>
            <w:webHidden/>
          </w:rPr>
        </w:r>
        <w:r w:rsidR="00897995">
          <w:rPr>
            <w:noProof/>
            <w:webHidden/>
          </w:rPr>
          <w:fldChar w:fldCharType="separate"/>
        </w:r>
        <w:r w:rsidR="004C7DEC">
          <w:rPr>
            <w:noProof/>
            <w:webHidden/>
          </w:rPr>
          <w:t>106</w:t>
        </w:r>
        <w:r w:rsidR="00897995">
          <w:rPr>
            <w:noProof/>
            <w:webHidden/>
          </w:rPr>
          <w:fldChar w:fldCharType="end"/>
        </w:r>
      </w:hyperlink>
    </w:p>
    <w:p w14:paraId="20351B23" w14:textId="08DD71E9" w:rsidR="00897995" w:rsidRDefault="00A65AAD">
      <w:pPr>
        <w:pStyle w:val="TOC2"/>
        <w:rPr>
          <w:rFonts w:asciiTheme="minorHAnsi" w:eastAsiaTheme="minorEastAsia" w:hAnsiTheme="minorHAnsi" w:cstheme="minorBidi"/>
          <w:bCs w:val="0"/>
          <w:noProof/>
          <w:sz w:val="22"/>
          <w:szCs w:val="22"/>
          <w:lang w:eastAsia="en-GB"/>
        </w:rPr>
      </w:pPr>
      <w:hyperlink w:anchor="_Toc532812448" w:history="1">
        <w:r w:rsidR="00897995" w:rsidRPr="00AF3812">
          <w:rPr>
            <w:rStyle w:val="Hyperlink"/>
            <w:noProof/>
          </w:rPr>
          <w:t>Post EU-Referendum (Theresa May Administration)</w:t>
        </w:r>
        <w:r w:rsidR="00897995">
          <w:rPr>
            <w:noProof/>
            <w:webHidden/>
          </w:rPr>
          <w:tab/>
        </w:r>
        <w:r w:rsidR="00897995">
          <w:rPr>
            <w:noProof/>
            <w:webHidden/>
          </w:rPr>
          <w:fldChar w:fldCharType="begin"/>
        </w:r>
        <w:r w:rsidR="00897995">
          <w:rPr>
            <w:noProof/>
            <w:webHidden/>
          </w:rPr>
          <w:instrText xml:space="preserve"> PAGEREF _Toc532812448 \h </w:instrText>
        </w:r>
        <w:r w:rsidR="00897995">
          <w:rPr>
            <w:noProof/>
            <w:webHidden/>
          </w:rPr>
        </w:r>
        <w:r w:rsidR="00897995">
          <w:rPr>
            <w:noProof/>
            <w:webHidden/>
          </w:rPr>
          <w:fldChar w:fldCharType="separate"/>
        </w:r>
        <w:r w:rsidR="004C7DEC">
          <w:rPr>
            <w:noProof/>
            <w:webHidden/>
          </w:rPr>
          <w:t>108</w:t>
        </w:r>
        <w:r w:rsidR="00897995">
          <w:rPr>
            <w:noProof/>
            <w:webHidden/>
          </w:rPr>
          <w:fldChar w:fldCharType="end"/>
        </w:r>
      </w:hyperlink>
    </w:p>
    <w:p w14:paraId="305ED413" w14:textId="0CBB2AAE" w:rsidR="00897995" w:rsidRDefault="00A65AAD" w:rsidP="00897995">
      <w:pPr>
        <w:pStyle w:val="TOC1"/>
        <w:rPr>
          <w:rFonts w:asciiTheme="minorHAnsi" w:eastAsiaTheme="minorEastAsia" w:hAnsiTheme="minorHAnsi" w:cstheme="minorBidi"/>
          <w:sz w:val="22"/>
          <w:szCs w:val="22"/>
          <w:lang w:eastAsia="en-GB"/>
        </w:rPr>
      </w:pPr>
      <w:hyperlink w:anchor="_Toc532812449" w:history="1">
        <w:r w:rsidR="00897995" w:rsidRPr="00AF3812">
          <w:rPr>
            <w:rStyle w:val="Hyperlink"/>
            <w:rFonts w:cs="Calibri"/>
          </w:rPr>
          <w:t>Technical Appendix C: Housing need calculations</w:t>
        </w:r>
        <w:r w:rsidR="00897995">
          <w:rPr>
            <w:webHidden/>
          </w:rPr>
          <w:tab/>
        </w:r>
        <w:r w:rsidR="00897995">
          <w:rPr>
            <w:webHidden/>
          </w:rPr>
          <w:fldChar w:fldCharType="begin"/>
        </w:r>
        <w:r w:rsidR="00897995">
          <w:rPr>
            <w:webHidden/>
          </w:rPr>
          <w:instrText xml:space="preserve"> PAGEREF _Toc532812449 \h </w:instrText>
        </w:r>
        <w:r w:rsidR="00897995">
          <w:rPr>
            <w:webHidden/>
          </w:rPr>
        </w:r>
        <w:r w:rsidR="00897995">
          <w:rPr>
            <w:webHidden/>
          </w:rPr>
          <w:fldChar w:fldCharType="separate"/>
        </w:r>
        <w:r w:rsidR="004C7DEC">
          <w:rPr>
            <w:webHidden/>
          </w:rPr>
          <w:t>114</w:t>
        </w:r>
        <w:r w:rsidR="00897995">
          <w:rPr>
            <w:webHidden/>
          </w:rPr>
          <w:fldChar w:fldCharType="end"/>
        </w:r>
      </w:hyperlink>
    </w:p>
    <w:p w14:paraId="40FAA5E2" w14:textId="7FF79F5B" w:rsidR="00897995" w:rsidRDefault="00A65AAD">
      <w:pPr>
        <w:pStyle w:val="TOC2"/>
        <w:rPr>
          <w:rFonts w:asciiTheme="minorHAnsi" w:eastAsiaTheme="minorEastAsia" w:hAnsiTheme="minorHAnsi" w:cstheme="minorBidi"/>
          <w:bCs w:val="0"/>
          <w:noProof/>
          <w:sz w:val="22"/>
          <w:szCs w:val="22"/>
          <w:lang w:eastAsia="en-GB"/>
        </w:rPr>
      </w:pPr>
      <w:hyperlink w:anchor="_Toc532812450" w:history="1">
        <w:r w:rsidR="00897995" w:rsidRPr="00AF3812">
          <w:rPr>
            <w:rStyle w:val="Hyperlink"/>
            <w:rFonts w:cs="Calibri"/>
            <w:noProof/>
          </w:rPr>
          <w:t>Introduction</w:t>
        </w:r>
        <w:r w:rsidR="00897995">
          <w:rPr>
            <w:noProof/>
            <w:webHidden/>
          </w:rPr>
          <w:tab/>
        </w:r>
        <w:r w:rsidR="00897995">
          <w:rPr>
            <w:noProof/>
            <w:webHidden/>
          </w:rPr>
          <w:fldChar w:fldCharType="begin"/>
        </w:r>
        <w:r w:rsidR="00897995">
          <w:rPr>
            <w:noProof/>
            <w:webHidden/>
          </w:rPr>
          <w:instrText xml:space="preserve"> PAGEREF _Toc532812450 \h </w:instrText>
        </w:r>
        <w:r w:rsidR="00897995">
          <w:rPr>
            <w:noProof/>
            <w:webHidden/>
          </w:rPr>
        </w:r>
        <w:r w:rsidR="00897995">
          <w:rPr>
            <w:noProof/>
            <w:webHidden/>
          </w:rPr>
          <w:fldChar w:fldCharType="separate"/>
        </w:r>
        <w:r w:rsidR="004C7DEC">
          <w:rPr>
            <w:noProof/>
            <w:webHidden/>
          </w:rPr>
          <w:t>114</w:t>
        </w:r>
        <w:r w:rsidR="00897995">
          <w:rPr>
            <w:noProof/>
            <w:webHidden/>
          </w:rPr>
          <w:fldChar w:fldCharType="end"/>
        </w:r>
      </w:hyperlink>
    </w:p>
    <w:p w14:paraId="6ABAA5CB" w14:textId="67D1A2C7" w:rsidR="00897995" w:rsidRDefault="00A65AAD">
      <w:pPr>
        <w:pStyle w:val="TOC2"/>
        <w:rPr>
          <w:rFonts w:asciiTheme="minorHAnsi" w:eastAsiaTheme="minorEastAsia" w:hAnsiTheme="minorHAnsi" w:cstheme="minorBidi"/>
          <w:bCs w:val="0"/>
          <w:noProof/>
          <w:sz w:val="22"/>
          <w:szCs w:val="22"/>
          <w:lang w:eastAsia="en-GB"/>
        </w:rPr>
      </w:pPr>
      <w:hyperlink w:anchor="_Toc532812451" w:history="1">
        <w:r w:rsidR="00897995" w:rsidRPr="00AF3812">
          <w:rPr>
            <w:rStyle w:val="Hyperlink"/>
            <w:rFonts w:cs="Arial"/>
            <w:noProof/>
          </w:rPr>
          <w:t>Stage 1:  Current households in affordable housing need</w:t>
        </w:r>
        <w:r w:rsidR="00897995">
          <w:rPr>
            <w:noProof/>
            <w:webHidden/>
          </w:rPr>
          <w:tab/>
        </w:r>
        <w:r w:rsidR="00897995">
          <w:rPr>
            <w:noProof/>
            <w:webHidden/>
          </w:rPr>
          <w:fldChar w:fldCharType="begin"/>
        </w:r>
        <w:r w:rsidR="00897995">
          <w:rPr>
            <w:noProof/>
            <w:webHidden/>
          </w:rPr>
          <w:instrText xml:space="preserve"> PAGEREF _Toc532812451 \h </w:instrText>
        </w:r>
        <w:r w:rsidR="00897995">
          <w:rPr>
            <w:noProof/>
            <w:webHidden/>
          </w:rPr>
        </w:r>
        <w:r w:rsidR="00897995">
          <w:rPr>
            <w:noProof/>
            <w:webHidden/>
          </w:rPr>
          <w:fldChar w:fldCharType="separate"/>
        </w:r>
        <w:r w:rsidR="004C7DEC">
          <w:rPr>
            <w:noProof/>
            <w:webHidden/>
          </w:rPr>
          <w:t>117</w:t>
        </w:r>
        <w:r w:rsidR="00897995">
          <w:rPr>
            <w:noProof/>
            <w:webHidden/>
          </w:rPr>
          <w:fldChar w:fldCharType="end"/>
        </w:r>
      </w:hyperlink>
    </w:p>
    <w:p w14:paraId="15773CA8" w14:textId="4997B8BA" w:rsidR="00897995" w:rsidRDefault="00A65AAD">
      <w:pPr>
        <w:pStyle w:val="TOC2"/>
        <w:rPr>
          <w:rFonts w:asciiTheme="minorHAnsi" w:eastAsiaTheme="minorEastAsia" w:hAnsiTheme="minorHAnsi" w:cstheme="minorBidi"/>
          <w:bCs w:val="0"/>
          <w:noProof/>
          <w:sz w:val="22"/>
          <w:szCs w:val="22"/>
          <w:lang w:eastAsia="en-GB"/>
        </w:rPr>
      </w:pPr>
      <w:hyperlink w:anchor="_Toc532812452" w:history="1">
        <w:r w:rsidR="00897995" w:rsidRPr="00AF3812">
          <w:rPr>
            <w:rStyle w:val="Hyperlink"/>
            <w:noProof/>
          </w:rPr>
          <w:t>Total current housing need summary</w:t>
        </w:r>
        <w:r w:rsidR="00897995">
          <w:rPr>
            <w:noProof/>
            <w:webHidden/>
          </w:rPr>
          <w:tab/>
        </w:r>
        <w:r w:rsidR="00897995">
          <w:rPr>
            <w:noProof/>
            <w:webHidden/>
          </w:rPr>
          <w:fldChar w:fldCharType="begin"/>
        </w:r>
        <w:r w:rsidR="00897995">
          <w:rPr>
            <w:noProof/>
            <w:webHidden/>
          </w:rPr>
          <w:instrText xml:space="preserve"> PAGEREF _Toc532812452 \h </w:instrText>
        </w:r>
        <w:r w:rsidR="00897995">
          <w:rPr>
            <w:noProof/>
            <w:webHidden/>
          </w:rPr>
        </w:r>
        <w:r w:rsidR="00897995">
          <w:rPr>
            <w:noProof/>
            <w:webHidden/>
          </w:rPr>
          <w:fldChar w:fldCharType="separate"/>
        </w:r>
        <w:r w:rsidR="004C7DEC">
          <w:rPr>
            <w:noProof/>
            <w:webHidden/>
          </w:rPr>
          <w:t>120</w:t>
        </w:r>
        <w:r w:rsidR="00897995">
          <w:rPr>
            <w:noProof/>
            <w:webHidden/>
          </w:rPr>
          <w:fldChar w:fldCharType="end"/>
        </w:r>
      </w:hyperlink>
    </w:p>
    <w:p w14:paraId="1A5EBFB1" w14:textId="65244FF0" w:rsidR="00897995" w:rsidRDefault="00A65AAD">
      <w:pPr>
        <w:pStyle w:val="TOC2"/>
        <w:rPr>
          <w:rFonts w:asciiTheme="minorHAnsi" w:eastAsiaTheme="minorEastAsia" w:hAnsiTheme="minorHAnsi" w:cstheme="minorBidi"/>
          <w:bCs w:val="0"/>
          <w:noProof/>
          <w:sz w:val="22"/>
          <w:szCs w:val="22"/>
          <w:lang w:eastAsia="en-GB"/>
        </w:rPr>
      </w:pPr>
      <w:hyperlink w:anchor="_Toc532812453" w:history="1">
        <w:r w:rsidR="00897995" w:rsidRPr="00AF3812">
          <w:rPr>
            <w:rStyle w:val="Hyperlink"/>
            <w:rFonts w:cs="Calibri"/>
            <w:noProof/>
          </w:rPr>
          <w:t>Stage 2:  Future housing need</w:t>
        </w:r>
        <w:r w:rsidR="00897995">
          <w:rPr>
            <w:noProof/>
            <w:webHidden/>
          </w:rPr>
          <w:tab/>
        </w:r>
        <w:r w:rsidR="00897995">
          <w:rPr>
            <w:noProof/>
            <w:webHidden/>
          </w:rPr>
          <w:fldChar w:fldCharType="begin"/>
        </w:r>
        <w:r w:rsidR="00897995">
          <w:rPr>
            <w:noProof/>
            <w:webHidden/>
          </w:rPr>
          <w:instrText xml:space="preserve"> PAGEREF _Toc532812453 \h </w:instrText>
        </w:r>
        <w:r w:rsidR="00897995">
          <w:rPr>
            <w:noProof/>
            <w:webHidden/>
          </w:rPr>
        </w:r>
        <w:r w:rsidR="00897995">
          <w:rPr>
            <w:noProof/>
            <w:webHidden/>
          </w:rPr>
          <w:fldChar w:fldCharType="separate"/>
        </w:r>
        <w:r w:rsidR="004C7DEC">
          <w:rPr>
            <w:noProof/>
            <w:webHidden/>
          </w:rPr>
          <w:t>120</w:t>
        </w:r>
        <w:r w:rsidR="00897995">
          <w:rPr>
            <w:noProof/>
            <w:webHidden/>
          </w:rPr>
          <w:fldChar w:fldCharType="end"/>
        </w:r>
      </w:hyperlink>
    </w:p>
    <w:p w14:paraId="3FECA7CB" w14:textId="5C516975" w:rsidR="00897995" w:rsidRDefault="00A65AAD">
      <w:pPr>
        <w:pStyle w:val="TOC2"/>
        <w:rPr>
          <w:rFonts w:asciiTheme="minorHAnsi" w:eastAsiaTheme="minorEastAsia" w:hAnsiTheme="minorHAnsi" w:cstheme="minorBidi"/>
          <w:bCs w:val="0"/>
          <w:noProof/>
          <w:sz w:val="22"/>
          <w:szCs w:val="22"/>
          <w:lang w:eastAsia="en-GB"/>
        </w:rPr>
      </w:pPr>
      <w:hyperlink w:anchor="_Toc532812454" w:history="1">
        <w:r w:rsidR="00897995" w:rsidRPr="00AF3812">
          <w:rPr>
            <w:rStyle w:val="Hyperlink"/>
            <w:rFonts w:cs="Calibri"/>
            <w:noProof/>
          </w:rPr>
          <w:t>Stage 3:  Affordable housing supply</w:t>
        </w:r>
        <w:r w:rsidR="00897995">
          <w:rPr>
            <w:noProof/>
            <w:webHidden/>
          </w:rPr>
          <w:tab/>
        </w:r>
        <w:r w:rsidR="00897995">
          <w:rPr>
            <w:noProof/>
            <w:webHidden/>
          </w:rPr>
          <w:fldChar w:fldCharType="begin"/>
        </w:r>
        <w:r w:rsidR="00897995">
          <w:rPr>
            <w:noProof/>
            <w:webHidden/>
          </w:rPr>
          <w:instrText xml:space="preserve"> PAGEREF _Toc532812454 \h </w:instrText>
        </w:r>
        <w:r w:rsidR="00897995">
          <w:rPr>
            <w:noProof/>
            <w:webHidden/>
          </w:rPr>
        </w:r>
        <w:r w:rsidR="00897995">
          <w:rPr>
            <w:noProof/>
            <w:webHidden/>
          </w:rPr>
          <w:fldChar w:fldCharType="separate"/>
        </w:r>
        <w:r w:rsidR="004C7DEC">
          <w:rPr>
            <w:noProof/>
            <w:webHidden/>
          </w:rPr>
          <w:t>121</w:t>
        </w:r>
        <w:r w:rsidR="00897995">
          <w:rPr>
            <w:noProof/>
            <w:webHidden/>
          </w:rPr>
          <w:fldChar w:fldCharType="end"/>
        </w:r>
      </w:hyperlink>
    </w:p>
    <w:p w14:paraId="74EDDCF3" w14:textId="2F384450" w:rsidR="00897995" w:rsidRDefault="00A65AAD">
      <w:pPr>
        <w:pStyle w:val="TOC2"/>
        <w:rPr>
          <w:rFonts w:asciiTheme="minorHAnsi" w:eastAsiaTheme="minorEastAsia" w:hAnsiTheme="minorHAnsi" w:cstheme="minorBidi"/>
          <w:bCs w:val="0"/>
          <w:noProof/>
          <w:sz w:val="22"/>
          <w:szCs w:val="22"/>
          <w:lang w:eastAsia="en-GB"/>
        </w:rPr>
      </w:pPr>
      <w:hyperlink w:anchor="_Toc532812455" w:history="1">
        <w:r w:rsidR="00897995" w:rsidRPr="00AF3812">
          <w:rPr>
            <w:rStyle w:val="Hyperlink"/>
            <w:rFonts w:cstheme="minorHAnsi"/>
            <w:noProof/>
          </w:rPr>
          <w:t>Stage 4:  Annual Housing Need</w:t>
        </w:r>
        <w:r w:rsidR="00897995">
          <w:rPr>
            <w:noProof/>
            <w:webHidden/>
          </w:rPr>
          <w:tab/>
        </w:r>
        <w:r w:rsidR="00897995">
          <w:rPr>
            <w:noProof/>
            <w:webHidden/>
          </w:rPr>
          <w:fldChar w:fldCharType="begin"/>
        </w:r>
        <w:r w:rsidR="00897995">
          <w:rPr>
            <w:noProof/>
            <w:webHidden/>
          </w:rPr>
          <w:instrText xml:space="preserve"> PAGEREF _Toc532812455 \h </w:instrText>
        </w:r>
        <w:r w:rsidR="00897995">
          <w:rPr>
            <w:noProof/>
            <w:webHidden/>
          </w:rPr>
        </w:r>
        <w:r w:rsidR="00897995">
          <w:rPr>
            <w:noProof/>
            <w:webHidden/>
          </w:rPr>
          <w:fldChar w:fldCharType="separate"/>
        </w:r>
        <w:r w:rsidR="004C7DEC">
          <w:rPr>
            <w:noProof/>
            <w:webHidden/>
          </w:rPr>
          <w:t>122</w:t>
        </w:r>
        <w:r w:rsidR="00897995">
          <w:rPr>
            <w:noProof/>
            <w:webHidden/>
          </w:rPr>
          <w:fldChar w:fldCharType="end"/>
        </w:r>
      </w:hyperlink>
    </w:p>
    <w:p w14:paraId="64425E0C" w14:textId="612E72E9" w:rsidR="00897995" w:rsidRDefault="00A65AAD">
      <w:pPr>
        <w:pStyle w:val="TOC2"/>
        <w:rPr>
          <w:rFonts w:asciiTheme="minorHAnsi" w:eastAsiaTheme="minorEastAsia" w:hAnsiTheme="minorHAnsi" w:cstheme="minorBidi"/>
          <w:bCs w:val="0"/>
          <w:noProof/>
          <w:sz w:val="22"/>
          <w:szCs w:val="22"/>
          <w:lang w:eastAsia="en-GB"/>
        </w:rPr>
      </w:pPr>
      <w:hyperlink w:anchor="_Toc532812456" w:history="1">
        <w:r w:rsidR="00897995" w:rsidRPr="00AF3812">
          <w:rPr>
            <w:rStyle w:val="Hyperlink"/>
            <w:rFonts w:cs="Calibri"/>
            <w:noProof/>
          </w:rPr>
          <w:t>Total net imbalance</w:t>
        </w:r>
        <w:r w:rsidR="00897995">
          <w:rPr>
            <w:noProof/>
            <w:webHidden/>
          </w:rPr>
          <w:tab/>
        </w:r>
        <w:r w:rsidR="00897995">
          <w:rPr>
            <w:noProof/>
            <w:webHidden/>
          </w:rPr>
          <w:fldChar w:fldCharType="begin"/>
        </w:r>
        <w:r w:rsidR="00897995">
          <w:rPr>
            <w:noProof/>
            <w:webHidden/>
          </w:rPr>
          <w:instrText xml:space="preserve"> PAGEREF _Toc532812456 \h </w:instrText>
        </w:r>
        <w:r w:rsidR="00897995">
          <w:rPr>
            <w:noProof/>
            <w:webHidden/>
          </w:rPr>
        </w:r>
        <w:r w:rsidR="00897995">
          <w:rPr>
            <w:noProof/>
            <w:webHidden/>
          </w:rPr>
          <w:fldChar w:fldCharType="separate"/>
        </w:r>
        <w:r w:rsidR="004C7DEC">
          <w:rPr>
            <w:noProof/>
            <w:webHidden/>
          </w:rPr>
          <w:t>123</w:t>
        </w:r>
        <w:r w:rsidR="00897995">
          <w:rPr>
            <w:noProof/>
            <w:webHidden/>
          </w:rPr>
          <w:fldChar w:fldCharType="end"/>
        </w:r>
      </w:hyperlink>
    </w:p>
    <w:p w14:paraId="611ED14B" w14:textId="36FE858E" w:rsidR="00897995" w:rsidRDefault="00A65AAD" w:rsidP="00897995">
      <w:pPr>
        <w:pStyle w:val="TOC1"/>
        <w:rPr>
          <w:rFonts w:asciiTheme="minorHAnsi" w:eastAsiaTheme="minorEastAsia" w:hAnsiTheme="minorHAnsi" w:cstheme="minorBidi"/>
          <w:sz w:val="22"/>
          <w:szCs w:val="22"/>
          <w:lang w:eastAsia="en-GB"/>
        </w:rPr>
      </w:pPr>
      <w:hyperlink w:anchor="_Toc532812457" w:history="1">
        <w:r w:rsidR="00897995" w:rsidRPr="00AF3812">
          <w:rPr>
            <w:rStyle w:val="Hyperlink"/>
            <w:rFonts w:cs="Calibri"/>
          </w:rPr>
          <w:t>Technical Appendix D: Stakeholder views</w:t>
        </w:r>
        <w:r w:rsidR="00897995">
          <w:rPr>
            <w:webHidden/>
          </w:rPr>
          <w:tab/>
        </w:r>
        <w:r w:rsidR="00897995">
          <w:rPr>
            <w:webHidden/>
          </w:rPr>
          <w:fldChar w:fldCharType="begin"/>
        </w:r>
        <w:r w:rsidR="00897995">
          <w:rPr>
            <w:webHidden/>
          </w:rPr>
          <w:instrText xml:space="preserve"> PAGEREF _Toc532812457 \h </w:instrText>
        </w:r>
        <w:r w:rsidR="00897995">
          <w:rPr>
            <w:webHidden/>
          </w:rPr>
        </w:r>
        <w:r w:rsidR="00897995">
          <w:rPr>
            <w:webHidden/>
          </w:rPr>
          <w:fldChar w:fldCharType="separate"/>
        </w:r>
        <w:r w:rsidR="004C7DEC">
          <w:rPr>
            <w:webHidden/>
          </w:rPr>
          <w:t>124</w:t>
        </w:r>
        <w:r w:rsidR="00897995">
          <w:rPr>
            <w:webHidden/>
          </w:rPr>
          <w:fldChar w:fldCharType="end"/>
        </w:r>
      </w:hyperlink>
    </w:p>
    <w:p w14:paraId="76500967" w14:textId="1AC8D2FA" w:rsidR="00897995" w:rsidRDefault="00A65AAD">
      <w:pPr>
        <w:pStyle w:val="TOC2"/>
        <w:rPr>
          <w:rFonts w:asciiTheme="minorHAnsi" w:eastAsiaTheme="minorEastAsia" w:hAnsiTheme="minorHAnsi" w:cstheme="minorBidi"/>
          <w:bCs w:val="0"/>
          <w:noProof/>
          <w:sz w:val="22"/>
          <w:szCs w:val="22"/>
          <w:lang w:eastAsia="en-GB"/>
        </w:rPr>
      </w:pPr>
      <w:hyperlink w:anchor="_Toc532812458" w:history="1">
        <w:r w:rsidR="00897995" w:rsidRPr="00AF3812">
          <w:rPr>
            <w:rStyle w:val="Hyperlink"/>
            <w:noProof/>
          </w:rPr>
          <w:t>General Stakeholder Responses Summary</w:t>
        </w:r>
        <w:r w:rsidR="00897995">
          <w:rPr>
            <w:noProof/>
            <w:webHidden/>
          </w:rPr>
          <w:tab/>
        </w:r>
        <w:r w:rsidR="00897995">
          <w:rPr>
            <w:noProof/>
            <w:webHidden/>
          </w:rPr>
          <w:fldChar w:fldCharType="begin"/>
        </w:r>
        <w:r w:rsidR="00897995">
          <w:rPr>
            <w:noProof/>
            <w:webHidden/>
          </w:rPr>
          <w:instrText xml:space="preserve"> PAGEREF _Toc532812458 \h </w:instrText>
        </w:r>
        <w:r w:rsidR="00897995">
          <w:rPr>
            <w:noProof/>
            <w:webHidden/>
          </w:rPr>
        </w:r>
        <w:r w:rsidR="00897995">
          <w:rPr>
            <w:noProof/>
            <w:webHidden/>
          </w:rPr>
          <w:fldChar w:fldCharType="separate"/>
        </w:r>
        <w:r w:rsidR="004C7DEC">
          <w:rPr>
            <w:noProof/>
            <w:webHidden/>
          </w:rPr>
          <w:t>124</w:t>
        </w:r>
        <w:r w:rsidR="00897995">
          <w:rPr>
            <w:noProof/>
            <w:webHidden/>
          </w:rPr>
          <w:fldChar w:fldCharType="end"/>
        </w:r>
      </w:hyperlink>
    </w:p>
    <w:p w14:paraId="7785A87B" w14:textId="4DE2A714" w:rsidR="00897995" w:rsidRDefault="00A65AAD">
      <w:pPr>
        <w:pStyle w:val="TOC2"/>
        <w:rPr>
          <w:rFonts w:asciiTheme="minorHAnsi" w:eastAsiaTheme="minorEastAsia" w:hAnsiTheme="minorHAnsi" w:cstheme="minorBidi"/>
          <w:bCs w:val="0"/>
          <w:noProof/>
          <w:sz w:val="22"/>
          <w:szCs w:val="22"/>
          <w:lang w:eastAsia="en-GB"/>
        </w:rPr>
      </w:pPr>
      <w:hyperlink w:anchor="_Toc532812459" w:history="1">
        <w:r w:rsidR="00897995" w:rsidRPr="00AF3812">
          <w:rPr>
            <w:rStyle w:val="Hyperlink"/>
            <w:noProof/>
          </w:rPr>
          <w:t>Parish Councils’ Stakeholder Responses Summary</w:t>
        </w:r>
        <w:r w:rsidR="00897995">
          <w:rPr>
            <w:noProof/>
            <w:webHidden/>
          </w:rPr>
          <w:tab/>
        </w:r>
        <w:r w:rsidR="00897995">
          <w:rPr>
            <w:noProof/>
            <w:webHidden/>
          </w:rPr>
          <w:fldChar w:fldCharType="begin"/>
        </w:r>
        <w:r w:rsidR="00897995">
          <w:rPr>
            <w:noProof/>
            <w:webHidden/>
          </w:rPr>
          <w:instrText xml:space="preserve"> PAGEREF _Toc532812459 \h </w:instrText>
        </w:r>
        <w:r w:rsidR="00897995">
          <w:rPr>
            <w:noProof/>
            <w:webHidden/>
          </w:rPr>
        </w:r>
        <w:r w:rsidR="00897995">
          <w:rPr>
            <w:noProof/>
            <w:webHidden/>
          </w:rPr>
          <w:fldChar w:fldCharType="separate"/>
        </w:r>
        <w:r w:rsidR="004C7DEC">
          <w:rPr>
            <w:noProof/>
            <w:webHidden/>
          </w:rPr>
          <w:t>133</w:t>
        </w:r>
        <w:r w:rsidR="00897995">
          <w:rPr>
            <w:noProof/>
            <w:webHidden/>
          </w:rPr>
          <w:fldChar w:fldCharType="end"/>
        </w:r>
      </w:hyperlink>
    </w:p>
    <w:p w14:paraId="7212A909" w14:textId="2927C7ED" w:rsidR="004513B2" w:rsidRPr="00F544F0" w:rsidRDefault="001C023A" w:rsidP="004513B2">
      <w:pPr>
        <w:rPr>
          <w:rFonts w:cs="Arial"/>
          <w:b/>
          <w:noProof/>
          <w:color w:val="FF0000"/>
        </w:rPr>
      </w:pPr>
      <w:r>
        <w:rPr>
          <w:rFonts w:cs="Arial"/>
          <w:bCs/>
          <w:noProof/>
        </w:rPr>
        <w:fldChar w:fldCharType="end"/>
      </w:r>
    </w:p>
    <w:p w14:paraId="7D561A7D" w14:textId="77777777" w:rsidR="00EB777C" w:rsidRDefault="00EB777C" w:rsidP="00EB777C">
      <w:pPr>
        <w:pStyle w:val="TOCHeading1"/>
        <w:keepNext/>
        <w:rPr>
          <w:lang w:eastAsia="en-GB"/>
        </w:rPr>
      </w:pPr>
      <w:r>
        <w:rPr>
          <w:lang w:eastAsia="en-GB"/>
        </w:rPr>
        <w:t>List of Maps</w:t>
      </w:r>
    </w:p>
    <w:p w14:paraId="4F4617A4" w14:textId="73BA80AF" w:rsidR="00897995" w:rsidRDefault="00A15D28" w:rsidP="00897995">
      <w:pPr>
        <w:pStyle w:val="TOC1"/>
        <w:rPr>
          <w:rFonts w:asciiTheme="minorHAnsi" w:eastAsiaTheme="minorEastAsia" w:hAnsiTheme="minorHAnsi" w:cstheme="minorBidi"/>
          <w:sz w:val="22"/>
          <w:szCs w:val="22"/>
          <w:lang w:eastAsia="en-GB"/>
        </w:rPr>
      </w:pPr>
      <w:r>
        <w:rPr>
          <w:b/>
          <w:iCs/>
          <w:color w:val="008080"/>
          <w:szCs w:val="20"/>
          <w:lang w:eastAsia="en-GB"/>
        </w:rPr>
        <w:fldChar w:fldCharType="begin"/>
      </w:r>
      <w:r>
        <w:rPr>
          <w:b/>
          <w:iCs/>
          <w:color w:val="008080"/>
          <w:szCs w:val="20"/>
          <w:lang w:eastAsia="en-GB"/>
        </w:rPr>
        <w:instrText xml:space="preserve"> TOC \h \z \t "Mapheading" </w:instrText>
      </w:r>
      <w:r>
        <w:rPr>
          <w:b/>
          <w:iCs/>
          <w:color w:val="008080"/>
          <w:szCs w:val="20"/>
          <w:lang w:eastAsia="en-GB"/>
        </w:rPr>
        <w:fldChar w:fldCharType="separate"/>
      </w:r>
      <w:hyperlink w:anchor="_Toc532812460" w:history="1">
        <w:r w:rsidR="00897995" w:rsidRPr="007C2CA0">
          <w:rPr>
            <w:rStyle w:val="Hyperlink"/>
          </w:rPr>
          <w:t>Map 1.1</w:t>
        </w:r>
        <w:r w:rsidR="00897995">
          <w:rPr>
            <w:rFonts w:asciiTheme="minorHAnsi" w:eastAsiaTheme="minorEastAsia" w:hAnsiTheme="minorHAnsi" w:cstheme="minorBidi"/>
            <w:sz w:val="22"/>
            <w:szCs w:val="22"/>
            <w:lang w:eastAsia="en-GB"/>
          </w:rPr>
          <w:tab/>
        </w:r>
        <w:r w:rsidR="00897995" w:rsidRPr="007C2CA0">
          <w:rPr>
            <w:rStyle w:val="Hyperlink"/>
          </w:rPr>
          <w:t>Eden District in context</w:t>
        </w:r>
        <w:r w:rsidR="00897995">
          <w:rPr>
            <w:webHidden/>
          </w:rPr>
          <w:tab/>
        </w:r>
        <w:r w:rsidR="00897995">
          <w:rPr>
            <w:webHidden/>
          </w:rPr>
          <w:fldChar w:fldCharType="begin"/>
        </w:r>
        <w:r w:rsidR="00897995">
          <w:rPr>
            <w:webHidden/>
          </w:rPr>
          <w:instrText xml:space="preserve"> PAGEREF _Toc532812460 \h </w:instrText>
        </w:r>
        <w:r w:rsidR="00897995">
          <w:rPr>
            <w:webHidden/>
          </w:rPr>
        </w:r>
        <w:r w:rsidR="00897995">
          <w:rPr>
            <w:webHidden/>
          </w:rPr>
          <w:fldChar w:fldCharType="separate"/>
        </w:r>
        <w:r w:rsidR="004C7DEC">
          <w:rPr>
            <w:webHidden/>
          </w:rPr>
          <w:t>14</w:t>
        </w:r>
        <w:r w:rsidR="00897995">
          <w:rPr>
            <w:webHidden/>
          </w:rPr>
          <w:fldChar w:fldCharType="end"/>
        </w:r>
      </w:hyperlink>
    </w:p>
    <w:p w14:paraId="4F05E09E" w14:textId="5D99C9FB" w:rsidR="00897995" w:rsidRDefault="00A65AAD" w:rsidP="00897995">
      <w:pPr>
        <w:pStyle w:val="TOC1"/>
        <w:rPr>
          <w:rFonts w:asciiTheme="minorHAnsi" w:eastAsiaTheme="minorEastAsia" w:hAnsiTheme="minorHAnsi" w:cstheme="minorBidi"/>
          <w:sz w:val="22"/>
          <w:szCs w:val="22"/>
          <w:lang w:eastAsia="en-GB"/>
        </w:rPr>
      </w:pPr>
      <w:hyperlink w:anchor="_Toc532812461" w:history="1">
        <w:r w:rsidR="00897995" w:rsidRPr="007C2CA0">
          <w:rPr>
            <w:rStyle w:val="Hyperlink"/>
          </w:rPr>
          <w:t>Map 1.2</w:t>
        </w:r>
        <w:r w:rsidR="00897995">
          <w:rPr>
            <w:rFonts w:asciiTheme="minorHAnsi" w:eastAsiaTheme="minorEastAsia" w:hAnsiTheme="minorHAnsi" w:cstheme="minorBidi"/>
            <w:sz w:val="22"/>
            <w:szCs w:val="22"/>
            <w:lang w:eastAsia="en-GB"/>
          </w:rPr>
          <w:tab/>
        </w:r>
        <w:r w:rsidR="00897995" w:rsidRPr="007C2CA0">
          <w:rPr>
            <w:rStyle w:val="Hyperlink"/>
          </w:rPr>
          <w:t>Eden District Housing Market Areas</w:t>
        </w:r>
        <w:r w:rsidR="00897995">
          <w:rPr>
            <w:webHidden/>
          </w:rPr>
          <w:tab/>
        </w:r>
        <w:r w:rsidR="00897995">
          <w:rPr>
            <w:webHidden/>
          </w:rPr>
          <w:fldChar w:fldCharType="begin"/>
        </w:r>
        <w:r w:rsidR="00897995">
          <w:rPr>
            <w:webHidden/>
          </w:rPr>
          <w:instrText xml:space="preserve"> PAGEREF _Toc532812461 \h </w:instrText>
        </w:r>
        <w:r w:rsidR="00897995">
          <w:rPr>
            <w:webHidden/>
          </w:rPr>
        </w:r>
        <w:r w:rsidR="00897995">
          <w:rPr>
            <w:webHidden/>
          </w:rPr>
          <w:fldChar w:fldCharType="separate"/>
        </w:r>
        <w:r w:rsidR="004C7DEC">
          <w:rPr>
            <w:webHidden/>
          </w:rPr>
          <w:t>15</w:t>
        </w:r>
        <w:r w:rsidR="00897995">
          <w:rPr>
            <w:webHidden/>
          </w:rPr>
          <w:fldChar w:fldCharType="end"/>
        </w:r>
      </w:hyperlink>
    </w:p>
    <w:p w14:paraId="2F86F8C6" w14:textId="2A81BF92" w:rsidR="00897995" w:rsidRDefault="00A65AAD" w:rsidP="00897995">
      <w:pPr>
        <w:pStyle w:val="TOC1"/>
        <w:rPr>
          <w:rFonts w:asciiTheme="minorHAnsi" w:eastAsiaTheme="minorEastAsia" w:hAnsiTheme="minorHAnsi" w:cstheme="minorBidi"/>
          <w:sz w:val="22"/>
          <w:szCs w:val="22"/>
          <w:lang w:eastAsia="en-GB"/>
        </w:rPr>
      </w:pPr>
      <w:hyperlink w:anchor="_Toc532812462" w:history="1">
        <w:r w:rsidR="00897995" w:rsidRPr="007C2CA0">
          <w:rPr>
            <w:rStyle w:val="Hyperlink"/>
          </w:rPr>
          <w:t>Map 3.1</w:t>
        </w:r>
        <w:r w:rsidR="00897995">
          <w:rPr>
            <w:rFonts w:asciiTheme="minorHAnsi" w:eastAsiaTheme="minorEastAsia" w:hAnsiTheme="minorHAnsi" w:cstheme="minorBidi"/>
            <w:sz w:val="22"/>
            <w:szCs w:val="22"/>
            <w:lang w:eastAsia="en-GB"/>
          </w:rPr>
          <w:tab/>
        </w:r>
        <w:r w:rsidR="00897995" w:rsidRPr="007C2CA0">
          <w:rPr>
            <w:rStyle w:val="Hyperlink"/>
          </w:rPr>
          <w:t>Median house prices 2017 by ward</w:t>
        </w:r>
        <w:r w:rsidR="00897995">
          <w:rPr>
            <w:webHidden/>
          </w:rPr>
          <w:tab/>
        </w:r>
        <w:r w:rsidR="00897995">
          <w:rPr>
            <w:webHidden/>
          </w:rPr>
          <w:fldChar w:fldCharType="begin"/>
        </w:r>
        <w:r w:rsidR="00897995">
          <w:rPr>
            <w:webHidden/>
          </w:rPr>
          <w:instrText xml:space="preserve"> PAGEREF _Toc532812462 \h </w:instrText>
        </w:r>
        <w:r w:rsidR="00897995">
          <w:rPr>
            <w:webHidden/>
          </w:rPr>
        </w:r>
        <w:r w:rsidR="00897995">
          <w:rPr>
            <w:webHidden/>
          </w:rPr>
          <w:fldChar w:fldCharType="separate"/>
        </w:r>
        <w:r w:rsidR="004C7DEC">
          <w:rPr>
            <w:webHidden/>
          </w:rPr>
          <w:t>23</w:t>
        </w:r>
        <w:r w:rsidR="00897995">
          <w:rPr>
            <w:webHidden/>
          </w:rPr>
          <w:fldChar w:fldCharType="end"/>
        </w:r>
      </w:hyperlink>
    </w:p>
    <w:p w14:paraId="68028291" w14:textId="7B5F4034" w:rsidR="00897995" w:rsidRDefault="00A65AAD" w:rsidP="00897995">
      <w:pPr>
        <w:pStyle w:val="TOC1"/>
        <w:rPr>
          <w:rFonts w:asciiTheme="minorHAnsi" w:eastAsiaTheme="minorEastAsia" w:hAnsiTheme="minorHAnsi" w:cstheme="minorBidi"/>
          <w:sz w:val="22"/>
          <w:szCs w:val="22"/>
          <w:lang w:eastAsia="en-GB"/>
        </w:rPr>
      </w:pPr>
      <w:hyperlink w:anchor="_Toc532812463" w:history="1">
        <w:r w:rsidR="00897995" w:rsidRPr="007C2CA0">
          <w:rPr>
            <w:rStyle w:val="Hyperlink"/>
          </w:rPr>
          <w:t>Map 3.2</w:t>
        </w:r>
        <w:r w:rsidR="00897995">
          <w:rPr>
            <w:rFonts w:asciiTheme="minorHAnsi" w:eastAsiaTheme="minorEastAsia" w:hAnsiTheme="minorHAnsi" w:cstheme="minorBidi"/>
            <w:sz w:val="22"/>
            <w:szCs w:val="22"/>
            <w:lang w:eastAsia="en-GB"/>
          </w:rPr>
          <w:tab/>
        </w:r>
        <w:r w:rsidR="00897995" w:rsidRPr="007C2CA0">
          <w:rPr>
            <w:rStyle w:val="Hyperlink"/>
          </w:rPr>
          <w:t>Median rents 2017 by ward</w:t>
        </w:r>
        <w:r w:rsidR="00897995">
          <w:rPr>
            <w:webHidden/>
          </w:rPr>
          <w:tab/>
        </w:r>
        <w:r w:rsidR="00897995">
          <w:rPr>
            <w:webHidden/>
          </w:rPr>
          <w:fldChar w:fldCharType="begin"/>
        </w:r>
        <w:r w:rsidR="00897995">
          <w:rPr>
            <w:webHidden/>
          </w:rPr>
          <w:instrText xml:space="preserve"> PAGEREF _Toc532812463 \h </w:instrText>
        </w:r>
        <w:r w:rsidR="00897995">
          <w:rPr>
            <w:webHidden/>
          </w:rPr>
        </w:r>
        <w:r w:rsidR="00897995">
          <w:rPr>
            <w:webHidden/>
          </w:rPr>
          <w:fldChar w:fldCharType="separate"/>
        </w:r>
        <w:r w:rsidR="004C7DEC">
          <w:rPr>
            <w:webHidden/>
          </w:rPr>
          <w:t>24</w:t>
        </w:r>
        <w:r w:rsidR="00897995">
          <w:rPr>
            <w:webHidden/>
          </w:rPr>
          <w:fldChar w:fldCharType="end"/>
        </w:r>
      </w:hyperlink>
    </w:p>
    <w:p w14:paraId="5FA43668" w14:textId="0415B179" w:rsidR="00EB777C" w:rsidRPr="00EB777C" w:rsidRDefault="00A15D28" w:rsidP="00B924E8">
      <w:pPr>
        <w:spacing w:before="0" w:after="0"/>
        <w:jc w:val="left"/>
        <w:rPr>
          <w:lang w:eastAsia="en-GB"/>
        </w:rPr>
      </w:pPr>
      <w:r>
        <w:rPr>
          <w:lang w:eastAsia="en-GB"/>
        </w:rPr>
        <w:fldChar w:fldCharType="end"/>
      </w:r>
    </w:p>
    <w:p w14:paraId="58E1A3B2" w14:textId="783E5974" w:rsidR="004513B2" w:rsidRDefault="004513B2" w:rsidP="004513B2">
      <w:pPr>
        <w:pStyle w:val="TOCHeading1"/>
        <w:rPr>
          <w:lang w:eastAsia="en-GB"/>
        </w:rPr>
      </w:pPr>
      <w:r>
        <w:rPr>
          <w:lang w:eastAsia="en-GB"/>
        </w:rPr>
        <w:t>List of Tables</w:t>
      </w:r>
    </w:p>
    <w:p w14:paraId="6EDC1C03" w14:textId="3BF0A11C" w:rsidR="00897995" w:rsidRPr="00897995" w:rsidRDefault="00A15D28" w:rsidP="00897995">
      <w:pPr>
        <w:pStyle w:val="TOC1"/>
        <w:rPr>
          <w:rFonts w:asciiTheme="minorHAnsi" w:eastAsiaTheme="minorEastAsia" w:hAnsiTheme="minorHAnsi" w:cstheme="minorBidi"/>
          <w:sz w:val="22"/>
          <w:szCs w:val="22"/>
          <w:lang w:eastAsia="en-GB"/>
        </w:rPr>
      </w:pPr>
      <w:r w:rsidRPr="00367D56">
        <w:rPr>
          <w:iCs/>
          <w:color w:val="008080"/>
          <w:szCs w:val="20"/>
          <w:lang w:eastAsia="en-GB"/>
        </w:rPr>
        <w:fldChar w:fldCharType="begin"/>
      </w:r>
      <w:r w:rsidRPr="00367D56">
        <w:rPr>
          <w:iCs/>
          <w:color w:val="008080"/>
          <w:szCs w:val="20"/>
          <w:lang w:eastAsia="en-GB"/>
        </w:rPr>
        <w:instrText xml:space="preserve"> TOC \h \z \t "Tableheading" </w:instrText>
      </w:r>
      <w:r w:rsidRPr="00367D56">
        <w:rPr>
          <w:iCs/>
          <w:color w:val="008080"/>
          <w:szCs w:val="20"/>
          <w:lang w:eastAsia="en-GB"/>
        </w:rPr>
        <w:fldChar w:fldCharType="separate"/>
      </w:r>
      <w:hyperlink w:anchor="_Toc532812464" w:history="1">
        <w:r w:rsidR="00897995" w:rsidRPr="00897995">
          <w:rPr>
            <w:rStyle w:val="Hyperlink"/>
          </w:rPr>
          <w:t>Table 1.1</w:t>
        </w:r>
        <w:r w:rsidR="00897995" w:rsidRPr="00897995">
          <w:rPr>
            <w:rFonts w:asciiTheme="minorHAnsi" w:eastAsiaTheme="minorEastAsia" w:hAnsiTheme="minorHAnsi" w:cstheme="minorBidi"/>
            <w:sz w:val="22"/>
            <w:szCs w:val="22"/>
            <w:lang w:eastAsia="en-GB"/>
          </w:rPr>
          <w:tab/>
        </w:r>
        <w:r w:rsidR="00897995" w:rsidRPr="00897995">
          <w:rPr>
            <w:rStyle w:val="Hyperlink"/>
          </w:rPr>
          <w:t>Housing Market Area Geography</w:t>
        </w:r>
        <w:r w:rsidR="00897995" w:rsidRPr="00897995">
          <w:rPr>
            <w:webHidden/>
          </w:rPr>
          <w:tab/>
        </w:r>
        <w:r w:rsidR="00897995" w:rsidRPr="00897995">
          <w:rPr>
            <w:webHidden/>
          </w:rPr>
          <w:fldChar w:fldCharType="begin"/>
        </w:r>
        <w:r w:rsidR="00897995" w:rsidRPr="00897995">
          <w:rPr>
            <w:webHidden/>
          </w:rPr>
          <w:instrText xml:space="preserve"> PAGEREF _Toc532812464 \h </w:instrText>
        </w:r>
        <w:r w:rsidR="00897995" w:rsidRPr="00897995">
          <w:rPr>
            <w:webHidden/>
          </w:rPr>
        </w:r>
        <w:r w:rsidR="00897995" w:rsidRPr="00897995">
          <w:rPr>
            <w:webHidden/>
          </w:rPr>
          <w:fldChar w:fldCharType="separate"/>
        </w:r>
        <w:r w:rsidR="004C7DEC">
          <w:rPr>
            <w:webHidden/>
          </w:rPr>
          <w:t>14</w:t>
        </w:r>
        <w:r w:rsidR="00897995" w:rsidRPr="00897995">
          <w:rPr>
            <w:webHidden/>
          </w:rPr>
          <w:fldChar w:fldCharType="end"/>
        </w:r>
      </w:hyperlink>
    </w:p>
    <w:p w14:paraId="0D2B96AE" w14:textId="391A4DEB" w:rsidR="00897995" w:rsidRPr="00897995" w:rsidRDefault="00A65AAD" w:rsidP="00897995">
      <w:pPr>
        <w:pStyle w:val="TOC1"/>
        <w:rPr>
          <w:rFonts w:asciiTheme="minorHAnsi" w:eastAsiaTheme="minorEastAsia" w:hAnsiTheme="minorHAnsi" w:cstheme="minorBidi"/>
          <w:sz w:val="22"/>
          <w:szCs w:val="22"/>
          <w:lang w:eastAsia="en-GB"/>
        </w:rPr>
      </w:pPr>
      <w:hyperlink w:anchor="_Toc532812465" w:history="1">
        <w:r w:rsidR="00897995" w:rsidRPr="00897995">
          <w:rPr>
            <w:rStyle w:val="Hyperlink"/>
          </w:rPr>
          <w:t>Table 3.1</w:t>
        </w:r>
        <w:r w:rsidR="00897995" w:rsidRPr="00897995">
          <w:rPr>
            <w:rFonts w:asciiTheme="minorHAnsi" w:eastAsiaTheme="minorEastAsia" w:hAnsiTheme="minorHAnsi" w:cstheme="minorBidi"/>
            <w:sz w:val="22"/>
            <w:szCs w:val="22"/>
            <w:lang w:eastAsia="en-GB"/>
          </w:rPr>
          <w:tab/>
        </w:r>
        <w:r w:rsidR="00897995" w:rsidRPr="00897995">
          <w:rPr>
            <w:rStyle w:val="Hyperlink"/>
          </w:rPr>
          <w:t>Comparative median house price change 2007-2017 with neighbouring Districts, the North West and England</w:t>
        </w:r>
        <w:r w:rsidR="00897995" w:rsidRPr="00897995">
          <w:rPr>
            <w:webHidden/>
          </w:rPr>
          <w:tab/>
        </w:r>
        <w:r w:rsidR="00897995" w:rsidRPr="00897995">
          <w:rPr>
            <w:webHidden/>
          </w:rPr>
          <w:fldChar w:fldCharType="begin"/>
        </w:r>
        <w:r w:rsidR="00897995" w:rsidRPr="00897995">
          <w:rPr>
            <w:webHidden/>
          </w:rPr>
          <w:instrText xml:space="preserve"> PAGEREF _Toc532812465 \h </w:instrText>
        </w:r>
        <w:r w:rsidR="00897995" w:rsidRPr="00897995">
          <w:rPr>
            <w:webHidden/>
          </w:rPr>
        </w:r>
        <w:r w:rsidR="00897995" w:rsidRPr="00897995">
          <w:rPr>
            <w:webHidden/>
          </w:rPr>
          <w:fldChar w:fldCharType="separate"/>
        </w:r>
        <w:r w:rsidR="004C7DEC">
          <w:rPr>
            <w:webHidden/>
          </w:rPr>
          <w:t>22</w:t>
        </w:r>
        <w:r w:rsidR="00897995" w:rsidRPr="00897995">
          <w:rPr>
            <w:webHidden/>
          </w:rPr>
          <w:fldChar w:fldCharType="end"/>
        </w:r>
      </w:hyperlink>
    </w:p>
    <w:p w14:paraId="5C4040CA" w14:textId="451B23A9" w:rsidR="00897995" w:rsidRPr="00897995" w:rsidRDefault="00A65AAD" w:rsidP="00897995">
      <w:pPr>
        <w:pStyle w:val="TOC1"/>
        <w:rPr>
          <w:rFonts w:asciiTheme="minorHAnsi" w:eastAsiaTheme="minorEastAsia" w:hAnsiTheme="minorHAnsi" w:cstheme="minorBidi"/>
          <w:sz w:val="22"/>
          <w:szCs w:val="22"/>
          <w:lang w:eastAsia="en-GB"/>
        </w:rPr>
      </w:pPr>
      <w:hyperlink w:anchor="_Toc532812466" w:history="1">
        <w:r w:rsidR="00897995" w:rsidRPr="00897995">
          <w:rPr>
            <w:rStyle w:val="Hyperlink"/>
          </w:rPr>
          <w:t>Table 3.2</w:t>
        </w:r>
        <w:r w:rsidR="00897995" w:rsidRPr="00897995">
          <w:rPr>
            <w:rFonts w:asciiTheme="minorHAnsi" w:eastAsiaTheme="minorEastAsia" w:hAnsiTheme="minorHAnsi" w:cstheme="minorBidi"/>
            <w:sz w:val="22"/>
            <w:szCs w:val="22"/>
            <w:lang w:eastAsia="en-GB"/>
          </w:rPr>
          <w:tab/>
        </w:r>
        <w:r w:rsidR="00897995" w:rsidRPr="00897995">
          <w:rPr>
            <w:rStyle w:val="Hyperlink"/>
          </w:rPr>
          <w:t>Relative affordability of LQ prices by District (residence base)</w:t>
        </w:r>
        <w:r w:rsidR="00897995" w:rsidRPr="00897995">
          <w:rPr>
            <w:webHidden/>
          </w:rPr>
          <w:tab/>
        </w:r>
        <w:r w:rsidR="00897995" w:rsidRPr="00897995">
          <w:rPr>
            <w:webHidden/>
          </w:rPr>
          <w:fldChar w:fldCharType="begin"/>
        </w:r>
        <w:r w:rsidR="00897995" w:rsidRPr="00897995">
          <w:rPr>
            <w:webHidden/>
          </w:rPr>
          <w:instrText xml:space="preserve"> PAGEREF _Toc532812466 \h </w:instrText>
        </w:r>
        <w:r w:rsidR="00897995" w:rsidRPr="00897995">
          <w:rPr>
            <w:webHidden/>
          </w:rPr>
        </w:r>
        <w:r w:rsidR="00897995" w:rsidRPr="00897995">
          <w:rPr>
            <w:webHidden/>
          </w:rPr>
          <w:fldChar w:fldCharType="separate"/>
        </w:r>
        <w:r w:rsidR="004C7DEC">
          <w:rPr>
            <w:webHidden/>
          </w:rPr>
          <w:t>25</w:t>
        </w:r>
        <w:r w:rsidR="00897995" w:rsidRPr="00897995">
          <w:rPr>
            <w:webHidden/>
          </w:rPr>
          <w:fldChar w:fldCharType="end"/>
        </w:r>
      </w:hyperlink>
    </w:p>
    <w:p w14:paraId="28026C56" w14:textId="53623CE2" w:rsidR="00897995" w:rsidRPr="00897995" w:rsidRDefault="00A65AAD" w:rsidP="00897995">
      <w:pPr>
        <w:pStyle w:val="TOC1"/>
        <w:rPr>
          <w:rFonts w:asciiTheme="minorHAnsi" w:eastAsiaTheme="minorEastAsia" w:hAnsiTheme="minorHAnsi" w:cstheme="minorBidi"/>
          <w:sz w:val="22"/>
          <w:szCs w:val="22"/>
          <w:lang w:eastAsia="en-GB"/>
        </w:rPr>
      </w:pPr>
      <w:hyperlink w:anchor="_Toc532812467" w:history="1">
        <w:r w:rsidR="00897995" w:rsidRPr="00897995">
          <w:rPr>
            <w:rStyle w:val="Hyperlink"/>
          </w:rPr>
          <w:t>Table 3.3</w:t>
        </w:r>
        <w:r w:rsidR="00897995" w:rsidRPr="00897995">
          <w:rPr>
            <w:rFonts w:asciiTheme="minorHAnsi" w:eastAsiaTheme="minorEastAsia" w:hAnsiTheme="minorHAnsi" w:cstheme="minorBidi"/>
            <w:sz w:val="22"/>
            <w:szCs w:val="22"/>
            <w:lang w:eastAsia="en-GB"/>
          </w:rPr>
          <w:tab/>
        </w:r>
        <w:r w:rsidR="00897995" w:rsidRPr="00897995">
          <w:rPr>
            <w:rStyle w:val="Hyperlink"/>
          </w:rPr>
          <w:t>Relative affordability of median prices by District (residence base)</w:t>
        </w:r>
        <w:r w:rsidR="00897995" w:rsidRPr="00897995">
          <w:rPr>
            <w:webHidden/>
          </w:rPr>
          <w:tab/>
        </w:r>
        <w:r w:rsidR="00897995" w:rsidRPr="00897995">
          <w:rPr>
            <w:webHidden/>
          </w:rPr>
          <w:fldChar w:fldCharType="begin"/>
        </w:r>
        <w:r w:rsidR="00897995" w:rsidRPr="00897995">
          <w:rPr>
            <w:webHidden/>
          </w:rPr>
          <w:instrText xml:space="preserve"> PAGEREF _Toc532812467 \h </w:instrText>
        </w:r>
        <w:r w:rsidR="00897995" w:rsidRPr="00897995">
          <w:rPr>
            <w:webHidden/>
          </w:rPr>
        </w:r>
        <w:r w:rsidR="00897995" w:rsidRPr="00897995">
          <w:rPr>
            <w:webHidden/>
          </w:rPr>
          <w:fldChar w:fldCharType="separate"/>
        </w:r>
        <w:r w:rsidR="004C7DEC">
          <w:rPr>
            <w:webHidden/>
          </w:rPr>
          <w:t>25</w:t>
        </w:r>
        <w:r w:rsidR="00897995" w:rsidRPr="00897995">
          <w:rPr>
            <w:webHidden/>
          </w:rPr>
          <w:fldChar w:fldCharType="end"/>
        </w:r>
      </w:hyperlink>
    </w:p>
    <w:p w14:paraId="0002E8C0" w14:textId="1FA779AB" w:rsidR="00897995" w:rsidRPr="00897995" w:rsidRDefault="00A65AAD" w:rsidP="00897995">
      <w:pPr>
        <w:pStyle w:val="TOC1"/>
        <w:rPr>
          <w:rFonts w:asciiTheme="minorHAnsi" w:eastAsiaTheme="minorEastAsia" w:hAnsiTheme="minorHAnsi" w:cstheme="minorBidi"/>
          <w:sz w:val="22"/>
          <w:szCs w:val="22"/>
          <w:lang w:eastAsia="en-GB"/>
        </w:rPr>
      </w:pPr>
      <w:hyperlink w:anchor="_Toc532812468" w:history="1">
        <w:r w:rsidR="00897995" w:rsidRPr="00897995">
          <w:rPr>
            <w:rStyle w:val="Hyperlink"/>
          </w:rPr>
          <w:t>Table 3.4</w:t>
        </w:r>
        <w:r w:rsidR="00897995" w:rsidRPr="00897995">
          <w:rPr>
            <w:rFonts w:asciiTheme="minorHAnsi" w:eastAsiaTheme="minorEastAsia" w:hAnsiTheme="minorHAnsi" w:cstheme="minorBidi"/>
            <w:sz w:val="22"/>
            <w:szCs w:val="22"/>
            <w:lang w:eastAsia="en-GB"/>
          </w:rPr>
          <w:tab/>
        </w:r>
        <w:r w:rsidR="00897995" w:rsidRPr="00897995">
          <w:rPr>
            <w:rStyle w:val="Hyperlink"/>
          </w:rPr>
          <w:t>Cost of alternative tenure options by Housing Market Area</w:t>
        </w:r>
        <w:r w:rsidR="00897995" w:rsidRPr="00897995">
          <w:rPr>
            <w:webHidden/>
          </w:rPr>
          <w:tab/>
        </w:r>
        <w:r w:rsidR="00897995" w:rsidRPr="00897995">
          <w:rPr>
            <w:webHidden/>
          </w:rPr>
          <w:fldChar w:fldCharType="begin"/>
        </w:r>
        <w:r w:rsidR="00897995" w:rsidRPr="00897995">
          <w:rPr>
            <w:webHidden/>
          </w:rPr>
          <w:instrText xml:space="preserve"> PAGEREF _Toc532812468 \h </w:instrText>
        </w:r>
        <w:r w:rsidR="00897995" w:rsidRPr="00897995">
          <w:rPr>
            <w:webHidden/>
          </w:rPr>
        </w:r>
        <w:r w:rsidR="00897995" w:rsidRPr="00897995">
          <w:rPr>
            <w:webHidden/>
          </w:rPr>
          <w:fldChar w:fldCharType="separate"/>
        </w:r>
        <w:r w:rsidR="004C7DEC">
          <w:rPr>
            <w:webHidden/>
          </w:rPr>
          <w:t>27</w:t>
        </w:r>
        <w:r w:rsidR="00897995" w:rsidRPr="00897995">
          <w:rPr>
            <w:webHidden/>
          </w:rPr>
          <w:fldChar w:fldCharType="end"/>
        </w:r>
      </w:hyperlink>
    </w:p>
    <w:p w14:paraId="0AA7C87F" w14:textId="1996524C" w:rsidR="00897995" w:rsidRPr="00897995" w:rsidRDefault="00A65AAD" w:rsidP="00897995">
      <w:pPr>
        <w:pStyle w:val="TOC1"/>
        <w:rPr>
          <w:rFonts w:asciiTheme="minorHAnsi" w:eastAsiaTheme="minorEastAsia" w:hAnsiTheme="minorHAnsi" w:cstheme="minorBidi"/>
          <w:sz w:val="22"/>
          <w:szCs w:val="22"/>
          <w:lang w:eastAsia="en-GB"/>
        </w:rPr>
      </w:pPr>
      <w:hyperlink w:anchor="_Toc532812469" w:history="1">
        <w:r w:rsidR="00897995" w:rsidRPr="00897995">
          <w:rPr>
            <w:rStyle w:val="Hyperlink"/>
          </w:rPr>
          <w:t>Table 3.5</w:t>
        </w:r>
        <w:r w:rsidR="00897995" w:rsidRPr="00897995">
          <w:rPr>
            <w:rFonts w:asciiTheme="minorHAnsi" w:eastAsiaTheme="minorEastAsia" w:hAnsiTheme="minorHAnsi" w:cstheme="minorBidi"/>
            <w:sz w:val="22"/>
            <w:szCs w:val="22"/>
            <w:lang w:eastAsia="en-GB"/>
          </w:rPr>
          <w:tab/>
        </w:r>
        <w:r w:rsidR="00897995" w:rsidRPr="00897995">
          <w:rPr>
            <w:rStyle w:val="Hyperlink"/>
          </w:rPr>
          <w:t>Income required for alternative tenure options by Housing Market Area</w:t>
        </w:r>
        <w:r w:rsidR="00897995" w:rsidRPr="00897995">
          <w:rPr>
            <w:webHidden/>
          </w:rPr>
          <w:tab/>
        </w:r>
        <w:r w:rsidR="00897995" w:rsidRPr="00897995">
          <w:rPr>
            <w:webHidden/>
          </w:rPr>
          <w:fldChar w:fldCharType="begin"/>
        </w:r>
        <w:r w:rsidR="00897995" w:rsidRPr="00897995">
          <w:rPr>
            <w:webHidden/>
          </w:rPr>
          <w:instrText xml:space="preserve"> PAGEREF _Toc532812469 \h </w:instrText>
        </w:r>
        <w:r w:rsidR="00897995" w:rsidRPr="00897995">
          <w:rPr>
            <w:webHidden/>
          </w:rPr>
        </w:r>
        <w:r w:rsidR="00897995" w:rsidRPr="00897995">
          <w:rPr>
            <w:webHidden/>
          </w:rPr>
          <w:fldChar w:fldCharType="separate"/>
        </w:r>
        <w:r w:rsidR="004C7DEC">
          <w:rPr>
            <w:webHidden/>
          </w:rPr>
          <w:t>28</w:t>
        </w:r>
        <w:r w:rsidR="00897995" w:rsidRPr="00897995">
          <w:rPr>
            <w:webHidden/>
          </w:rPr>
          <w:fldChar w:fldCharType="end"/>
        </w:r>
      </w:hyperlink>
    </w:p>
    <w:p w14:paraId="61C37332" w14:textId="2BE602D6" w:rsidR="00897995" w:rsidRPr="00897995" w:rsidRDefault="00A65AAD" w:rsidP="00897995">
      <w:pPr>
        <w:pStyle w:val="TOC1"/>
        <w:rPr>
          <w:rFonts w:asciiTheme="minorHAnsi" w:eastAsiaTheme="minorEastAsia" w:hAnsiTheme="minorHAnsi" w:cstheme="minorBidi"/>
          <w:sz w:val="22"/>
          <w:szCs w:val="22"/>
          <w:lang w:eastAsia="en-GB"/>
        </w:rPr>
      </w:pPr>
      <w:hyperlink w:anchor="_Toc532812470" w:history="1">
        <w:r w:rsidR="00897995" w:rsidRPr="00897995">
          <w:rPr>
            <w:rStyle w:val="Hyperlink"/>
          </w:rPr>
          <w:t>Table 3.6</w:t>
        </w:r>
        <w:r w:rsidR="00897995" w:rsidRPr="00897995">
          <w:rPr>
            <w:rFonts w:asciiTheme="minorHAnsi" w:eastAsiaTheme="minorEastAsia" w:hAnsiTheme="minorHAnsi" w:cstheme="minorBidi"/>
            <w:sz w:val="22"/>
            <w:szCs w:val="22"/>
            <w:lang w:eastAsia="en-GB"/>
          </w:rPr>
          <w:tab/>
        </w:r>
        <w:r w:rsidR="00897995" w:rsidRPr="00897995">
          <w:rPr>
            <w:rStyle w:val="Hyperlink"/>
          </w:rPr>
          <w:t>Assumptions in assessing income required for alternative tenure options</w:t>
        </w:r>
        <w:r w:rsidR="00897995" w:rsidRPr="00897995">
          <w:rPr>
            <w:webHidden/>
          </w:rPr>
          <w:tab/>
        </w:r>
        <w:r w:rsidR="00897995" w:rsidRPr="00897995">
          <w:rPr>
            <w:webHidden/>
          </w:rPr>
          <w:fldChar w:fldCharType="begin"/>
        </w:r>
        <w:r w:rsidR="00897995" w:rsidRPr="00897995">
          <w:rPr>
            <w:webHidden/>
          </w:rPr>
          <w:instrText xml:space="preserve"> PAGEREF _Toc532812470 \h </w:instrText>
        </w:r>
        <w:r w:rsidR="00897995" w:rsidRPr="00897995">
          <w:rPr>
            <w:webHidden/>
          </w:rPr>
        </w:r>
        <w:r w:rsidR="00897995" w:rsidRPr="00897995">
          <w:rPr>
            <w:webHidden/>
          </w:rPr>
          <w:fldChar w:fldCharType="separate"/>
        </w:r>
        <w:r w:rsidR="004C7DEC">
          <w:rPr>
            <w:webHidden/>
          </w:rPr>
          <w:t>29</w:t>
        </w:r>
        <w:r w:rsidR="00897995" w:rsidRPr="00897995">
          <w:rPr>
            <w:webHidden/>
          </w:rPr>
          <w:fldChar w:fldCharType="end"/>
        </w:r>
      </w:hyperlink>
    </w:p>
    <w:p w14:paraId="222742A5" w14:textId="7219E73C" w:rsidR="00897995" w:rsidRPr="00897995" w:rsidRDefault="00A65AAD" w:rsidP="00897995">
      <w:pPr>
        <w:pStyle w:val="TOC1"/>
        <w:rPr>
          <w:rFonts w:asciiTheme="minorHAnsi" w:eastAsiaTheme="minorEastAsia" w:hAnsiTheme="minorHAnsi" w:cstheme="minorBidi"/>
          <w:sz w:val="22"/>
          <w:szCs w:val="22"/>
          <w:lang w:eastAsia="en-GB"/>
        </w:rPr>
      </w:pPr>
      <w:hyperlink w:anchor="_Toc532812471" w:history="1">
        <w:r w:rsidR="00897995" w:rsidRPr="00897995">
          <w:rPr>
            <w:rStyle w:val="Hyperlink"/>
          </w:rPr>
          <w:t>Table 3.7</w:t>
        </w:r>
        <w:r w:rsidR="00897995" w:rsidRPr="00897995">
          <w:rPr>
            <w:rFonts w:asciiTheme="minorHAnsi" w:eastAsiaTheme="minorEastAsia" w:hAnsiTheme="minorHAnsi" w:cstheme="minorBidi"/>
            <w:sz w:val="22"/>
            <w:szCs w:val="22"/>
            <w:lang w:eastAsia="en-GB"/>
          </w:rPr>
          <w:tab/>
        </w:r>
        <w:r w:rsidR="00897995" w:rsidRPr="00897995">
          <w:rPr>
            <w:rStyle w:val="Hyperlink"/>
          </w:rPr>
          <w:t>income required to fund each tenure option</w:t>
        </w:r>
        <w:r w:rsidR="00897995" w:rsidRPr="00897995">
          <w:rPr>
            <w:webHidden/>
          </w:rPr>
          <w:tab/>
        </w:r>
        <w:r w:rsidR="00897995" w:rsidRPr="00897995">
          <w:rPr>
            <w:webHidden/>
          </w:rPr>
          <w:fldChar w:fldCharType="begin"/>
        </w:r>
        <w:r w:rsidR="00897995" w:rsidRPr="00897995">
          <w:rPr>
            <w:webHidden/>
          </w:rPr>
          <w:instrText xml:space="preserve"> PAGEREF _Toc532812471 \h </w:instrText>
        </w:r>
        <w:r w:rsidR="00897995" w:rsidRPr="00897995">
          <w:rPr>
            <w:webHidden/>
          </w:rPr>
        </w:r>
        <w:r w:rsidR="00897995" w:rsidRPr="00897995">
          <w:rPr>
            <w:webHidden/>
          </w:rPr>
          <w:fldChar w:fldCharType="separate"/>
        </w:r>
        <w:r w:rsidR="004C7DEC">
          <w:rPr>
            <w:webHidden/>
          </w:rPr>
          <w:t>30</w:t>
        </w:r>
        <w:r w:rsidR="00897995" w:rsidRPr="00897995">
          <w:rPr>
            <w:webHidden/>
          </w:rPr>
          <w:fldChar w:fldCharType="end"/>
        </w:r>
      </w:hyperlink>
    </w:p>
    <w:p w14:paraId="57346984" w14:textId="4E8C15A5" w:rsidR="00897995" w:rsidRPr="00897995" w:rsidRDefault="00A65AAD" w:rsidP="00897995">
      <w:pPr>
        <w:pStyle w:val="TOC1"/>
        <w:rPr>
          <w:rFonts w:asciiTheme="minorHAnsi" w:eastAsiaTheme="minorEastAsia" w:hAnsiTheme="minorHAnsi" w:cstheme="minorBidi"/>
          <w:sz w:val="22"/>
          <w:szCs w:val="22"/>
          <w:lang w:eastAsia="en-GB"/>
        </w:rPr>
      </w:pPr>
      <w:hyperlink w:anchor="_Toc532812472" w:history="1">
        <w:r w:rsidR="00897995" w:rsidRPr="00897995">
          <w:rPr>
            <w:rStyle w:val="Hyperlink"/>
          </w:rPr>
          <w:t xml:space="preserve">Table 4.1 </w:t>
        </w:r>
        <w:r w:rsidR="00897995" w:rsidRPr="00897995">
          <w:rPr>
            <w:rFonts w:asciiTheme="minorHAnsi" w:eastAsiaTheme="minorEastAsia" w:hAnsiTheme="minorHAnsi" w:cstheme="minorBidi"/>
            <w:sz w:val="22"/>
            <w:szCs w:val="22"/>
            <w:lang w:eastAsia="en-GB"/>
          </w:rPr>
          <w:tab/>
        </w:r>
        <w:r w:rsidR="00897995" w:rsidRPr="00897995">
          <w:rPr>
            <w:rStyle w:val="Hyperlink"/>
          </w:rPr>
          <w:t>Dwelling stock and households by housing market area</w:t>
        </w:r>
        <w:r w:rsidR="00897995" w:rsidRPr="00897995">
          <w:rPr>
            <w:webHidden/>
          </w:rPr>
          <w:tab/>
        </w:r>
        <w:r w:rsidR="00897995" w:rsidRPr="00897995">
          <w:rPr>
            <w:webHidden/>
          </w:rPr>
          <w:fldChar w:fldCharType="begin"/>
        </w:r>
        <w:r w:rsidR="00897995" w:rsidRPr="00897995">
          <w:rPr>
            <w:webHidden/>
          </w:rPr>
          <w:instrText xml:space="preserve"> PAGEREF _Toc532812472 \h </w:instrText>
        </w:r>
        <w:r w:rsidR="00897995" w:rsidRPr="00897995">
          <w:rPr>
            <w:webHidden/>
          </w:rPr>
        </w:r>
        <w:r w:rsidR="00897995" w:rsidRPr="00897995">
          <w:rPr>
            <w:webHidden/>
          </w:rPr>
          <w:fldChar w:fldCharType="separate"/>
        </w:r>
        <w:r w:rsidR="004C7DEC">
          <w:rPr>
            <w:webHidden/>
          </w:rPr>
          <w:t>44</w:t>
        </w:r>
        <w:r w:rsidR="00897995" w:rsidRPr="00897995">
          <w:rPr>
            <w:webHidden/>
          </w:rPr>
          <w:fldChar w:fldCharType="end"/>
        </w:r>
      </w:hyperlink>
    </w:p>
    <w:p w14:paraId="10C0C1ED" w14:textId="7C64F08C" w:rsidR="00897995" w:rsidRPr="00897995" w:rsidRDefault="00A65AAD" w:rsidP="00897995">
      <w:pPr>
        <w:pStyle w:val="TOC1"/>
        <w:rPr>
          <w:rFonts w:asciiTheme="minorHAnsi" w:eastAsiaTheme="minorEastAsia" w:hAnsiTheme="minorHAnsi" w:cstheme="minorBidi"/>
          <w:sz w:val="22"/>
          <w:szCs w:val="22"/>
          <w:lang w:eastAsia="en-GB"/>
        </w:rPr>
      </w:pPr>
      <w:hyperlink w:anchor="_Toc532812473" w:history="1">
        <w:r w:rsidR="00897995" w:rsidRPr="00897995">
          <w:rPr>
            <w:rStyle w:val="Hyperlink"/>
          </w:rPr>
          <w:t xml:space="preserve">Table 4.2 </w:t>
        </w:r>
        <w:r w:rsidR="00897995" w:rsidRPr="00897995">
          <w:rPr>
            <w:rFonts w:asciiTheme="minorHAnsi" w:eastAsiaTheme="minorEastAsia" w:hAnsiTheme="minorHAnsi" w:cstheme="minorBidi"/>
            <w:sz w:val="22"/>
            <w:szCs w:val="22"/>
            <w:lang w:eastAsia="en-GB"/>
          </w:rPr>
          <w:tab/>
        </w:r>
        <w:r w:rsidR="00897995" w:rsidRPr="00897995">
          <w:rPr>
            <w:rStyle w:val="Hyperlink"/>
          </w:rPr>
          <w:t>Dwelling type by HMA</w:t>
        </w:r>
        <w:r w:rsidR="00897995" w:rsidRPr="00897995">
          <w:rPr>
            <w:webHidden/>
          </w:rPr>
          <w:tab/>
        </w:r>
        <w:r w:rsidR="00897995" w:rsidRPr="00897995">
          <w:rPr>
            <w:webHidden/>
          </w:rPr>
          <w:fldChar w:fldCharType="begin"/>
        </w:r>
        <w:r w:rsidR="00897995" w:rsidRPr="00897995">
          <w:rPr>
            <w:webHidden/>
          </w:rPr>
          <w:instrText xml:space="preserve"> PAGEREF _Toc532812473 \h </w:instrText>
        </w:r>
        <w:r w:rsidR="00897995" w:rsidRPr="00897995">
          <w:rPr>
            <w:webHidden/>
          </w:rPr>
        </w:r>
        <w:r w:rsidR="00897995" w:rsidRPr="00897995">
          <w:rPr>
            <w:webHidden/>
          </w:rPr>
          <w:fldChar w:fldCharType="separate"/>
        </w:r>
        <w:r w:rsidR="004C7DEC">
          <w:rPr>
            <w:webHidden/>
          </w:rPr>
          <w:t>45</w:t>
        </w:r>
        <w:r w:rsidR="00897995" w:rsidRPr="00897995">
          <w:rPr>
            <w:webHidden/>
          </w:rPr>
          <w:fldChar w:fldCharType="end"/>
        </w:r>
      </w:hyperlink>
    </w:p>
    <w:p w14:paraId="4DDC53D3" w14:textId="179FFB4B" w:rsidR="00897995" w:rsidRPr="00897995" w:rsidRDefault="00A65AAD" w:rsidP="00897995">
      <w:pPr>
        <w:pStyle w:val="TOC1"/>
        <w:rPr>
          <w:rFonts w:asciiTheme="minorHAnsi" w:eastAsiaTheme="minorEastAsia" w:hAnsiTheme="minorHAnsi" w:cstheme="minorBidi"/>
          <w:sz w:val="22"/>
          <w:szCs w:val="22"/>
          <w:lang w:eastAsia="en-GB"/>
        </w:rPr>
      </w:pPr>
      <w:hyperlink w:anchor="_Toc532812474" w:history="1">
        <w:r w:rsidR="00897995" w:rsidRPr="00897995">
          <w:rPr>
            <w:rStyle w:val="Hyperlink"/>
          </w:rPr>
          <w:t>Table 4.3</w:t>
        </w:r>
        <w:r w:rsidR="00897995" w:rsidRPr="00897995">
          <w:rPr>
            <w:rFonts w:asciiTheme="minorHAnsi" w:eastAsiaTheme="minorEastAsia" w:hAnsiTheme="minorHAnsi" w:cstheme="minorBidi"/>
            <w:sz w:val="22"/>
            <w:szCs w:val="22"/>
            <w:lang w:eastAsia="en-GB"/>
          </w:rPr>
          <w:tab/>
        </w:r>
        <w:r w:rsidR="00897995" w:rsidRPr="00897995">
          <w:rPr>
            <w:rStyle w:val="Hyperlink"/>
          </w:rPr>
          <w:t>Number of bedrooms by HMA</w:t>
        </w:r>
        <w:r w:rsidR="00897995" w:rsidRPr="00897995">
          <w:rPr>
            <w:webHidden/>
          </w:rPr>
          <w:tab/>
        </w:r>
        <w:r w:rsidR="00897995" w:rsidRPr="00897995">
          <w:rPr>
            <w:webHidden/>
          </w:rPr>
          <w:fldChar w:fldCharType="begin"/>
        </w:r>
        <w:r w:rsidR="00897995" w:rsidRPr="00897995">
          <w:rPr>
            <w:webHidden/>
          </w:rPr>
          <w:instrText xml:space="preserve"> PAGEREF _Toc532812474 \h </w:instrText>
        </w:r>
        <w:r w:rsidR="00897995" w:rsidRPr="00897995">
          <w:rPr>
            <w:webHidden/>
          </w:rPr>
        </w:r>
        <w:r w:rsidR="00897995" w:rsidRPr="00897995">
          <w:rPr>
            <w:webHidden/>
          </w:rPr>
          <w:fldChar w:fldCharType="separate"/>
        </w:r>
        <w:r w:rsidR="004C7DEC">
          <w:rPr>
            <w:webHidden/>
          </w:rPr>
          <w:t>45</w:t>
        </w:r>
        <w:r w:rsidR="00897995" w:rsidRPr="00897995">
          <w:rPr>
            <w:webHidden/>
          </w:rPr>
          <w:fldChar w:fldCharType="end"/>
        </w:r>
      </w:hyperlink>
    </w:p>
    <w:p w14:paraId="18889E5F" w14:textId="5C58B8A9" w:rsidR="00897995" w:rsidRPr="00897995" w:rsidRDefault="00A65AAD" w:rsidP="00897995">
      <w:pPr>
        <w:pStyle w:val="TOC1"/>
        <w:rPr>
          <w:rFonts w:asciiTheme="minorHAnsi" w:eastAsiaTheme="minorEastAsia" w:hAnsiTheme="minorHAnsi" w:cstheme="minorBidi"/>
          <w:sz w:val="22"/>
          <w:szCs w:val="22"/>
          <w:lang w:eastAsia="en-GB"/>
        </w:rPr>
      </w:pPr>
      <w:hyperlink w:anchor="_Toc532812475" w:history="1">
        <w:r w:rsidR="00897995" w:rsidRPr="00897995">
          <w:rPr>
            <w:rStyle w:val="Hyperlink"/>
          </w:rPr>
          <w:t>Table 4.4</w:t>
        </w:r>
        <w:r w:rsidR="00897995" w:rsidRPr="00897995">
          <w:rPr>
            <w:rFonts w:asciiTheme="minorHAnsi" w:eastAsiaTheme="minorEastAsia" w:hAnsiTheme="minorHAnsi" w:cstheme="minorBidi"/>
            <w:sz w:val="22"/>
            <w:szCs w:val="22"/>
            <w:lang w:eastAsia="en-GB"/>
          </w:rPr>
          <w:tab/>
        </w:r>
        <w:r w:rsidR="00897995" w:rsidRPr="00897995">
          <w:rPr>
            <w:rStyle w:val="Hyperlink"/>
          </w:rPr>
          <w:t>Tenure Profile</w:t>
        </w:r>
        <w:r w:rsidR="00897995" w:rsidRPr="00897995">
          <w:rPr>
            <w:webHidden/>
          </w:rPr>
          <w:tab/>
        </w:r>
        <w:r w:rsidR="00897995" w:rsidRPr="00897995">
          <w:rPr>
            <w:webHidden/>
          </w:rPr>
          <w:fldChar w:fldCharType="begin"/>
        </w:r>
        <w:r w:rsidR="00897995" w:rsidRPr="00897995">
          <w:rPr>
            <w:webHidden/>
          </w:rPr>
          <w:instrText xml:space="preserve"> PAGEREF _Toc532812475 \h </w:instrText>
        </w:r>
        <w:r w:rsidR="00897995" w:rsidRPr="00897995">
          <w:rPr>
            <w:webHidden/>
          </w:rPr>
        </w:r>
        <w:r w:rsidR="00897995" w:rsidRPr="00897995">
          <w:rPr>
            <w:webHidden/>
          </w:rPr>
          <w:fldChar w:fldCharType="separate"/>
        </w:r>
        <w:r w:rsidR="004C7DEC">
          <w:rPr>
            <w:webHidden/>
          </w:rPr>
          <w:t>46</w:t>
        </w:r>
        <w:r w:rsidR="00897995" w:rsidRPr="00897995">
          <w:rPr>
            <w:webHidden/>
          </w:rPr>
          <w:fldChar w:fldCharType="end"/>
        </w:r>
      </w:hyperlink>
    </w:p>
    <w:p w14:paraId="4C305862" w14:textId="61DAAA7C" w:rsidR="00897995" w:rsidRPr="00897995" w:rsidRDefault="00A65AAD" w:rsidP="00897995">
      <w:pPr>
        <w:pStyle w:val="TOC1"/>
        <w:rPr>
          <w:rFonts w:asciiTheme="minorHAnsi" w:eastAsiaTheme="minorEastAsia" w:hAnsiTheme="minorHAnsi" w:cstheme="minorBidi"/>
          <w:sz w:val="22"/>
          <w:szCs w:val="22"/>
          <w:lang w:eastAsia="en-GB"/>
        </w:rPr>
      </w:pPr>
      <w:hyperlink w:anchor="_Toc532812476" w:history="1">
        <w:r w:rsidR="00897995" w:rsidRPr="00897995">
          <w:rPr>
            <w:rStyle w:val="Hyperlink"/>
          </w:rPr>
          <w:t>Table 4.5</w:t>
        </w:r>
        <w:r w:rsidR="00897995" w:rsidRPr="00897995">
          <w:rPr>
            <w:rFonts w:asciiTheme="minorHAnsi" w:eastAsiaTheme="minorEastAsia" w:hAnsiTheme="minorHAnsi" w:cstheme="minorBidi"/>
            <w:sz w:val="22"/>
            <w:szCs w:val="22"/>
            <w:lang w:eastAsia="en-GB"/>
          </w:rPr>
          <w:tab/>
        </w:r>
        <w:r w:rsidR="00897995" w:rsidRPr="00897995">
          <w:rPr>
            <w:rStyle w:val="Hyperlink"/>
          </w:rPr>
          <w:t>Lower Quartile and median price and income required to service a mortgage</w:t>
        </w:r>
        <w:r w:rsidR="00897995" w:rsidRPr="00897995">
          <w:rPr>
            <w:webHidden/>
          </w:rPr>
          <w:tab/>
        </w:r>
        <w:r w:rsidR="00897995" w:rsidRPr="00897995">
          <w:rPr>
            <w:webHidden/>
          </w:rPr>
          <w:fldChar w:fldCharType="begin"/>
        </w:r>
        <w:r w:rsidR="00897995" w:rsidRPr="00897995">
          <w:rPr>
            <w:webHidden/>
          </w:rPr>
          <w:instrText xml:space="preserve"> PAGEREF _Toc532812476 \h </w:instrText>
        </w:r>
        <w:r w:rsidR="00897995" w:rsidRPr="00897995">
          <w:rPr>
            <w:webHidden/>
          </w:rPr>
        </w:r>
        <w:r w:rsidR="00897995" w:rsidRPr="00897995">
          <w:rPr>
            <w:webHidden/>
          </w:rPr>
          <w:fldChar w:fldCharType="separate"/>
        </w:r>
        <w:r w:rsidR="004C7DEC">
          <w:rPr>
            <w:webHidden/>
          </w:rPr>
          <w:t>47</w:t>
        </w:r>
        <w:r w:rsidR="00897995" w:rsidRPr="00897995">
          <w:rPr>
            <w:webHidden/>
          </w:rPr>
          <w:fldChar w:fldCharType="end"/>
        </w:r>
      </w:hyperlink>
    </w:p>
    <w:p w14:paraId="75BB9871" w14:textId="4A7D5E76" w:rsidR="00897995" w:rsidRPr="00897995" w:rsidRDefault="00A65AAD" w:rsidP="00897995">
      <w:pPr>
        <w:pStyle w:val="TOC1"/>
        <w:rPr>
          <w:rFonts w:asciiTheme="minorHAnsi" w:eastAsiaTheme="minorEastAsia" w:hAnsiTheme="minorHAnsi" w:cstheme="minorBidi"/>
          <w:sz w:val="22"/>
          <w:szCs w:val="22"/>
          <w:lang w:eastAsia="en-GB"/>
        </w:rPr>
      </w:pPr>
      <w:hyperlink w:anchor="_Toc532812477" w:history="1">
        <w:r w:rsidR="00897995" w:rsidRPr="00897995">
          <w:rPr>
            <w:rStyle w:val="Hyperlink"/>
          </w:rPr>
          <w:t>Table 4.6</w:t>
        </w:r>
        <w:r w:rsidR="00897995" w:rsidRPr="00897995">
          <w:rPr>
            <w:rFonts w:asciiTheme="minorHAnsi" w:eastAsiaTheme="minorEastAsia" w:hAnsiTheme="minorHAnsi" w:cstheme="minorBidi"/>
            <w:sz w:val="22"/>
            <w:szCs w:val="22"/>
            <w:lang w:eastAsia="en-GB"/>
          </w:rPr>
          <w:tab/>
        </w:r>
        <w:r w:rsidR="00897995" w:rsidRPr="00897995">
          <w:rPr>
            <w:rStyle w:val="Hyperlink"/>
          </w:rPr>
          <w:t>Comparative median rental price 2010-2017</w:t>
        </w:r>
        <w:r w:rsidR="00897995" w:rsidRPr="00897995">
          <w:rPr>
            <w:webHidden/>
          </w:rPr>
          <w:tab/>
        </w:r>
        <w:r w:rsidR="00897995" w:rsidRPr="00897995">
          <w:rPr>
            <w:webHidden/>
          </w:rPr>
          <w:fldChar w:fldCharType="begin"/>
        </w:r>
        <w:r w:rsidR="00897995" w:rsidRPr="00897995">
          <w:rPr>
            <w:webHidden/>
          </w:rPr>
          <w:instrText xml:space="preserve"> PAGEREF _Toc532812477 \h </w:instrText>
        </w:r>
        <w:r w:rsidR="00897995" w:rsidRPr="00897995">
          <w:rPr>
            <w:webHidden/>
          </w:rPr>
        </w:r>
        <w:r w:rsidR="00897995" w:rsidRPr="00897995">
          <w:rPr>
            <w:webHidden/>
          </w:rPr>
          <w:fldChar w:fldCharType="separate"/>
        </w:r>
        <w:r w:rsidR="004C7DEC">
          <w:rPr>
            <w:webHidden/>
          </w:rPr>
          <w:t>49</w:t>
        </w:r>
        <w:r w:rsidR="00897995" w:rsidRPr="00897995">
          <w:rPr>
            <w:webHidden/>
          </w:rPr>
          <w:fldChar w:fldCharType="end"/>
        </w:r>
      </w:hyperlink>
    </w:p>
    <w:p w14:paraId="38D41605" w14:textId="4CE21EA8" w:rsidR="00897995" w:rsidRPr="00897995" w:rsidRDefault="00A65AAD" w:rsidP="00897995">
      <w:pPr>
        <w:pStyle w:val="TOC1"/>
        <w:rPr>
          <w:rFonts w:asciiTheme="minorHAnsi" w:eastAsiaTheme="minorEastAsia" w:hAnsiTheme="minorHAnsi" w:cstheme="minorBidi"/>
          <w:sz w:val="22"/>
          <w:szCs w:val="22"/>
          <w:lang w:eastAsia="en-GB"/>
        </w:rPr>
      </w:pPr>
      <w:hyperlink w:anchor="_Toc532812478" w:history="1">
        <w:r w:rsidR="00897995" w:rsidRPr="00897995">
          <w:rPr>
            <w:rStyle w:val="Hyperlink"/>
          </w:rPr>
          <w:t>Table 4.7</w:t>
        </w:r>
        <w:r w:rsidR="00897995" w:rsidRPr="00897995">
          <w:rPr>
            <w:rFonts w:asciiTheme="minorHAnsi" w:eastAsiaTheme="minorEastAsia" w:hAnsiTheme="minorHAnsi" w:cstheme="minorBidi"/>
            <w:sz w:val="22"/>
            <w:szCs w:val="22"/>
            <w:lang w:eastAsia="en-GB"/>
          </w:rPr>
          <w:tab/>
        </w:r>
        <w:r w:rsidR="00897995" w:rsidRPr="00897995">
          <w:rPr>
            <w:rStyle w:val="Hyperlink"/>
          </w:rPr>
          <w:t>Comparative lower quartile rental price 2010-2017</w:t>
        </w:r>
        <w:r w:rsidR="00897995" w:rsidRPr="00897995">
          <w:rPr>
            <w:webHidden/>
          </w:rPr>
          <w:tab/>
        </w:r>
        <w:r w:rsidR="00897995" w:rsidRPr="00897995">
          <w:rPr>
            <w:webHidden/>
          </w:rPr>
          <w:fldChar w:fldCharType="begin"/>
        </w:r>
        <w:r w:rsidR="00897995" w:rsidRPr="00897995">
          <w:rPr>
            <w:webHidden/>
          </w:rPr>
          <w:instrText xml:space="preserve"> PAGEREF _Toc532812478 \h </w:instrText>
        </w:r>
        <w:r w:rsidR="00897995" w:rsidRPr="00897995">
          <w:rPr>
            <w:webHidden/>
          </w:rPr>
        </w:r>
        <w:r w:rsidR="00897995" w:rsidRPr="00897995">
          <w:rPr>
            <w:webHidden/>
          </w:rPr>
          <w:fldChar w:fldCharType="separate"/>
        </w:r>
        <w:r w:rsidR="004C7DEC">
          <w:rPr>
            <w:webHidden/>
          </w:rPr>
          <w:t>49</w:t>
        </w:r>
        <w:r w:rsidR="00897995" w:rsidRPr="00897995">
          <w:rPr>
            <w:webHidden/>
          </w:rPr>
          <w:fldChar w:fldCharType="end"/>
        </w:r>
      </w:hyperlink>
    </w:p>
    <w:p w14:paraId="3B5D981B" w14:textId="7D4BAD46" w:rsidR="00897995" w:rsidRPr="00897995" w:rsidRDefault="00A65AAD" w:rsidP="00897995">
      <w:pPr>
        <w:pStyle w:val="TOC1"/>
        <w:rPr>
          <w:rFonts w:asciiTheme="minorHAnsi" w:eastAsiaTheme="minorEastAsia" w:hAnsiTheme="minorHAnsi" w:cstheme="minorBidi"/>
          <w:sz w:val="22"/>
          <w:szCs w:val="22"/>
          <w:lang w:eastAsia="en-GB"/>
        </w:rPr>
      </w:pPr>
      <w:hyperlink w:anchor="_Toc532812479" w:history="1">
        <w:r w:rsidR="00897995" w:rsidRPr="00897995">
          <w:rPr>
            <w:rStyle w:val="Hyperlink"/>
          </w:rPr>
          <w:t>Table 4.8</w:t>
        </w:r>
        <w:r w:rsidR="00897995" w:rsidRPr="00897995">
          <w:rPr>
            <w:rFonts w:asciiTheme="minorHAnsi" w:eastAsiaTheme="minorEastAsia" w:hAnsiTheme="minorHAnsi" w:cstheme="minorBidi"/>
            <w:sz w:val="22"/>
            <w:szCs w:val="22"/>
            <w:lang w:eastAsia="en-GB"/>
          </w:rPr>
          <w:tab/>
        </w:r>
        <w:r w:rsidR="00897995" w:rsidRPr="00897995">
          <w:rPr>
            <w:rStyle w:val="Hyperlink"/>
          </w:rPr>
          <w:t>Age of dwelling</w:t>
        </w:r>
        <w:r w:rsidR="00897995" w:rsidRPr="00897995">
          <w:rPr>
            <w:webHidden/>
          </w:rPr>
          <w:tab/>
        </w:r>
        <w:r w:rsidR="00897995" w:rsidRPr="00897995">
          <w:rPr>
            <w:webHidden/>
          </w:rPr>
          <w:fldChar w:fldCharType="begin"/>
        </w:r>
        <w:r w:rsidR="00897995" w:rsidRPr="00897995">
          <w:rPr>
            <w:webHidden/>
          </w:rPr>
          <w:instrText xml:space="preserve"> PAGEREF _Toc532812479 \h </w:instrText>
        </w:r>
        <w:r w:rsidR="00897995" w:rsidRPr="00897995">
          <w:rPr>
            <w:webHidden/>
          </w:rPr>
        </w:r>
        <w:r w:rsidR="00897995" w:rsidRPr="00897995">
          <w:rPr>
            <w:webHidden/>
          </w:rPr>
          <w:fldChar w:fldCharType="separate"/>
        </w:r>
        <w:r w:rsidR="004C7DEC">
          <w:rPr>
            <w:webHidden/>
          </w:rPr>
          <w:t>50</w:t>
        </w:r>
        <w:r w:rsidR="00897995" w:rsidRPr="00897995">
          <w:rPr>
            <w:webHidden/>
          </w:rPr>
          <w:fldChar w:fldCharType="end"/>
        </w:r>
      </w:hyperlink>
    </w:p>
    <w:p w14:paraId="10A118EE" w14:textId="3C689A97" w:rsidR="00897995" w:rsidRPr="00897995" w:rsidRDefault="00A65AAD" w:rsidP="00897995">
      <w:pPr>
        <w:pStyle w:val="TOC1"/>
        <w:rPr>
          <w:rFonts w:asciiTheme="minorHAnsi" w:eastAsiaTheme="minorEastAsia" w:hAnsiTheme="minorHAnsi" w:cstheme="minorBidi"/>
          <w:sz w:val="22"/>
          <w:szCs w:val="22"/>
          <w:lang w:eastAsia="en-GB"/>
        </w:rPr>
      </w:pPr>
      <w:hyperlink w:anchor="_Toc532812480" w:history="1">
        <w:r w:rsidR="00897995" w:rsidRPr="00897995">
          <w:rPr>
            <w:rStyle w:val="Hyperlink"/>
          </w:rPr>
          <w:t>Table 4.9</w:t>
        </w:r>
        <w:r w:rsidR="00897995" w:rsidRPr="00897995">
          <w:rPr>
            <w:rFonts w:asciiTheme="minorHAnsi" w:eastAsiaTheme="minorEastAsia" w:hAnsiTheme="minorHAnsi" w:cstheme="minorBidi"/>
            <w:sz w:val="22"/>
            <w:szCs w:val="22"/>
            <w:lang w:eastAsia="en-GB"/>
          </w:rPr>
          <w:tab/>
        </w:r>
        <w:r w:rsidR="00897995" w:rsidRPr="00897995">
          <w:rPr>
            <w:rStyle w:val="Hyperlink"/>
          </w:rPr>
          <w:t>Dwelling stock condition estimates for England and Eden District</w:t>
        </w:r>
        <w:r w:rsidR="00897995" w:rsidRPr="00897995">
          <w:rPr>
            <w:webHidden/>
          </w:rPr>
          <w:tab/>
        </w:r>
        <w:r w:rsidR="00897995" w:rsidRPr="00897995">
          <w:rPr>
            <w:webHidden/>
          </w:rPr>
          <w:fldChar w:fldCharType="begin"/>
        </w:r>
        <w:r w:rsidR="00897995" w:rsidRPr="00897995">
          <w:rPr>
            <w:webHidden/>
          </w:rPr>
          <w:instrText xml:space="preserve"> PAGEREF _Toc532812480 \h </w:instrText>
        </w:r>
        <w:r w:rsidR="00897995" w:rsidRPr="00897995">
          <w:rPr>
            <w:webHidden/>
          </w:rPr>
        </w:r>
        <w:r w:rsidR="00897995" w:rsidRPr="00897995">
          <w:rPr>
            <w:webHidden/>
          </w:rPr>
          <w:fldChar w:fldCharType="separate"/>
        </w:r>
        <w:r w:rsidR="004C7DEC">
          <w:rPr>
            <w:webHidden/>
          </w:rPr>
          <w:t>52</w:t>
        </w:r>
        <w:r w:rsidR="00897995" w:rsidRPr="00897995">
          <w:rPr>
            <w:webHidden/>
          </w:rPr>
          <w:fldChar w:fldCharType="end"/>
        </w:r>
      </w:hyperlink>
    </w:p>
    <w:p w14:paraId="0F462321" w14:textId="045F9229" w:rsidR="00897995" w:rsidRPr="00897995" w:rsidRDefault="00A65AAD" w:rsidP="00897995">
      <w:pPr>
        <w:pStyle w:val="TOC1"/>
        <w:rPr>
          <w:rFonts w:asciiTheme="minorHAnsi" w:eastAsiaTheme="minorEastAsia" w:hAnsiTheme="minorHAnsi" w:cstheme="minorBidi"/>
          <w:sz w:val="22"/>
          <w:szCs w:val="22"/>
          <w:lang w:eastAsia="en-GB"/>
        </w:rPr>
      </w:pPr>
      <w:hyperlink w:anchor="_Toc532812481" w:history="1">
        <w:r w:rsidR="00897995" w:rsidRPr="00897995">
          <w:rPr>
            <w:rStyle w:val="Hyperlink"/>
          </w:rPr>
          <w:t>Table 4.10</w:t>
        </w:r>
        <w:r w:rsidR="00897995" w:rsidRPr="00897995">
          <w:rPr>
            <w:rFonts w:asciiTheme="minorHAnsi" w:eastAsiaTheme="minorEastAsia" w:hAnsiTheme="minorHAnsi" w:cstheme="minorBidi"/>
            <w:sz w:val="22"/>
            <w:szCs w:val="22"/>
            <w:lang w:eastAsia="en-GB"/>
          </w:rPr>
          <w:tab/>
        </w:r>
        <w:r w:rsidR="00897995" w:rsidRPr="00897995">
          <w:rPr>
            <w:rStyle w:val="Hyperlink"/>
          </w:rPr>
          <w:t>Dwelling completions 2006/07 to 2016/17</w:t>
        </w:r>
        <w:r w:rsidR="00897995" w:rsidRPr="00897995">
          <w:rPr>
            <w:webHidden/>
          </w:rPr>
          <w:tab/>
        </w:r>
        <w:r w:rsidR="00897995" w:rsidRPr="00897995">
          <w:rPr>
            <w:webHidden/>
          </w:rPr>
          <w:fldChar w:fldCharType="begin"/>
        </w:r>
        <w:r w:rsidR="00897995" w:rsidRPr="00897995">
          <w:rPr>
            <w:webHidden/>
          </w:rPr>
          <w:instrText xml:space="preserve"> PAGEREF _Toc532812481 \h </w:instrText>
        </w:r>
        <w:r w:rsidR="00897995" w:rsidRPr="00897995">
          <w:rPr>
            <w:webHidden/>
          </w:rPr>
        </w:r>
        <w:r w:rsidR="00897995" w:rsidRPr="00897995">
          <w:rPr>
            <w:webHidden/>
          </w:rPr>
          <w:fldChar w:fldCharType="separate"/>
        </w:r>
        <w:r w:rsidR="004C7DEC">
          <w:rPr>
            <w:webHidden/>
          </w:rPr>
          <w:t>53</w:t>
        </w:r>
        <w:r w:rsidR="00897995" w:rsidRPr="00897995">
          <w:rPr>
            <w:webHidden/>
          </w:rPr>
          <w:fldChar w:fldCharType="end"/>
        </w:r>
      </w:hyperlink>
    </w:p>
    <w:p w14:paraId="10BE531A" w14:textId="5EE93114" w:rsidR="00897995" w:rsidRPr="00897995" w:rsidRDefault="00A65AAD" w:rsidP="00897995">
      <w:pPr>
        <w:pStyle w:val="TOC1"/>
        <w:rPr>
          <w:rFonts w:asciiTheme="minorHAnsi" w:eastAsiaTheme="minorEastAsia" w:hAnsiTheme="minorHAnsi" w:cstheme="minorBidi"/>
          <w:sz w:val="22"/>
          <w:szCs w:val="22"/>
          <w:lang w:eastAsia="en-GB"/>
        </w:rPr>
      </w:pPr>
      <w:hyperlink w:anchor="_Toc532812482" w:history="1">
        <w:r w:rsidR="00897995" w:rsidRPr="00897995">
          <w:rPr>
            <w:rStyle w:val="Hyperlink"/>
            <w:rFonts w:cs="Calibri"/>
          </w:rPr>
          <w:t>Table 5.1</w:t>
        </w:r>
        <w:r w:rsidR="00897995" w:rsidRPr="00897995">
          <w:rPr>
            <w:rFonts w:asciiTheme="minorHAnsi" w:eastAsiaTheme="minorEastAsia" w:hAnsiTheme="minorHAnsi" w:cstheme="minorBidi"/>
            <w:sz w:val="22"/>
            <w:szCs w:val="22"/>
            <w:lang w:eastAsia="en-GB"/>
          </w:rPr>
          <w:tab/>
        </w:r>
        <w:r w:rsidR="00897995" w:rsidRPr="00897995">
          <w:rPr>
            <w:rStyle w:val="Hyperlink"/>
            <w:rFonts w:cs="Calibri"/>
          </w:rPr>
          <w:t>Housing need in Eden District</w:t>
        </w:r>
        <w:r w:rsidR="00897995" w:rsidRPr="00897995">
          <w:rPr>
            <w:webHidden/>
          </w:rPr>
          <w:tab/>
        </w:r>
        <w:r w:rsidR="00897995" w:rsidRPr="00897995">
          <w:rPr>
            <w:webHidden/>
          </w:rPr>
          <w:fldChar w:fldCharType="begin"/>
        </w:r>
        <w:r w:rsidR="00897995" w:rsidRPr="00897995">
          <w:rPr>
            <w:webHidden/>
          </w:rPr>
          <w:instrText xml:space="preserve"> PAGEREF _Toc532812482 \h </w:instrText>
        </w:r>
        <w:r w:rsidR="00897995" w:rsidRPr="00897995">
          <w:rPr>
            <w:webHidden/>
          </w:rPr>
        </w:r>
        <w:r w:rsidR="00897995" w:rsidRPr="00897995">
          <w:rPr>
            <w:webHidden/>
          </w:rPr>
          <w:fldChar w:fldCharType="separate"/>
        </w:r>
        <w:r w:rsidR="004C7DEC">
          <w:rPr>
            <w:webHidden/>
          </w:rPr>
          <w:t>57</w:t>
        </w:r>
        <w:r w:rsidR="00897995" w:rsidRPr="00897995">
          <w:rPr>
            <w:webHidden/>
          </w:rPr>
          <w:fldChar w:fldCharType="end"/>
        </w:r>
      </w:hyperlink>
    </w:p>
    <w:p w14:paraId="7086C311" w14:textId="59BED914" w:rsidR="00897995" w:rsidRPr="00897995" w:rsidRDefault="00A65AAD" w:rsidP="00897995">
      <w:pPr>
        <w:pStyle w:val="TOC1"/>
        <w:rPr>
          <w:rFonts w:asciiTheme="minorHAnsi" w:eastAsiaTheme="minorEastAsia" w:hAnsiTheme="minorHAnsi" w:cstheme="minorBidi"/>
          <w:sz w:val="22"/>
          <w:szCs w:val="22"/>
          <w:lang w:eastAsia="en-GB"/>
        </w:rPr>
      </w:pPr>
      <w:hyperlink w:anchor="_Toc532812483" w:history="1">
        <w:r w:rsidR="00897995" w:rsidRPr="00897995">
          <w:rPr>
            <w:rStyle w:val="Hyperlink"/>
          </w:rPr>
          <w:t>Table 5.2</w:t>
        </w:r>
        <w:r w:rsidR="00897995" w:rsidRPr="00897995">
          <w:rPr>
            <w:rFonts w:asciiTheme="minorHAnsi" w:eastAsiaTheme="minorEastAsia" w:hAnsiTheme="minorHAnsi" w:cstheme="minorBidi"/>
            <w:sz w:val="22"/>
            <w:szCs w:val="22"/>
            <w:lang w:eastAsia="en-GB"/>
          </w:rPr>
          <w:tab/>
        </w:r>
        <w:r w:rsidR="00897995" w:rsidRPr="00897995">
          <w:rPr>
            <w:rStyle w:val="Hyperlink"/>
          </w:rPr>
          <w:t>Households in need by HMA</w:t>
        </w:r>
        <w:r w:rsidR="00897995" w:rsidRPr="00897995">
          <w:rPr>
            <w:webHidden/>
          </w:rPr>
          <w:tab/>
        </w:r>
        <w:r w:rsidR="00897995" w:rsidRPr="00897995">
          <w:rPr>
            <w:webHidden/>
          </w:rPr>
          <w:fldChar w:fldCharType="begin"/>
        </w:r>
        <w:r w:rsidR="00897995" w:rsidRPr="00897995">
          <w:rPr>
            <w:webHidden/>
          </w:rPr>
          <w:instrText xml:space="preserve"> PAGEREF _Toc532812483 \h </w:instrText>
        </w:r>
        <w:r w:rsidR="00897995" w:rsidRPr="00897995">
          <w:rPr>
            <w:webHidden/>
          </w:rPr>
        </w:r>
        <w:r w:rsidR="00897995" w:rsidRPr="00897995">
          <w:rPr>
            <w:webHidden/>
          </w:rPr>
          <w:fldChar w:fldCharType="separate"/>
        </w:r>
        <w:r w:rsidR="004C7DEC">
          <w:rPr>
            <w:webHidden/>
          </w:rPr>
          <w:t>58</w:t>
        </w:r>
        <w:r w:rsidR="00897995" w:rsidRPr="00897995">
          <w:rPr>
            <w:webHidden/>
          </w:rPr>
          <w:fldChar w:fldCharType="end"/>
        </w:r>
      </w:hyperlink>
    </w:p>
    <w:p w14:paraId="7CF64CF9" w14:textId="5E890406" w:rsidR="00897995" w:rsidRPr="00897995" w:rsidRDefault="00A65AAD" w:rsidP="00897995">
      <w:pPr>
        <w:pStyle w:val="TOC1"/>
        <w:rPr>
          <w:rFonts w:asciiTheme="minorHAnsi" w:eastAsiaTheme="minorEastAsia" w:hAnsiTheme="minorHAnsi" w:cstheme="minorBidi"/>
          <w:sz w:val="22"/>
          <w:szCs w:val="22"/>
          <w:lang w:eastAsia="en-GB"/>
        </w:rPr>
      </w:pPr>
      <w:hyperlink w:anchor="_Toc532812484" w:history="1">
        <w:r w:rsidR="00897995" w:rsidRPr="00897995">
          <w:rPr>
            <w:rStyle w:val="Hyperlink"/>
          </w:rPr>
          <w:t>Table 5.3</w:t>
        </w:r>
        <w:r w:rsidR="00897995" w:rsidRPr="00897995">
          <w:rPr>
            <w:rFonts w:asciiTheme="minorHAnsi" w:eastAsiaTheme="minorEastAsia" w:hAnsiTheme="minorHAnsi" w:cstheme="minorBidi"/>
            <w:sz w:val="22"/>
            <w:szCs w:val="22"/>
            <w:lang w:eastAsia="en-GB"/>
          </w:rPr>
          <w:tab/>
        </w:r>
        <w:r w:rsidR="00897995" w:rsidRPr="00897995">
          <w:rPr>
            <w:rStyle w:val="Hyperlink"/>
          </w:rPr>
          <w:t>Housing need by tenure</w:t>
        </w:r>
        <w:r w:rsidR="00897995" w:rsidRPr="00897995">
          <w:rPr>
            <w:webHidden/>
          </w:rPr>
          <w:tab/>
        </w:r>
        <w:r w:rsidR="00897995" w:rsidRPr="00897995">
          <w:rPr>
            <w:webHidden/>
          </w:rPr>
          <w:fldChar w:fldCharType="begin"/>
        </w:r>
        <w:r w:rsidR="00897995" w:rsidRPr="00897995">
          <w:rPr>
            <w:webHidden/>
          </w:rPr>
          <w:instrText xml:space="preserve"> PAGEREF _Toc532812484 \h </w:instrText>
        </w:r>
        <w:r w:rsidR="00897995" w:rsidRPr="00897995">
          <w:rPr>
            <w:webHidden/>
          </w:rPr>
        </w:r>
        <w:r w:rsidR="00897995" w:rsidRPr="00897995">
          <w:rPr>
            <w:webHidden/>
          </w:rPr>
          <w:fldChar w:fldCharType="separate"/>
        </w:r>
        <w:r w:rsidR="004C7DEC">
          <w:rPr>
            <w:webHidden/>
          </w:rPr>
          <w:t>58</w:t>
        </w:r>
        <w:r w:rsidR="00897995" w:rsidRPr="00897995">
          <w:rPr>
            <w:webHidden/>
          </w:rPr>
          <w:fldChar w:fldCharType="end"/>
        </w:r>
      </w:hyperlink>
    </w:p>
    <w:p w14:paraId="0FF3D895" w14:textId="67FBE986" w:rsidR="00897995" w:rsidRPr="00897995" w:rsidRDefault="00A65AAD" w:rsidP="00897995">
      <w:pPr>
        <w:pStyle w:val="TOC1"/>
        <w:rPr>
          <w:rFonts w:asciiTheme="minorHAnsi" w:eastAsiaTheme="minorEastAsia" w:hAnsiTheme="minorHAnsi" w:cstheme="minorBidi"/>
          <w:sz w:val="22"/>
          <w:szCs w:val="22"/>
          <w:lang w:eastAsia="en-GB"/>
        </w:rPr>
      </w:pPr>
      <w:hyperlink w:anchor="_Toc532812485" w:history="1">
        <w:r w:rsidR="00897995" w:rsidRPr="00897995">
          <w:rPr>
            <w:rStyle w:val="Hyperlink"/>
          </w:rPr>
          <w:t>Table 5.4</w:t>
        </w:r>
        <w:r w:rsidR="00897995" w:rsidRPr="00897995">
          <w:rPr>
            <w:rFonts w:asciiTheme="minorHAnsi" w:eastAsiaTheme="minorEastAsia" w:hAnsiTheme="minorHAnsi" w:cstheme="minorBidi"/>
            <w:sz w:val="22"/>
            <w:szCs w:val="22"/>
            <w:lang w:eastAsia="en-GB"/>
          </w:rPr>
          <w:tab/>
        </w:r>
        <w:r w:rsidR="00897995" w:rsidRPr="00897995">
          <w:rPr>
            <w:rStyle w:val="Hyperlink"/>
          </w:rPr>
          <w:t>Housing need by household type</w:t>
        </w:r>
        <w:r w:rsidR="00897995" w:rsidRPr="00897995">
          <w:rPr>
            <w:webHidden/>
          </w:rPr>
          <w:tab/>
        </w:r>
        <w:r w:rsidR="00897995" w:rsidRPr="00897995">
          <w:rPr>
            <w:webHidden/>
          </w:rPr>
          <w:fldChar w:fldCharType="begin"/>
        </w:r>
        <w:r w:rsidR="00897995" w:rsidRPr="00897995">
          <w:rPr>
            <w:webHidden/>
          </w:rPr>
          <w:instrText xml:space="preserve"> PAGEREF _Toc532812485 \h </w:instrText>
        </w:r>
        <w:r w:rsidR="00897995" w:rsidRPr="00897995">
          <w:rPr>
            <w:webHidden/>
          </w:rPr>
        </w:r>
        <w:r w:rsidR="00897995" w:rsidRPr="00897995">
          <w:rPr>
            <w:webHidden/>
          </w:rPr>
          <w:fldChar w:fldCharType="separate"/>
        </w:r>
        <w:r w:rsidR="004C7DEC">
          <w:rPr>
            <w:webHidden/>
          </w:rPr>
          <w:t>59</w:t>
        </w:r>
        <w:r w:rsidR="00897995" w:rsidRPr="00897995">
          <w:rPr>
            <w:webHidden/>
          </w:rPr>
          <w:fldChar w:fldCharType="end"/>
        </w:r>
      </w:hyperlink>
    </w:p>
    <w:p w14:paraId="18C883CE" w14:textId="35CFCEDD" w:rsidR="00897995" w:rsidRPr="00897995" w:rsidRDefault="00A65AAD" w:rsidP="00897995">
      <w:pPr>
        <w:pStyle w:val="TOC1"/>
        <w:rPr>
          <w:rFonts w:asciiTheme="minorHAnsi" w:eastAsiaTheme="minorEastAsia" w:hAnsiTheme="minorHAnsi" w:cstheme="minorBidi"/>
          <w:sz w:val="22"/>
          <w:szCs w:val="22"/>
          <w:lang w:eastAsia="en-GB"/>
        </w:rPr>
      </w:pPr>
      <w:hyperlink w:anchor="_Toc532812486" w:history="1">
        <w:r w:rsidR="00897995" w:rsidRPr="00897995">
          <w:rPr>
            <w:rStyle w:val="Hyperlink"/>
          </w:rPr>
          <w:t>Table 5.5</w:t>
        </w:r>
        <w:r w:rsidR="00897995" w:rsidRPr="00897995">
          <w:rPr>
            <w:rFonts w:asciiTheme="minorHAnsi" w:eastAsiaTheme="minorEastAsia" w:hAnsiTheme="minorHAnsi" w:cstheme="minorBidi"/>
            <w:sz w:val="22"/>
            <w:szCs w:val="22"/>
            <w:lang w:eastAsia="en-GB"/>
          </w:rPr>
          <w:tab/>
        </w:r>
        <w:r w:rsidR="00897995" w:rsidRPr="00897995">
          <w:rPr>
            <w:rStyle w:val="Hyperlink"/>
          </w:rPr>
          <w:t>Net annual affordable housing imbalance by housing market area, property size and designation 2018/19 to 2022/23</w:t>
        </w:r>
        <w:r w:rsidR="00897995" w:rsidRPr="00897995">
          <w:rPr>
            <w:webHidden/>
          </w:rPr>
          <w:tab/>
        </w:r>
        <w:r w:rsidR="00897995" w:rsidRPr="00897995">
          <w:rPr>
            <w:webHidden/>
          </w:rPr>
          <w:fldChar w:fldCharType="begin"/>
        </w:r>
        <w:r w:rsidR="00897995" w:rsidRPr="00897995">
          <w:rPr>
            <w:webHidden/>
          </w:rPr>
          <w:instrText xml:space="preserve"> PAGEREF _Toc532812486 \h </w:instrText>
        </w:r>
        <w:r w:rsidR="00897995" w:rsidRPr="00897995">
          <w:rPr>
            <w:webHidden/>
          </w:rPr>
        </w:r>
        <w:r w:rsidR="00897995" w:rsidRPr="00897995">
          <w:rPr>
            <w:webHidden/>
          </w:rPr>
          <w:fldChar w:fldCharType="separate"/>
        </w:r>
        <w:r w:rsidR="004C7DEC">
          <w:rPr>
            <w:webHidden/>
          </w:rPr>
          <w:t>60</w:t>
        </w:r>
        <w:r w:rsidR="00897995" w:rsidRPr="00897995">
          <w:rPr>
            <w:webHidden/>
          </w:rPr>
          <w:fldChar w:fldCharType="end"/>
        </w:r>
      </w:hyperlink>
    </w:p>
    <w:p w14:paraId="5F7527BD" w14:textId="3847FAB0" w:rsidR="00897995" w:rsidRPr="00897995" w:rsidRDefault="00A65AAD" w:rsidP="00897995">
      <w:pPr>
        <w:pStyle w:val="TOC1"/>
        <w:rPr>
          <w:rFonts w:asciiTheme="minorHAnsi" w:eastAsiaTheme="minorEastAsia" w:hAnsiTheme="minorHAnsi" w:cstheme="minorBidi"/>
          <w:sz w:val="22"/>
          <w:szCs w:val="22"/>
          <w:lang w:eastAsia="en-GB"/>
        </w:rPr>
      </w:pPr>
      <w:hyperlink w:anchor="_Toc532812487" w:history="1">
        <w:r w:rsidR="00897995" w:rsidRPr="00897995">
          <w:rPr>
            <w:rStyle w:val="Hyperlink"/>
          </w:rPr>
          <w:t>Table 5.6</w:t>
        </w:r>
        <w:r w:rsidR="00897995" w:rsidRPr="00897995">
          <w:rPr>
            <w:rFonts w:asciiTheme="minorHAnsi" w:eastAsiaTheme="minorEastAsia" w:hAnsiTheme="minorHAnsi" w:cstheme="minorBidi"/>
            <w:sz w:val="22"/>
            <w:szCs w:val="22"/>
            <w:lang w:eastAsia="en-GB"/>
          </w:rPr>
          <w:tab/>
        </w:r>
        <w:r w:rsidR="00897995" w:rsidRPr="00897995">
          <w:rPr>
            <w:rStyle w:val="Hyperlink"/>
          </w:rPr>
          <w:t>Affordable tenure split</w:t>
        </w:r>
        <w:r w:rsidR="00897995" w:rsidRPr="00897995">
          <w:rPr>
            <w:webHidden/>
          </w:rPr>
          <w:tab/>
        </w:r>
        <w:r w:rsidR="00897995" w:rsidRPr="00897995">
          <w:rPr>
            <w:webHidden/>
          </w:rPr>
          <w:fldChar w:fldCharType="begin"/>
        </w:r>
        <w:r w:rsidR="00897995" w:rsidRPr="00897995">
          <w:rPr>
            <w:webHidden/>
          </w:rPr>
          <w:instrText xml:space="preserve"> PAGEREF _Toc532812487 \h </w:instrText>
        </w:r>
        <w:r w:rsidR="00897995" w:rsidRPr="00897995">
          <w:rPr>
            <w:webHidden/>
          </w:rPr>
        </w:r>
        <w:r w:rsidR="00897995" w:rsidRPr="00897995">
          <w:rPr>
            <w:webHidden/>
          </w:rPr>
          <w:fldChar w:fldCharType="separate"/>
        </w:r>
        <w:r w:rsidR="004C7DEC">
          <w:rPr>
            <w:webHidden/>
          </w:rPr>
          <w:t>60</w:t>
        </w:r>
        <w:r w:rsidR="00897995" w:rsidRPr="00897995">
          <w:rPr>
            <w:webHidden/>
          </w:rPr>
          <w:fldChar w:fldCharType="end"/>
        </w:r>
      </w:hyperlink>
    </w:p>
    <w:p w14:paraId="2C825674" w14:textId="4727D684" w:rsidR="00897995" w:rsidRPr="00897995" w:rsidRDefault="00A65AAD" w:rsidP="00897995">
      <w:pPr>
        <w:pStyle w:val="TOC1"/>
        <w:rPr>
          <w:rFonts w:asciiTheme="minorHAnsi" w:eastAsiaTheme="minorEastAsia" w:hAnsiTheme="minorHAnsi" w:cstheme="minorBidi"/>
          <w:sz w:val="22"/>
          <w:szCs w:val="22"/>
          <w:lang w:eastAsia="en-GB"/>
        </w:rPr>
      </w:pPr>
      <w:hyperlink w:anchor="_Toc532812488" w:history="1">
        <w:r w:rsidR="00897995" w:rsidRPr="00897995">
          <w:rPr>
            <w:rStyle w:val="Hyperlink"/>
          </w:rPr>
          <w:t>Table 5.7</w:t>
        </w:r>
        <w:r w:rsidR="00897995" w:rsidRPr="00897995">
          <w:rPr>
            <w:rFonts w:asciiTheme="minorHAnsi" w:eastAsiaTheme="minorEastAsia" w:hAnsiTheme="minorHAnsi" w:cstheme="minorBidi"/>
            <w:sz w:val="22"/>
            <w:szCs w:val="22"/>
            <w:lang w:eastAsia="en-GB"/>
          </w:rPr>
          <w:tab/>
        </w:r>
        <w:r w:rsidR="00897995" w:rsidRPr="00897995">
          <w:rPr>
            <w:rStyle w:val="Hyperlink"/>
          </w:rPr>
          <w:t>Property type preferences</w:t>
        </w:r>
        <w:r w:rsidR="00897995" w:rsidRPr="00897995">
          <w:rPr>
            <w:webHidden/>
          </w:rPr>
          <w:tab/>
        </w:r>
        <w:r w:rsidR="00897995" w:rsidRPr="00897995">
          <w:rPr>
            <w:webHidden/>
          </w:rPr>
          <w:fldChar w:fldCharType="begin"/>
        </w:r>
        <w:r w:rsidR="00897995" w:rsidRPr="00897995">
          <w:rPr>
            <w:webHidden/>
          </w:rPr>
          <w:instrText xml:space="preserve"> PAGEREF _Toc532812488 \h </w:instrText>
        </w:r>
        <w:r w:rsidR="00897995" w:rsidRPr="00897995">
          <w:rPr>
            <w:webHidden/>
          </w:rPr>
        </w:r>
        <w:r w:rsidR="00897995" w:rsidRPr="00897995">
          <w:rPr>
            <w:webHidden/>
          </w:rPr>
          <w:fldChar w:fldCharType="separate"/>
        </w:r>
        <w:r w:rsidR="004C7DEC">
          <w:rPr>
            <w:webHidden/>
          </w:rPr>
          <w:t>61</w:t>
        </w:r>
        <w:r w:rsidR="00897995" w:rsidRPr="00897995">
          <w:rPr>
            <w:webHidden/>
          </w:rPr>
          <w:fldChar w:fldCharType="end"/>
        </w:r>
      </w:hyperlink>
    </w:p>
    <w:p w14:paraId="1F3B5CFC" w14:textId="66435A28" w:rsidR="00897995" w:rsidRPr="00897995" w:rsidRDefault="00A65AAD" w:rsidP="00897995">
      <w:pPr>
        <w:pStyle w:val="TOC1"/>
        <w:rPr>
          <w:rFonts w:asciiTheme="minorHAnsi" w:eastAsiaTheme="minorEastAsia" w:hAnsiTheme="minorHAnsi" w:cstheme="minorBidi"/>
          <w:sz w:val="22"/>
          <w:szCs w:val="22"/>
          <w:lang w:eastAsia="en-GB"/>
        </w:rPr>
      </w:pPr>
      <w:hyperlink w:anchor="_Toc532812489" w:history="1">
        <w:r w:rsidR="00897995" w:rsidRPr="00897995">
          <w:rPr>
            <w:rStyle w:val="Hyperlink"/>
          </w:rPr>
          <w:t>Table 6</w:t>
        </w:r>
        <w:r w:rsidR="00897995" w:rsidRPr="00897995">
          <w:rPr>
            <w:rStyle w:val="Hyperlink"/>
            <w:lang w:val="en-US"/>
          </w:rPr>
          <w:t>.1</w:t>
        </w:r>
        <w:r w:rsidR="00897995" w:rsidRPr="00897995">
          <w:rPr>
            <w:rFonts w:asciiTheme="minorHAnsi" w:eastAsiaTheme="minorEastAsia" w:hAnsiTheme="minorHAnsi" w:cstheme="minorBidi"/>
            <w:sz w:val="22"/>
            <w:szCs w:val="22"/>
            <w:lang w:eastAsia="en-GB"/>
          </w:rPr>
          <w:tab/>
        </w:r>
        <w:r w:rsidR="00897995" w:rsidRPr="00897995">
          <w:rPr>
            <w:rStyle w:val="Hyperlink"/>
          </w:rPr>
          <w:t>Property type current and expectations – families</w:t>
        </w:r>
        <w:r w:rsidR="00897995" w:rsidRPr="00897995">
          <w:rPr>
            <w:webHidden/>
          </w:rPr>
          <w:tab/>
        </w:r>
        <w:r w:rsidR="00897995" w:rsidRPr="00897995">
          <w:rPr>
            <w:webHidden/>
          </w:rPr>
          <w:fldChar w:fldCharType="begin"/>
        </w:r>
        <w:r w:rsidR="00897995" w:rsidRPr="00897995">
          <w:rPr>
            <w:webHidden/>
          </w:rPr>
          <w:instrText xml:space="preserve"> PAGEREF _Toc532812489 \h </w:instrText>
        </w:r>
        <w:r w:rsidR="00897995" w:rsidRPr="00897995">
          <w:rPr>
            <w:webHidden/>
          </w:rPr>
        </w:r>
        <w:r w:rsidR="00897995" w:rsidRPr="00897995">
          <w:rPr>
            <w:webHidden/>
          </w:rPr>
          <w:fldChar w:fldCharType="separate"/>
        </w:r>
        <w:r w:rsidR="004C7DEC">
          <w:rPr>
            <w:webHidden/>
          </w:rPr>
          <w:t>63</w:t>
        </w:r>
        <w:r w:rsidR="00897995" w:rsidRPr="00897995">
          <w:rPr>
            <w:webHidden/>
          </w:rPr>
          <w:fldChar w:fldCharType="end"/>
        </w:r>
      </w:hyperlink>
    </w:p>
    <w:p w14:paraId="436AF5E8" w14:textId="7A6D26F6" w:rsidR="00897995" w:rsidRPr="00897995" w:rsidRDefault="00A65AAD" w:rsidP="00897995">
      <w:pPr>
        <w:pStyle w:val="TOC1"/>
        <w:rPr>
          <w:rFonts w:asciiTheme="minorHAnsi" w:eastAsiaTheme="minorEastAsia" w:hAnsiTheme="minorHAnsi" w:cstheme="minorBidi"/>
          <w:sz w:val="22"/>
          <w:szCs w:val="22"/>
          <w:lang w:eastAsia="en-GB"/>
        </w:rPr>
      </w:pPr>
      <w:hyperlink w:anchor="_Toc532812490" w:history="1">
        <w:r w:rsidR="00897995" w:rsidRPr="00897995">
          <w:rPr>
            <w:rStyle w:val="Hyperlink"/>
          </w:rPr>
          <w:t>Table 6</w:t>
        </w:r>
        <w:r w:rsidR="00897995" w:rsidRPr="00897995">
          <w:rPr>
            <w:rStyle w:val="Hyperlink"/>
            <w:lang w:val="en-US"/>
          </w:rPr>
          <w:t>.2</w:t>
        </w:r>
        <w:r w:rsidR="00897995" w:rsidRPr="00897995">
          <w:rPr>
            <w:rFonts w:asciiTheme="minorHAnsi" w:eastAsiaTheme="minorEastAsia" w:hAnsiTheme="minorHAnsi" w:cstheme="minorBidi"/>
            <w:sz w:val="22"/>
            <w:szCs w:val="22"/>
            <w:lang w:eastAsia="en-GB"/>
          </w:rPr>
          <w:tab/>
        </w:r>
        <w:r w:rsidR="00897995" w:rsidRPr="00897995">
          <w:rPr>
            <w:rStyle w:val="Hyperlink"/>
          </w:rPr>
          <w:t>Property type current and expectation – older people</w:t>
        </w:r>
        <w:r w:rsidR="00897995" w:rsidRPr="00897995">
          <w:rPr>
            <w:webHidden/>
          </w:rPr>
          <w:tab/>
        </w:r>
        <w:r w:rsidR="00897995" w:rsidRPr="00897995">
          <w:rPr>
            <w:webHidden/>
          </w:rPr>
          <w:fldChar w:fldCharType="begin"/>
        </w:r>
        <w:r w:rsidR="00897995" w:rsidRPr="00897995">
          <w:rPr>
            <w:webHidden/>
          </w:rPr>
          <w:instrText xml:space="preserve"> PAGEREF _Toc532812490 \h </w:instrText>
        </w:r>
        <w:r w:rsidR="00897995" w:rsidRPr="00897995">
          <w:rPr>
            <w:webHidden/>
          </w:rPr>
        </w:r>
        <w:r w:rsidR="00897995" w:rsidRPr="00897995">
          <w:rPr>
            <w:webHidden/>
          </w:rPr>
          <w:fldChar w:fldCharType="separate"/>
        </w:r>
        <w:r w:rsidR="004C7DEC">
          <w:rPr>
            <w:webHidden/>
          </w:rPr>
          <w:t>65</w:t>
        </w:r>
        <w:r w:rsidR="00897995" w:rsidRPr="00897995">
          <w:rPr>
            <w:webHidden/>
          </w:rPr>
          <w:fldChar w:fldCharType="end"/>
        </w:r>
      </w:hyperlink>
    </w:p>
    <w:p w14:paraId="79688E42" w14:textId="2021CBC3" w:rsidR="00897995" w:rsidRPr="00897995" w:rsidRDefault="00A65AAD" w:rsidP="00897995">
      <w:pPr>
        <w:pStyle w:val="TOC1"/>
        <w:rPr>
          <w:rFonts w:asciiTheme="minorHAnsi" w:eastAsiaTheme="minorEastAsia" w:hAnsiTheme="minorHAnsi" w:cstheme="minorBidi"/>
          <w:sz w:val="22"/>
          <w:szCs w:val="22"/>
          <w:lang w:eastAsia="en-GB"/>
        </w:rPr>
      </w:pPr>
      <w:hyperlink w:anchor="_Toc532812491" w:history="1">
        <w:r w:rsidR="00897995" w:rsidRPr="00897995">
          <w:rPr>
            <w:rStyle w:val="Hyperlink"/>
          </w:rPr>
          <w:t>Table 6.3A</w:t>
        </w:r>
        <w:r w:rsidR="00897995" w:rsidRPr="00897995">
          <w:rPr>
            <w:rFonts w:asciiTheme="minorHAnsi" w:eastAsiaTheme="minorEastAsia" w:hAnsiTheme="minorHAnsi" w:cstheme="minorBidi"/>
            <w:sz w:val="22"/>
            <w:szCs w:val="22"/>
            <w:lang w:eastAsia="en-GB"/>
          </w:rPr>
          <w:tab/>
        </w:r>
        <w:r w:rsidR="00897995" w:rsidRPr="00897995">
          <w:rPr>
            <w:rStyle w:val="Hyperlink"/>
          </w:rPr>
          <w:t>Categories of older person accommodation</w:t>
        </w:r>
        <w:r w:rsidR="00897995" w:rsidRPr="00897995">
          <w:rPr>
            <w:webHidden/>
          </w:rPr>
          <w:tab/>
        </w:r>
        <w:r w:rsidR="00897995" w:rsidRPr="00897995">
          <w:rPr>
            <w:webHidden/>
          </w:rPr>
          <w:fldChar w:fldCharType="begin"/>
        </w:r>
        <w:r w:rsidR="00897995" w:rsidRPr="00897995">
          <w:rPr>
            <w:webHidden/>
          </w:rPr>
          <w:instrText xml:space="preserve"> PAGEREF _Toc532812491 \h </w:instrText>
        </w:r>
        <w:r w:rsidR="00897995" w:rsidRPr="00897995">
          <w:rPr>
            <w:webHidden/>
          </w:rPr>
        </w:r>
        <w:r w:rsidR="00897995" w:rsidRPr="00897995">
          <w:rPr>
            <w:webHidden/>
          </w:rPr>
          <w:fldChar w:fldCharType="separate"/>
        </w:r>
        <w:r w:rsidR="004C7DEC">
          <w:rPr>
            <w:webHidden/>
          </w:rPr>
          <w:t>66</w:t>
        </w:r>
        <w:r w:rsidR="00897995" w:rsidRPr="00897995">
          <w:rPr>
            <w:webHidden/>
          </w:rPr>
          <w:fldChar w:fldCharType="end"/>
        </w:r>
      </w:hyperlink>
    </w:p>
    <w:p w14:paraId="3B267708" w14:textId="15E7681A" w:rsidR="00897995" w:rsidRPr="00897995" w:rsidRDefault="00A65AAD" w:rsidP="00897995">
      <w:pPr>
        <w:pStyle w:val="TOC1"/>
        <w:rPr>
          <w:rFonts w:asciiTheme="minorHAnsi" w:eastAsiaTheme="minorEastAsia" w:hAnsiTheme="minorHAnsi" w:cstheme="minorBidi"/>
          <w:sz w:val="22"/>
          <w:szCs w:val="22"/>
          <w:lang w:eastAsia="en-GB"/>
        </w:rPr>
      </w:pPr>
      <w:hyperlink w:anchor="_Toc532812492" w:history="1">
        <w:r w:rsidR="00897995" w:rsidRPr="00897995">
          <w:rPr>
            <w:rStyle w:val="Hyperlink"/>
          </w:rPr>
          <w:t>Table 6.4</w:t>
        </w:r>
        <w:r w:rsidR="00897995" w:rsidRPr="00897995">
          <w:rPr>
            <w:rFonts w:asciiTheme="minorHAnsi" w:eastAsiaTheme="minorEastAsia" w:hAnsiTheme="minorHAnsi" w:cstheme="minorBidi"/>
            <w:sz w:val="22"/>
            <w:szCs w:val="22"/>
            <w:lang w:eastAsia="en-GB"/>
          </w:rPr>
          <w:tab/>
        </w:r>
        <w:r w:rsidR="00897995" w:rsidRPr="00897995">
          <w:rPr>
            <w:rStyle w:val="Hyperlink"/>
          </w:rPr>
          <w:t>Analysis of future need for specialist older person accommodation</w:t>
        </w:r>
        <w:r w:rsidR="00897995" w:rsidRPr="00897995">
          <w:rPr>
            <w:webHidden/>
          </w:rPr>
          <w:tab/>
        </w:r>
        <w:r w:rsidR="00897995" w:rsidRPr="00897995">
          <w:rPr>
            <w:webHidden/>
          </w:rPr>
          <w:fldChar w:fldCharType="begin"/>
        </w:r>
        <w:r w:rsidR="00897995" w:rsidRPr="00897995">
          <w:rPr>
            <w:webHidden/>
          </w:rPr>
          <w:instrText xml:space="preserve"> PAGEREF _Toc532812492 \h </w:instrText>
        </w:r>
        <w:r w:rsidR="00897995" w:rsidRPr="00897995">
          <w:rPr>
            <w:webHidden/>
          </w:rPr>
        </w:r>
        <w:r w:rsidR="00897995" w:rsidRPr="00897995">
          <w:rPr>
            <w:webHidden/>
          </w:rPr>
          <w:fldChar w:fldCharType="separate"/>
        </w:r>
        <w:r w:rsidR="004C7DEC">
          <w:rPr>
            <w:webHidden/>
          </w:rPr>
          <w:t>67</w:t>
        </w:r>
        <w:r w:rsidR="00897995" w:rsidRPr="00897995">
          <w:rPr>
            <w:webHidden/>
          </w:rPr>
          <w:fldChar w:fldCharType="end"/>
        </w:r>
      </w:hyperlink>
    </w:p>
    <w:p w14:paraId="4DB14DE4" w14:textId="5BFC7F40" w:rsidR="00897995" w:rsidRPr="00897995" w:rsidRDefault="00A65AAD" w:rsidP="00897995">
      <w:pPr>
        <w:pStyle w:val="TOC1"/>
        <w:rPr>
          <w:rFonts w:asciiTheme="minorHAnsi" w:eastAsiaTheme="minorEastAsia" w:hAnsiTheme="minorHAnsi" w:cstheme="minorBidi"/>
          <w:sz w:val="22"/>
          <w:szCs w:val="22"/>
          <w:lang w:eastAsia="en-GB"/>
        </w:rPr>
      </w:pPr>
      <w:hyperlink w:anchor="_Toc532812493" w:history="1">
        <w:r w:rsidR="00897995" w:rsidRPr="00897995">
          <w:rPr>
            <w:rStyle w:val="Hyperlink"/>
          </w:rPr>
          <w:t>Table 6</w:t>
        </w:r>
        <w:r w:rsidR="00897995" w:rsidRPr="00897995">
          <w:rPr>
            <w:rStyle w:val="Hyperlink"/>
            <w:lang w:val="en-US"/>
          </w:rPr>
          <w:t>.5</w:t>
        </w:r>
        <w:r w:rsidR="00897995" w:rsidRPr="00897995">
          <w:rPr>
            <w:rFonts w:asciiTheme="minorHAnsi" w:eastAsiaTheme="minorEastAsia" w:hAnsiTheme="minorHAnsi" w:cstheme="minorBidi"/>
            <w:sz w:val="22"/>
            <w:szCs w:val="22"/>
            <w:lang w:eastAsia="en-GB"/>
          </w:rPr>
          <w:tab/>
        </w:r>
        <w:r w:rsidR="00897995" w:rsidRPr="00897995">
          <w:rPr>
            <w:rStyle w:val="Hyperlink"/>
          </w:rPr>
          <w:t>Older persons’ housing options</w:t>
        </w:r>
        <w:r w:rsidR="00897995" w:rsidRPr="00897995">
          <w:rPr>
            <w:webHidden/>
          </w:rPr>
          <w:tab/>
        </w:r>
        <w:r w:rsidR="00897995" w:rsidRPr="00897995">
          <w:rPr>
            <w:webHidden/>
          </w:rPr>
          <w:fldChar w:fldCharType="begin"/>
        </w:r>
        <w:r w:rsidR="00897995" w:rsidRPr="00897995">
          <w:rPr>
            <w:webHidden/>
          </w:rPr>
          <w:instrText xml:space="preserve"> PAGEREF _Toc532812493 \h </w:instrText>
        </w:r>
        <w:r w:rsidR="00897995" w:rsidRPr="00897995">
          <w:rPr>
            <w:webHidden/>
          </w:rPr>
        </w:r>
        <w:r w:rsidR="00897995" w:rsidRPr="00897995">
          <w:rPr>
            <w:webHidden/>
          </w:rPr>
          <w:fldChar w:fldCharType="separate"/>
        </w:r>
        <w:r w:rsidR="004C7DEC">
          <w:rPr>
            <w:webHidden/>
          </w:rPr>
          <w:t>68</w:t>
        </w:r>
        <w:r w:rsidR="00897995" w:rsidRPr="00897995">
          <w:rPr>
            <w:webHidden/>
          </w:rPr>
          <w:fldChar w:fldCharType="end"/>
        </w:r>
      </w:hyperlink>
    </w:p>
    <w:p w14:paraId="2605F175" w14:textId="6281C247" w:rsidR="00897995" w:rsidRPr="00897995" w:rsidRDefault="00A65AAD" w:rsidP="00897995">
      <w:pPr>
        <w:pStyle w:val="TOC1"/>
        <w:rPr>
          <w:rFonts w:asciiTheme="minorHAnsi" w:eastAsiaTheme="minorEastAsia" w:hAnsiTheme="minorHAnsi" w:cstheme="minorBidi"/>
          <w:sz w:val="22"/>
          <w:szCs w:val="22"/>
          <w:lang w:eastAsia="en-GB"/>
        </w:rPr>
      </w:pPr>
      <w:hyperlink w:anchor="_Toc532812494" w:history="1">
        <w:r w:rsidR="00897995" w:rsidRPr="00897995">
          <w:rPr>
            <w:rStyle w:val="Hyperlink"/>
          </w:rPr>
          <w:t>Table 6.6</w:t>
        </w:r>
        <w:r w:rsidR="00897995" w:rsidRPr="00897995">
          <w:rPr>
            <w:rFonts w:asciiTheme="minorHAnsi" w:eastAsiaTheme="minorEastAsia" w:hAnsiTheme="minorHAnsi" w:cstheme="minorBidi"/>
            <w:sz w:val="22"/>
            <w:szCs w:val="22"/>
            <w:lang w:eastAsia="en-GB"/>
          </w:rPr>
          <w:tab/>
        </w:r>
        <w:r w:rsidR="00897995" w:rsidRPr="00897995">
          <w:rPr>
            <w:rStyle w:val="Hyperlink"/>
          </w:rPr>
          <w:t>Older person housing options being considered (%)</w:t>
        </w:r>
        <w:r w:rsidR="00897995" w:rsidRPr="00897995">
          <w:rPr>
            <w:webHidden/>
          </w:rPr>
          <w:tab/>
        </w:r>
        <w:r w:rsidR="00897995" w:rsidRPr="00897995">
          <w:rPr>
            <w:webHidden/>
          </w:rPr>
          <w:fldChar w:fldCharType="begin"/>
        </w:r>
        <w:r w:rsidR="00897995" w:rsidRPr="00897995">
          <w:rPr>
            <w:webHidden/>
          </w:rPr>
          <w:instrText xml:space="preserve"> PAGEREF _Toc532812494 \h </w:instrText>
        </w:r>
        <w:r w:rsidR="00897995" w:rsidRPr="00897995">
          <w:rPr>
            <w:webHidden/>
          </w:rPr>
        </w:r>
        <w:r w:rsidR="00897995" w:rsidRPr="00897995">
          <w:rPr>
            <w:webHidden/>
          </w:rPr>
          <w:fldChar w:fldCharType="separate"/>
        </w:r>
        <w:r w:rsidR="004C7DEC">
          <w:rPr>
            <w:webHidden/>
          </w:rPr>
          <w:t>69</w:t>
        </w:r>
        <w:r w:rsidR="00897995" w:rsidRPr="00897995">
          <w:rPr>
            <w:webHidden/>
          </w:rPr>
          <w:fldChar w:fldCharType="end"/>
        </w:r>
      </w:hyperlink>
    </w:p>
    <w:p w14:paraId="4D0CCFDF" w14:textId="29D74C08" w:rsidR="00897995" w:rsidRPr="00897995" w:rsidRDefault="00A65AAD" w:rsidP="00897995">
      <w:pPr>
        <w:pStyle w:val="TOC1"/>
        <w:rPr>
          <w:rFonts w:asciiTheme="minorHAnsi" w:eastAsiaTheme="minorEastAsia" w:hAnsiTheme="minorHAnsi" w:cstheme="minorBidi"/>
          <w:sz w:val="22"/>
          <w:szCs w:val="22"/>
          <w:lang w:eastAsia="en-GB"/>
        </w:rPr>
      </w:pPr>
      <w:hyperlink w:anchor="_Toc532812495" w:history="1">
        <w:r w:rsidR="00897995" w:rsidRPr="00897995">
          <w:rPr>
            <w:rStyle w:val="Hyperlink"/>
          </w:rPr>
          <w:t>Table 6.7</w:t>
        </w:r>
        <w:r w:rsidR="00897995" w:rsidRPr="00897995">
          <w:rPr>
            <w:rFonts w:asciiTheme="minorHAnsi" w:eastAsiaTheme="minorEastAsia" w:hAnsiTheme="minorHAnsi" w:cstheme="minorBidi"/>
            <w:sz w:val="22"/>
            <w:szCs w:val="22"/>
            <w:lang w:eastAsia="en-GB"/>
          </w:rPr>
          <w:tab/>
        </w:r>
        <w:r w:rsidR="00897995" w:rsidRPr="00897995">
          <w:rPr>
            <w:rStyle w:val="Hyperlink"/>
          </w:rPr>
          <w:t>Older person housing options being considered (number)</w:t>
        </w:r>
        <w:r w:rsidR="00897995" w:rsidRPr="00897995">
          <w:rPr>
            <w:webHidden/>
          </w:rPr>
          <w:tab/>
        </w:r>
        <w:r w:rsidR="00897995" w:rsidRPr="00897995">
          <w:rPr>
            <w:webHidden/>
          </w:rPr>
          <w:fldChar w:fldCharType="begin"/>
        </w:r>
        <w:r w:rsidR="00897995" w:rsidRPr="00897995">
          <w:rPr>
            <w:webHidden/>
          </w:rPr>
          <w:instrText xml:space="preserve"> PAGEREF _Toc532812495 \h </w:instrText>
        </w:r>
        <w:r w:rsidR="00897995" w:rsidRPr="00897995">
          <w:rPr>
            <w:webHidden/>
          </w:rPr>
        </w:r>
        <w:r w:rsidR="00897995" w:rsidRPr="00897995">
          <w:rPr>
            <w:webHidden/>
          </w:rPr>
          <w:fldChar w:fldCharType="separate"/>
        </w:r>
        <w:r w:rsidR="004C7DEC">
          <w:rPr>
            <w:webHidden/>
          </w:rPr>
          <w:t>70</w:t>
        </w:r>
        <w:r w:rsidR="00897995" w:rsidRPr="00897995">
          <w:rPr>
            <w:webHidden/>
          </w:rPr>
          <w:fldChar w:fldCharType="end"/>
        </w:r>
      </w:hyperlink>
    </w:p>
    <w:p w14:paraId="7F8F8AF4" w14:textId="1AABD732" w:rsidR="00897995" w:rsidRPr="00897995" w:rsidRDefault="00A65AAD" w:rsidP="00897995">
      <w:pPr>
        <w:pStyle w:val="TOC1"/>
        <w:rPr>
          <w:rFonts w:asciiTheme="minorHAnsi" w:eastAsiaTheme="minorEastAsia" w:hAnsiTheme="minorHAnsi" w:cstheme="minorBidi"/>
          <w:sz w:val="22"/>
          <w:szCs w:val="22"/>
          <w:lang w:eastAsia="en-GB"/>
        </w:rPr>
      </w:pPr>
      <w:hyperlink w:anchor="_Toc532812496" w:history="1">
        <w:r w:rsidR="00897995" w:rsidRPr="00897995">
          <w:rPr>
            <w:rStyle w:val="Hyperlink"/>
          </w:rPr>
          <w:t xml:space="preserve">Table </w:t>
        </w:r>
        <w:r w:rsidR="00897995" w:rsidRPr="00897995">
          <w:rPr>
            <w:rStyle w:val="Hyperlink"/>
            <w:lang w:val="en-US"/>
          </w:rPr>
          <w:t>6.8</w:t>
        </w:r>
        <w:r w:rsidR="00897995" w:rsidRPr="00897995">
          <w:rPr>
            <w:rFonts w:asciiTheme="minorHAnsi" w:eastAsiaTheme="minorEastAsia" w:hAnsiTheme="minorHAnsi" w:cstheme="minorBidi"/>
            <w:sz w:val="22"/>
            <w:szCs w:val="22"/>
            <w:lang w:eastAsia="en-GB"/>
          </w:rPr>
          <w:tab/>
        </w:r>
        <w:r w:rsidR="00897995" w:rsidRPr="00897995">
          <w:rPr>
            <w:rStyle w:val="Hyperlink"/>
          </w:rPr>
          <w:t>Future housing choices of older households (downsizing/upsizing)</w:t>
        </w:r>
        <w:r w:rsidR="00897995" w:rsidRPr="00897995">
          <w:rPr>
            <w:webHidden/>
          </w:rPr>
          <w:tab/>
        </w:r>
        <w:r w:rsidR="00897995" w:rsidRPr="00897995">
          <w:rPr>
            <w:webHidden/>
          </w:rPr>
          <w:fldChar w:fldCharType="begin"/>
        </w:r>
        <w:r w:rsidR="00897995" w:rsidRPr="00897995">
          <w:rPr>
            <w:webHidden/>
          </w:rPr>
          <w:instrText xml:space="preserve"> PAGEREF _Toc532812496 \h </w:instrText>
        </w:r>
        <w:r w:rsidR="00897995" w:rsidRPr="00897995">
          <w:rPr>
            <w:webHidden/>
          </w:rPr>
        </w:r>
        <w:r w:rsidR="00897995" w:rsidRPr="00897995">
          <w:rPr>
            <w:webHidden/>
          </w:rPr>
          <w:fldChar w:fldCharType="separate"/>
        </w:r>
        <w:r w:rsidR="004C7DEC">
          <w:rPr>
            <w:webHidden/>
          </w:rPr>
          <w:t>71</w:t>
        </w:r>
        <w:r w:rsidR="00897995" w:rsidRPr="00897995">
          <w:rPr>
            <w:webHidden/>
          </w:rPr>
          <w:fldChar w:fldCharType="end"/>
        </w:r>
      </w:hyperlink>
    </w:p>
    <w:p w14:paraId="40D2B6E4" w14:textId="549E2F63" w:rsidR="00897995" w:rsidRPr="00897995" w:rsidRDefault="00A65AAD" w:rsidP="00897995">
      <w:pPr>
        <w:pStyle w:val="TOC1"/>
        <w:rPr>
          <w:rFonts w:asciiTheme="minorHAnsi" w:eastAsiaTheme="minorEastAsia" w:hAnsiTheme="minorHAnsi" w:cstheme="minorBidi"/>
          <w:sz w:val="22"/>
          <w:szCs w:val="22"/>
          <w:lang w:eastAsia="en-GB"/>
        </w:rPr>
      </w:pPr>
      <w:hyperlink w:anchor="_Toc532812497" w:history="1">
        <w:r w:rsidR="00897995" w:rsidRPr="00897995">
          <w:rPr>
            <w:rStyle w:val="Hyperlink"/>
          </w:rPr>
          <w:t>Table 6.9</w:t>
        </w:r>
        <w:r w:rsidR="00897995" w:rsidRPr="00897995">
          <w:rPr>
            <w:rFonts w:asciiTheme="minorHAnsi" w:eastAsiaTheme="minorEastAsia" w:hAnsiTheme="minorHAnsi" w:cstheme="minorBidi"/>
            <w:sz w:val="22"/>
            <w:szCs w:val="22"/>
            <w:lang w:eastAsia="en-GB"/>
          </w:rPr>
          <w:tab/>
        </w:r>
        <w:r w:rsidR="00897995" w:rsidRPr="00897995">
          <w:rPr>
            <w:rStyle w:val="Hyperlink"/>
          </w:rPr>
          <w:t>Comments relating to adaptions and supply amongst older person households</w:t>
        </w:r>
        <w:r w:rsidR="00897995" w:rsidRPr="00897995">
          <w:rPr>
            <w:webHidden/>
          </w:rPr>
          <w:tab/>
        </w:r>
        <w:r w:rsidR="00897995" w:rsidRPr="00897995">
          <w:rPr>
            <w:webHidden/>
          </w:rPr>
          <w:fldChar w:fldCharType="begin"/>
        </w:r>
        <w:r w:rsidR="00897995" w:rsidRPr="00897995">
          <w:rPr>
            <w:webHidden/>
          </w:rPr>
          <w:instrText xml:space="preserve"> PAGEREF _Toc532812497 \h </w:instrText>
        </w:r>
        <w:r w:rsidR="00897995" w:rsidRPr="00897995">
          <w:rPr>
            <w:webHidden/>
          </w:rPr>
        </w:r>
        <w:r w:rsidR="00897995" w:rsidRPr="00897995">
          <w:rPr>
            <w:webHidden/>
          </w:rPr>
          <w:fldChar w:fldCharType="separate"/>
        </w:r>
        <w:r w:rsidR="004C7DEC">
          <w:rPr>
            <w:webHidden/>
          </w:rPr>
          <w:t>72</w:t>
        </w:r>
        <w:r w:rsidR="00897995" w:rsidRPr="00897995">
          <w:rPr>
            <w:webHidden/>
          </w:rPr>
          <w:fldChar w:fldCharType="end"/>
        </w:r>
      </w:hyperlink>
    </w:p>
    <w:p w14:paraId="6EBF133B" w14:textId="0B0E2A55" w:rsidR="00897995" w:rsidRPr="00897995" w:rsidRDefault="00A65AAD" w:rsidP="00897995">
      <w:pPr>
        <w:pStyle w:val="TOC1"/>
        <w:rPr>
          <w:rFonts w:asciiTheme="minorHAnsi" w:eastAsiaTheme="minorEastAsia" w:hAnsiTheme="minorHAnsi" w:cstheme="minorBidi"/>
          <w:sz w:val="22"/>
          <w:szCs w:val="22"/>
          <w:lang w:eastAsia="en-GB"/>
        </w:rPr>
      </w:pPr>
      <w:hyperlink w:anchor="_Toc532812498" w:history="1">
        <w:r w:rsidR="00897995" w:rsidRPr="00897995">
          <w:rPr>
            <w:rStyle w:val="Hyperlink"/>
          </w:rPr>
          <w:t>Table 6.10</w:t>
        </w:r>
        <w:r w:rsidR="00897995" w:rsidRPr="00897995">
          <w:rPr>
            <w:rFonts w:asciiTheme="minorHAnsi" w:eastAsiaTheme="minorEastAsia" w:hAnsiTheme="minorHAnsi" w:cstheme="minorBidi"/>
            <w:sz w:val="22"/>
            <w:szCs w:val="22"/>
            <w:lang w:eastAsia="en-GB"/>
          </w:rPr>
          <w:tab/>
        </w:r>
        <w:r w:rsidR="00897995" w:rsidRPr="00897995">
          <w:rPr>
            <w:rStyle w:val="Hyperlink"/>
          </w:rPr>
          <w:t>Long-term health problem or disability</w:t>
        </w:r>
        <w:r w:rsidR="00897995" w:rsidRPr="00897995">
          <w:rPr>
            <w:webHidden/>
          </w:rPr>
          <w:tab/>
        </w:r>
        <w:r w:rsidR="00897995" w:rsidRPr="00897995">
          <w:rPr>
            <w:webHidden/>
          </w:rPr>
          <w:fldChar w:fldCharType="begin"/>
        </w:r>
        <w:r w:rsidR="00897995" w:rsidRPr="00897995">
          <w:rPr>
            <w:webHidden/>
          </w:rPr>
          <w:instrText xml:space="preserve"> PAGEREF _Toc532812498 \h </w:instrText>
        </w:r>
        <w:r w:rsidR="00897995" w:rsidRPr="00897995">
          <w:rPr>
            <w:webHidden/>
          </w:rPr>
        </w:r>
        <w:r w:rsidR="00897995" w:rsidRPr="00897995">
          <w:rPr>
            <w:webHidden/>
          </w:rPr>
          <w:fldChar w:fldCharType="separate"/>
        </w:r>
        <w:r w:rsidR="004C7DEC">
          <w:rPr>
            <w:webHidden/>
          </w:rPr>
          <w:t>75</w:t>
        </w:r>
        <w:r w:rsidR="00897995" w:rsidRPr="00897995">
          <w:rPr>
            <w:webHidden/>
          </w:rPr>
          <w:fldChar w:fldCharType="end"/>
        </w:r>
      </w:hyperlink>
    </w:p>
    <w:p w14:paraId="3351A66F" w14:textId="2265FACD" w:rsidR="00897995" w:rsidRPr="00897995" w:rsidRDefault="00A65AAD" w:rsidP="00897995">
      <w:pPr>
        <w:pStyle w:val="TOC1"/>
        <w:rPr>
          <w:rFonts w:asciiTheme="minorHAnsi" w:eastAsiaTheme="minorEastAsia" w:hAnsiTheme="minorHAnsi" w:cstheme="minorBidi"/>
          <w:sz w:val="22"/>
          <w:szCs w:val="22"/>
          <w:lang w:eastAsia="en-GB"/>
        </w:rPr>
      </w:pPr>
      <w:hyperlink w:anchor="_Toc532812499" w:history="1">
        <w:r w:rsidR="00897995" w:rsidRPr="00897995">
          <w:rPr>
            <w:rStyle w:val="Hyperlink"/>
          </w:rPr>
          <w:t>Table 6.11</w:t>
        </w:r>
        <w:r w:rsidR="00897995" w:rsidRPr="00897995">
          <w:rPr>
            <w:rFonts w:asciiTheme="minorHAnsi" w:eastAsiaTheme="minorEastAsia" w:hAnsiTheme="minorHAnsi" w:cstheme="minorBidi"/>
            <w:sz w:val="22"/>
            <w:szCs w:val="22"/>
            <w:lang w:eastAsia="en-GB"/>
          </w:rPr>
          <w:tab/>
        </w:r>
        <w:r w:rsidR="00897995" w:rsidRPr="00897995">
          <w:rPr>
            <w:rStyle w:val="Hyperlink"/>
          </w:rPr>
          <w:t>Comments associated with illness/disability and households by tenure</w:t>
        </w:r>
        <w:r w:rsidR="00897995" w:rsidRPr="00897995">
          <w:rPr>
            <w:webHidden/>
          </w:rPr>
          <w:tab/>
        </w:r>
        <w:r w:rsidR="00897995" w:rsidRPr="00897995">
          <w:rPr>
            <w:webHidden/>
          </w:rPr>
          <w:fldChar w:fldCharType="begin"/>
        </w:r>
        <w:r w:rsidR="00897995" w:rsidRPr="00897995">
          <w:rPr>
            <w:webHidden/>
          </w:rPr>
          <w:instrText xml:space="preserve"> PAGEREF _Toc532812499 \h </w:instrText>
        </w:r>
        <w:r w:rsidR="00897995" w:rsidRPr="00897995">
          <w:rPr>
            <w:webHidden/>
          </w:rPr>
        </w:r>
        <w:r w:rsidR="00897995" w:rsidRPr="00897995">
          <w:rPr>
            <w:webHidden/>
          </w:rPr>
          <w:fldChar w:fldCharType="separate"/>
        </w:r>
        <w:r w:rsidR="004C7DEC">
          <w:rPr>
            <w:webHidden/>
          </w:rPr>
          <w:t>76</w:t>
        </w:r>
        <w:r w:rsidR="00897995" w:rsidRPr="00897995">
          <w:rPr>
            <w:webHidden/>
          </w:rPr>
          <w:fldChar w:fldCharType="end"/>
        </w:r>
      </w:hyperlink>
    </w:p>
    <w:p w14:paraId="5E6ACEA8" w14:textId="4611BDFA" w:rsidR="00897995" w:rsidRPr="00897995" w:rsidRDefault="00A65AAD" w:rsidP="00897995">
      <w:pPr>
        <w:pStyle w:val="TOC1"/>
        <w:rPr>
          <w:rFonts w:asciiTheme="minorHAnsi" w:eastAsiaTheme="minorEastAsia" w:hAnsiTheme="minorHAnsi" w:cstheme="minorBidi"/>
          <w:sz w:val="22"/>
          <w:szCs w:val="22"/>
          <w:lang w:eastAsia="en-GB"/>
        </w:rPr>
      </w:pPr>
      <w:hyperlink w:anchor="_Toc532812500" w:history="1">
        <w:r w:rsidR="00897995" w:rsidRPr="00897995">
          <w:rPr>
            <w:rStyle w:val="Hyperlink"/>
          </w:rPr>
          <w:t>Table 6.12</w:t>
        </w:r>
        <w:r w:rsidR="00897995" w:rsidRPr="00897995">
          <w:rPr>
            <w:rFonts w:asciiTheme="minorHAnsi" w:eastAsiaTheme="minorEastAsia" w:hAnsiTheme="minorHAnsi" w:cstheme="minorBidi"/>
            <w:sz w:val="22"/>
            <w:szCs w:val="22"/>
            <w:lang w:eastAsia="en-GB"/>
          </w:rPr>
          <w:tab/>
        </w:r>
        <w:r w:rsidR="00897995" w:rsidRPr="00897995">
          <w:rPr>
            <w:rStyle w:val="Hyperlink"/>
          </w:rPr>
          <w:t>Estimate of the number of people with a particular disability</w:t>
        </w:r>
        <w:r w:rsidR="00897995" w:rsidRPr="00897995">
          <w:rPr>
            <w:webHidden/>
          </w:rPr>
          <w:tab/>
        </w:r>
        <w:r w:rsidR="00897995" w:rsidRPr="00897995">
          <w:rPr>
            <w:webHidden/>
          </w:rPr>
          <w:fldChar w:fldCharType="begin"/>
        </w:r>
        <w:r w:rsidR="00897995" w:rsidRPr="00897995">
          <w:rPr>
            <w:webHidden/>
          </w:rPr>
          <w:instrText xml:space="preserve"> PAGEREF _Toc532812500 \h </w:instrText>
        </w:r>
        <w:r w:rsidR="00897995" w:rsidRPr="00897995">
          <w:rPr>
            <w:webHidden/>
          </w:rPr>
        </w:r>
        <w:r w:rsidR="00897995" w:rsidRPr="00897995">
          <w:rPr>
            <w:webHidden/>
          </w:rPr>
          <w:fldChar w:fldCharType="separate"/>
        </w:r>
        <w:r w:rsidR="004C7DEC">
          <w:rPr>
            <w:webHidden/>
          </w:rPr>
          <w:t>76</w:t>
        </w:r>
        <w:r w:rsidR="00897995" w:rsidRPr="00897995">
          <w:rPr>
            <w:webHidden/>
          </w:rPr>
          <w:fldChar w:fldCharType="end"/>
        </w:r>
      </w:hyperlink>
    </w:p>
    <w:p w14:paraId="4286F72C" w14:textId="3C15A202" w:rsidR="00897995" w:rsidRPr="00897995" w:rsidRDefault="00A65AAD" w:rsidP="00897995">
      <w:pPr>
        <w:pStyle w:val="TOC1"/>
        <w:rPr>
          <w:rFonts w:asciiTheme="minorHAnsi" w:eastAsiaTheme="minorEastAsia" w:hAnsiTheme="minorHAnsi" w:cstheme="minorBidi"/>
          <w:sz w:val="22"/>
          <w:szCs w:val="22"/>
          <w:lang w:eastAsia="en-GB"/>
        </w:rPr>
      </w:pPr>
      <w:hyperlink w:anchor="_Toc532812501" w:history="1">
        <w:r w:rsidR="00897995" w:rsidRPr="00897995">
          <w:rPr>
            <w:rStyle w:val="Hyperlink"/>
          </w:rPr>
          <w:t>Table 6.13</w:t>
        </w:r>
        <w:r w:rsidR="00897995" w:rsidRPr="00897995">
          <w:rPr>
            <w:rFonts w:asciiTheme="minorHAnsi" w:eastAsiaTheme="minorEastAsia" w:hAnsiTheme="minorHAnsi" w:cstheme="minorBidi"/>
            <w:sz w:val="22"/>
            <w:szCs w:val="22"/>
            <w:lang w:eastAsia="en-GB"/>
          </w:rPr>
          <w:tab/>
        </w:r>
        <w:r w:rsidR="00897995" w:rsidRPr="00897995">
          <w:rPr>
            <w:rStyle w:val="Hyperlink"/>
          </w:rPr>
          <w:t>DLA claimants by age group</w:t>
        </w:r>
        <w:r w:rsidR="00897995" w:rsidRPr="00897995">
          <w:rPr>
            <w:webHidden/>
          </w:rPr>
          <w:tab/>
        </w:r>
        <w:r w:rsidR="00897995" w:rsidRPr="00897995">
          <w:rPr>
            <w:webHidden/>
          </w:rPr>
          <w:fldChar w:fldCharType="begin"/>
        </w:r>
        <w:r w:rsidR="00897995" w:rsidRPr="00897995">
          <w:rPr>
            <w:webHidden/>
          </w:rPr>
          <w:instrText xml:space="preserve"> PAGEREF _Toc532812501 \h </w:instrText>
        </w:r>
        <w:r w:rsidR="00897995" w:rsidRPr="00897995">
          <w:rPr>
            <w:webHidden/>
          </w:rPr>
        </w:r>
        <w:r w:rsidR="00897995" w:rsidRPr="00897995">
          <w:rPr>
            <w:webHidden/>
          </w:rPr>
          <w:fldChar w:fldCharType="separate"/>
        </w:r>
        <w:r w:rsidR="004C7DEC">
          <w:rPr>
            <w:webHidden/>
          </w:rPr>
          <w:t>77</w:t>
        </w:r>
        <w:r w:rsidR="00897995" w:rsidRPr="00897995">
          <w:rPr>
            <w:webHidden/>
          </w:rPr>
          <w:fldChar w:fldCharType="end"/>
        </w:r>
      </w:hyperlink>
    </w:p>
    <w:p w14:paraId="4EC51B4A" w14:textId="3DDE9ADC" w:rsidR="00897995" w:rsidRPr="00897995" w:rsidRDefault="00A65AAD" w:rsidP="00897995">
      <w:pPr>
        <w:pStyle w:val="TOC1"/>
        <w:rPr>
          <w:rFonts w:asciiTheme="minorHAnsi" w:eastAsiaTheme="minorEastAsia" w:hAnsiTheme="minorHAnsi" w:cstheme="minorBidi"/>
          <w:sz w:val="22"/>
          <w:szCs w:val="22"/>
          <w:lang w:eastAsia="en-GB"/>
        </w:rPr>
      </w:pPr>
      <w:hyperlink w:anchor="_Toc532812502" w:history="1">
        <w:r w:rsidR="00897995" w:rsidRPr="00897995">
          <w:rPr>
            <w:rStyle w:val="Hyperlink"/>
          </w:rPr>
          <w:t>Table 6.14</w:t>
        </w:r>
        <w:r w:rsidR="00897995" w:rsidRPr="00897995">
          <w:rPr>
            <w:rFonts w:asciiTheme="minorHAnsi" w:eastAsiaTheme="minorEastAsia" w:hAnsiTheme="minorHAnsi" w:cstheme="minorBidi"/>
            <w:sz w:val="22"/>
            <w:szCs w:val="22"/>
            <w:lang w:eastAsia="en-GB"/>
          </w:rPr>
          <w:tab/>
        </w:r>
        <w:r w:rsidR="00897995" w:rsidRPr="00897995">
          <w:rPr>
            <w:rStyle w:val="Hyperlink"/>
          </w:rPr>
          <w:t>DLA claimants by disabling condition</w:t>
        </w:r>
        <w:r w:rsidR="00897995" w:rsidRPr="00897995">
          <w:rPr>
            <w:webHidden/>
          </w:rPr>
          <w:tab/>
        </w:r>
        <w:r w:rsidR="00897995" w:rsidRPr="00897995">
          <w:rPr>
            <w:webHidden/>
          </w:rPr>
          <w:fldChar w:fldCharType="begin"/>
        </w:r>
        <w:r w:rsidR="00897995" w:rsidRPr="00897995">
          <w:rPr>
            <w:webHidden/>
          </w:rPr>
          <w:instrText xml:space="preserve"> PAGEREF _Toc532812502 \h </w:instrText>
        </w:r>
        <w:r w:rsidR="00897995" w:rsidRPr="00897995">
          <w:rPr>
            <w:webHidden/>
          </w:rPr>
        </w:r>
        <w:r w:rsidR="00897995" w:rsidRPr="00897995">
          <w:rPr>
            <w:webHidden/>
          </w:rPr>
          <w:fldChar w:fldCharType="separate"/>
        </w:r>
        <w:r w:rsidR="004C7DEC">
          <w:rPr>
            <w:webHidden/>
          </w:rPr>
          <w:t>77</w:t>
        </w:r>
        <w:r w:rsidR="00897995" w:rsidRPr="00897995">
          <w:rPr>
            <w:webHidden/>
          </w:rPr>
          <w:fldChar w:fldCharType="end"/>
        </w:r>
      </w:hyperlink>
    </w:p>
    <w:p w14:paraId="7AB4CA95" w14:textId="695FAEA3" w:rsidR="00897995" w:rsidRPr="00897995" w:rsidRDefault="00A65AAD" w:rsidP="00897995">
      <w:pPr>
        <w:pStyle w:val="TOC1"/>
        <w:rPr>
          <w:rFonts w:asciiTheme="minorHAnsi" w:eastAsiaTheme="minorEastAsia" w:hAnsiTheme="minorHAnsi" w:cstheme="minorBidi"/>
          <w:sz w:val="22"/>
          <w:szCs w:val="22"/>
          <w:lang w:eastAsia="en-GB"/>
        </w:rPr>
      </w:pPr>
      <w:hyperlink w:anchor="_Toc532812503" w:history="1">
        <w:r w:rsidR="00897995" w:rsidRPr="00897995">
          <w:rPr>
            <w:rStyle w:val="Hyperlink"/>
          </w:rPr>
          <w:t>Table 6.15</w:t>
        </w:r>
        <w:r w:rsidR="00897995" w:rsidRPr="00897995">
          <w:rPr>
            <w:rFonts w:asciiTheme="minorHAnsi" w:eastAsiaTheme="minorEastAsia" w:hAnsiTheme="minorHAnsi" w:cstheme="minorBidi"/>
            <w:sz w:val="22"/>
            <w:szCs w:val="22"/>
            <w:lang w:eastAsia="en-GB"/>
          </w:rPr>
          <w:tab/>
        </w:r>
        <w:r w:rsidR="00897995" w:rsidRPr="00897995">
          <w:rPr>
            <w:rStyle w:val="Hyperlink"/>
          </w:rPr>
          <w:t>Future need for adapted properties</w:t>
        </w:r>
        <w:r w:rsidR="00897995" w:rsidRPr="00897995">
          <w:rPr>
            <w:webHidden/>
          </w:rPr>
          <w:tab/>
        </w:r>
        <w:r w:rsidR="00897995" w:rsidRPr="00897995">
          <w:rPr>
            <w:webHidden/>
          </w:rPr>
          <w:fldChar w:fldCharType="begin"/>
        </w:r>
        <w:r w:rsidR="00897995" w:rsidRPr="00897995">
          <w:rPr>
            <w:webHidden/>
          </w:rPr>
          <w:instrText xml:space="preserve"> PAGEREF _Toc532812503 \h </w:instrText>
        </w:r>
        <w:r w:rsidR="00897995" w:rsidRPr="00897995">
          <w:rPr>
            <w:webHidden/>
          </w:rPr>
        </w:r>
        <w:r w:rsidR="00897995" w:rsidRPr="00897995">
          <w:rPr>
            <w:webHidden/>
          </w:rPr>
          <w:fldChar w:fldCharType="separate"/>
        </w:r>
        <w:r w:rsidR="004C7DEC">
          <w:rPr>
            <w:webHidden/>
          </w:rPr>
          <w:t>81</w:t>
        </w:r>
        <w:r w:rsidR="00897995" w:rsidRPr="00897995">
          <w:rPr>
            <w:webHidden/>
          </w:rPr>
          <w:fldChar w:fldCharType="end"/>
        </w:r>
      </w:hyperlink>
    </w:p>
    <w:p w14:paraId="04CCBB21" w14:textId="2CF5471F" w:rsidR="00897995" w:rsidRPr="00897995" w:rsidRDefault="00A65AAD" w:rsidP="00897995">
      <w:pPr>
        <w:pStyle w:val="TOC1"/>
        <w:rPr>
          <w:rFonts w:asciiTheme="minorHAnsi" w:eastAsiaTheme="minorEastAsia" w:hAnsiTheme="minorHAnsi" w:cstheme="minorBidi"/>
          <w:sz w:val="22"/>
          <w:szCs w:val="22"/>
          <w:lang w:eastAsia="en-GB"/>
        </w:rPr>
      </w:pPr>
      <w:hyperlink w:anchor="_Toc532812504" w:history="1">
        <w:r w:rsidR="00897995" w:rsidRPr="00897995">
          <w:rPr>
            <w:rStyle w:val="Hyperlink"/>
          </w:rPr>
          <w:t>Table 6.16</w:t>
        </w:r>
        <w:r w:rsidR="00897995" w:rsidRPr="00897995">
          <w:rPr>
            <w:rFonts w:asciiTheme="minorHAnsi" w:eastAsiaTheme="minorEastAsia" w:hAnsiTheme="minorHAnsi" w:cstheme="minorBidi"/>
            <w:sz w:val="22"/>
            <w:szCs w:val="22"/>
            <w:lang w:eastAsia="en-GB"/>
          </w:rPr>
          <w:tab/>
        </w:r>
        <w:r w:rsidR="00897995" w:rsidRPr="00897995">
          <w:rPr>
            <w:rStyle w:val="Hyperlink"/>
          </w:rPr>
          <w:t>Homeless decisions 2012/13 to 2016/17</w:t>
        </w:r>
        <w:r w:rsidR="00897995" w:rsidRPr="00897995">
          <w:rPr>
            <w:webHidden/>
          </w:rPr>
          <w:tab/>
        </w:r>
        <w:r w:rsidR="00897995" w:rsidRPr="00897995">
          <w:rPr>
            <w:webHidden/>
          </w:rPr>
          <w:fldChar w:fldCharType="begin"/>
        </w:r>
        <w:r w:rsidR="00897995" w:rsidRPr="00897995">
          <w:rPr>
            <w:webHidden/>
          </w:rPr>
          <w:instrText xml:space="preserve"> PAGEREF _Toc532812504 \h </w:instrText>
        </w:r>
        <w:r w:rsidR="00897995" w:rsidRPr="00897995">
          <w:rPr>
            <w:webHidden/>
          </w:rPr>
        </w:r>
        <w:r w:rsidR="00897995" w:rsidRPr="00897995">
          <w:rPr>
            <w:webHidden/>
          </w:rPr>
          <w:fldChar w:fldCharType="separate"/>
        </w:r>
        <w:r w:rsidR="004C7DEC">
          <w:rPr>
            <w:webHidden/>
          </w:rPr>
          <w:t>83</w:t>
        </w:r>
        <w:r w:rsidR="00897995" w:rsidRPr="00897995">
          <w:rPr>
            <w:webHidden/>
          </w:rPr>
          <w:fldChar w:fldCharType="end"/>
        </w:r>
      </w:hyperlink>
    </w:p>
    <w:p w14:paraId="3D33A459" w14:textId="5409ED65" w:rsidR="00897995" w:rsidRPr="00897995" w:rsidRDefault="00A65AAD" w:rsidP="00897995">
      <w:pPr>
        <w:pStyle w:val="TOC1"/>
        <w:rPr>
          <w:rFonts w:asciiTheme="minorHAnsi" w:eastAsiaTheme="minorEastAsia" w:hAnsiTheme="minorHAnsi" w:cstheme="minorBidi"/>
          <w:sz w:val="22"/>
          <w:szCs w:val="22"/>
          <w:lang w:eastAsia="en-GB"/>
        </w:rPr>
      </w:pPr>
      <w:hyperlink w:anchor="_Toc532812505" w:history="1">
        <w:r w:rsidR="00897995" w:rsidRPr="00897995">
          <w:rPr>
            <w:rStyle w:val="Hyperlink"/>
          </w:rPr>
          <w:t>Table 7.1</w:t>
        </w:r>
        <w:r w:rsidR="00897995" w:rsidRPr="00897995">
          <w:rPr>
            <w:rFonts w:asciiTheme="minorHAnsi" w:eastAsiaTheme="minorEastAsia" w:hAnsiTheme="minorHAnsi" w:cstheme="minorBidi"/>
            <w:sz w:val="22"/>
            <w:szCs w:val="22"/>
            <w:lang w:eastAsia="en-GB"/>
          </w:rPr>
          <w:tab/>
        </w:r>
        <w:r w:rsidR="00897995" w:rsidRPr="00897995">
          <w:rPr>
            <w:rStyle w:val="Hyperlink"/>
          </w:rPr>
          <w:t>Age groups, household type and dwelling types used</w:t>
        </w:r>
        <w:r w:rsidR="00897995" w:rsidRPr="00897995">
          <w:rPr>
            <w:webHidden/>
          </w:rPr>
          <w:tab/>
        </w:r>
        <w:r w:rsidR="00897995" w:rsidRPr="00897995">
          <w:rPr>
            <w:webHidden/>
          </w:rPr>
          <w:fldChar w:fldCharType="begin"/>
        </w:r>
        <w:r w:rsidR="00897995" w:rsidRPr="00897995">
          <w:rPr>
            <w:webHidden/>
          </w:rPr>
          <w:instrText xml:space="preserve"> PAGEREF _Toc532812505 \h </w:instrText>
        </w:r>
        <w:r w:rsidR="00897995" w:rsidRPr="00897995">
          <w:rPr>
            <w:webHidden/>
          </w:rPr>
        </w:r>
        <w:r w:rsidR="00897995" w:rsidRPr="00897995">
          <w:rPr>
            <w:webHidden/>
          </w:rPr>
          <w:fldChar w:fldCharType="separate"/>
        </w:r>
        <w:r w:rsidR="004C7DEC">
          <w:rPr>
            <w:webHidden/>
          </w:rPr>
          <w:t>87</w:t>
        </w:r>
        <w:r w:rsidR="00897995" w:rsidRPr="00897995">
          <w:rPr>
            <w:webHidden/>
          </w:rPr>
          <w:fldChar w:fldCharType="end"/>
        </w:r>
      </w:hyperlink>
    </w:p>
    <w:p w14:paraId="0134CF7D" w14:textId="6472A83D" w:rsidR="00897995" w:rsidRPr="00897995" w:rsidRDefault="00A65AAD" w:rsidP="00897995">
      <w:pPr>
        <w:pStyle w:val="TOC1"/>
        <w:rPr>
          <w:rFonts w:asciiTheme="minorHAnsi" w:eastAsiaTheme="minorEastAsia" w:hAnsiTheme="minorHAnsi" w:cstheme="minorBidi"/>
          <w:sz w:val="22"/>
          <w:szCs w:val="22"/>
          <w:lang w:eastAsia="en-GB"/>
        </w:rPr>
      </w:pPr>
      <w:hyperlink w:anchor="_Toc532812506" w:history="1">
        <w:r w:rsidR="00897995" w:rsidRPr="00897995">
          <w:rPr>
            <w:rStyle w:val="Hyperlink"/>
            <w:rFonts w:cs="Calibri"/>
          </w:rPr>
          <w:t>Table 7.2A</w:t>
        </w:r>
        <w:r w:rsidR="00897995" w:rsidRPr="00897995">
          <w:rPr>
            <w:rFonts w:asciiTheme="minorHAnsi" w:eastAsiaTheme="minorEastAsia" w:hAnsiTheme="minorHAnsi" w:cstheme="minorBidi"/>
            <w:sz w:val="22"/>
            <w:szCs w:val="22"/>
            <w:lang w:eastAsia="en-GB"/>
          </w:rPr>
          <w:tab/>
        </w:r>
        <w:r w:rsidR="00897995" w:rsidRPr="00897995">
          <w:rPr>
            <w:rStyle w:val="Hyperlink"/>
            <w:rFonts w:cs="Calibri"/>
          </w:rPr>
          <w:t>Change in number of households by age group 2014-2032</w:t>
        </w:r>
        <w:r w:rsidR="00897995" w:rsidRPr="00897995">
          <w:rPr>
            <w:webHidden/>
          </w:rPr>
          <w:tab/>
        </w:r>
        <w:r w:rsidR="00897995" w:rsidRPr="00897995">
          <w:rPr>
            <w:webHidden/>
          </w:rPr>
          <w:fldChar w:fldCharType="begin"/>
        </w:r>
        <w:r w:rsidR="00897995" w:rsidRPr="00897995">
          <w:rPr>
            <w:webHidden/>
          </w:rPr>
          <w:instrText xml:space="preserve"> PAGEREF _Toc532812506 \h </w:instrText>
        </w:r>
        <w:r w:rsidR="00897995" w:rsidRPr="00897995">
          <w:rPr>
            <w:webHidden/>
          </w:rPr>
        </w:r>
        <w:r w:rsidR="00897995" w:rsidRPr="00897995">
          <w:rPr>
            <w:webHidden/>
          </w:rPr>
          <w:fldChar w:fldCharType="separate"/>
        </w:r>
        <w:r w:rsidR="004C7DEC">
          <w:rPr>
            <w:webHidden/>
          </w:rPr>
          <w:t>89</w:t>
        </w:r>
        <w:r w:rsidR="00897995" w:rsidRPr="00897995">
          <w:rPr>
            <w:webHidden/>
          </w:rPr>
          <w:fldChar w:fldCharType="end"/>
        </w:r>
      </w:hyperlink>
    </w:p>
    <w:p w14:paraId="6208AA20" w14:textId="109457BC" w:rsidR="00897995" w:rsidRPr="00897995" w:rsidRDefault="00A65AAD" w:rsidP="00897995">
      <w:pPr>
        <w:pStyle w:val="TOC1"/>
        <w:rPr>
          <w:rFonts w:asciiTheme="minorHAnsi" w:eastAsiaTheme="minorEastAsia" w:hAnsiTheme="minorHAnsi" w:cstheme="minorBidi"/>
          <w:sz w:val="22"/>
          <w:szCs w:val="22"/>
          <w:lang w:eastAsia="en-GB"/>
        </w:rPr>
      </w:pPr>
      <w:hyperlink w:anchor="_Toc532812507" w:history="1">
        <w:r w:rsidR="00897995" w:rsidRPr="00897995">
          <w:rPr>
            <w:rStyle w:val="Hyperlink"/>
            <w:rFonts w:cs="Calibri"/>
          </w:rPr>
          <w:t>Table 7.2B</w:t>
        </w:r>
        <w:r w:rsidR="00897995" w:rsidRPr="00897995">
          <w:rPr>
            <w:rFonts w:asciiTheme="minorHAnsi" w:eastAsiaTheme="minorEastAsia" w:hAnsiTheme="minorHAnsi" w:cstheme="minorBidi"/>
            <w:sz w:val="22"/>
            <w:szCs w:val="22"/>
            <w:lang w:eastAsia="en-GB"/>
          </w:rPr>
          <w:tab/>
        </w:r>
        <w:r w:rsidR="00897995" w:rsidRPr="00897995">
          <w:rPr>
            <w:rStyle w:val="Hyperlink"/>
            <w:rFonts w:cs="Calibri"/>
          </w:rPr>
          <w:t>Change in number of households 2014-2032</w:t>
        </w:r>
        <w:r w:rsidR="00897995" w:rsidRPr="00897995">
          <w:rPr>
            <w:webHidden/>
          </w:rPr>
          <w:tab/>
        </w:r>
        <w:r w:rsidR="00897995" w:rsidRPr="00897995">
          <w:rPr>
            <w:webHidden/>
          </w:rPr>
          <w:fldChar w:fldCharType="begin"/>
        </w:r>
        <w:r w:rsidR="00897995" w:rsidRPr="00897995">
          <w:rPr>
            <w:webHidden/>
          </w:rPr>
          <w:instrText xml:space="preserve"> PAGEREF _Toc532812507 \h </w:instrText>
        </w:r>
        <w:r w:rsidR="00897995" w:rsidRPr="00897995">
          <w:rPr>
            <w:webHidden/>
          </w:rPr>
        </w:r>
        <w:r w:rsidR="00897995" w:rsidRPr="00897995">
          <w:rPr>
            <w:webHidden/>
          </w:rPr>
          <w:fldChar w:fldCharType="separate"/>
        </w:r>
        <w:r w:rsidR="004C7DEC">
          <w:rPr>
            <w:webHidden/>
          </w:rPr>
          <w:t>90</w:t>
        </w:r>
        <w:r w:rsidR="00897995" w:rsidRPr="00897995">
          <w:rPr>
            <w:webHidden/>
          </w:rPr>
          <w:fldChar w:fldCharType="end"/>
        </w:r>
      </w:hyperlink>
    </w:p>
    <w:p w14:paraId="017384EB" w14:textId="39F41383" w:rsidR="00897995" w:rsidRPr="00897995" w:rsidRDefault="00A65AAD" w:rsidP="00897995">
      <w:pPr>
        <w:pStyle w:val="TOC1"/>
        <w:rPr>
          <w:rFonts w:asciiTheme="minorHAnsi" w:eastAsiaTheme="minorEastAsia" w:hAnsiTheme="minorHAnsi" w:cstheme="minorBidi"/>
          <w:sz w:val="22"/>
          <w:szCs w:val="22"/>
          <w:lang w:eastAsia="en-GB"/>
        </w:rPr>
      </w:pPr>
      <w:hyperlink w:anchor="_Toc532812508" w:history="1">
        <w:r w:rsidR="00897995" w:rsidRPr="00897995">
          <w:rPr>
            <w:rStyle w:val="Hyperlink"/>
          </w:rPr>
          <w:t>Table 7.3</w:t>
        </w:r>
        <w:r w:rsidR="00897995" w:rsidRPr="00897995">
          <w:rPr>
            <w:rFonts w:asciiTheme="minorHAnsi" w:eastAsiaTheme="minorEastAsia" w:hAnsiTheme="minorHAnsi" w:cstheme="minorBidi"/>
            <w:sz w:val="22"/>
            <w:szCs w:val="22"/>
            <w:lang w:eastAsia="en-GB"/>
          </w:rPr>
          <w:tab/>
        </w:r>
        <w:r w:rsidR="00897995" w:rsidRPr="00897995">
          <w:rPr>
            <w:rStyle w:val="Hyperlink"/>
          </w:rPr>
          <w:t>Impact of change in households by age group on dwellings occupied</w:t>
        </w:r>
        <w:r w:rsidR="00897995" w:rsidRPr="00897995">
          <w:rPr>
            <w:webHidden/>
          </w:rPr>
          <w:tab/>
        </w:r>
        <w:r w:rsidR="00897995" w:rsidRPr="00897995">
          <w:rPr>
            <w:webHidden/>
          </w:rPr>
          <w:fldChar w:fldCharType="begin"/>
        </w:r>
        <w:r w:rsidR="00897995" w:rsidRPr="00897995">
          <w:rPr>
            <w:webHidden/>
          </w:rPr>
          <w:instrText xml:space="preserve"> PAGEREF _Toc532812508 \h </w:instrText>
        </w:r>
        <w:r w:rsidR="00897995" w:rsidRPr="00897995">
          <w:rPr>
            <w:webHidden/>
          </w:rPr>
        </w:r>
        <w:r w:rsidR="00897995" w:rsidRPr="00897995">
          <w:rPr>
            <w:webHidden/>
          </w:rPr>
          <w:fldChar w:fldCharType="separate"/>
        </w:r>
        <w:r w:rsidR="004C7DEC">
          <w:rPr>
            <w:webHidden/>
          </w:rPr>
          <w:t>90</w:t>
        </w:r>
        <w:r w:rsidR="00897995" w:rsidRPr="00897995">
          <w:rPr>
            <w:webHidden/>
          </w:rPr>
          <w:fldChar w:fldCharType="end"/>
        </w:r>
      </w:hyperlink>
    </w:p>
    <w:p w14:paraId="47BECA8B" w14:textId="3CD4E60C" w:rsidR="00897995" w:rsidRDefault="00A65AAD" w:rsidP="00897995">
      <w:pPr>
        <w:pStyle w:val="TOC1"/>
        <w:rPr>
          <w:rFonts w:asciiTheme="minorHAnsi" w:eastAsiaTheme="minorEastAsia" w:hAnsiTheme="minorHAnsi" w:cstheme="minorBidi"/>
          <w:sz w:val="22"/>
          <w:szCs w:val="22"/>
          <w:lang w:eastAsia="en-GB"/>
        </w:rPr>
      </w:pPr>
      <w:hyperlink w:anchor="_Toc532812509" w:history="1">
        <w:r w:rsidR="00897995" w:rsidRPr="00897995">
          <w:rPr>
            <w:rStyle w:val="Hyperlink"/>
          </w:rPr>
          <w:t>Table 7.4</w:t>
        </w:r>
        <w:r w:rsidR="00897995" w:rsidRPr="00897995">
          <w:rPr>
            <w:rFonts w:asciiTheme="minorHAnsi" w:eastAsiaTheme="minorEastAsia" w:hAnsiTheme="minorHAnsi" w:cstheme="minorBidi"/>
            <w:sz w:val="22"/>
            <w:szCs w:val="22"/>
            <w:lang w:eastAsia="en-GB"/>
          </w:rPr>
          <w:tab/>
        </w:r>
        <w:r w:rsidR="00897995" w:rsidRPr="00897995">
          <w:rPr>
            <w:rStyle w:val="Hyperlink"/>
          </w:rPr>
          <w:t>Impact of change in households by age group on dwellings occupied</w:t>
        </w:r>
        <w:r w:rsidR="00897995" w:rsidRPr="00897995">
          <w:rPr>
            <w:webHidden/>
          </w:rPr>
          <w:tab/>
        </w:r>
        <w:r w:rsidR="00897995" w:rsidRPr="00897995">
          <w:rPr>
            <w:webHidden/>
          </w:rPr>
          <w:fldChar w:fldCharType="begin"/>
        </w:r>
        <w:r w:rsidR="00897995" w:rsidRPr="00897995">
          <w:rPr>
            <w:webHidden/>
          </w:rPr>
          <w:instrText xml:space="preserve"> PAGEREF _Toc532812509 \h </w:instrText>
        </w:r>
        <w:r w:rsidR="00897995" w:rsidRPr="00897995">
          <w:rPr>
            <w:webHidden/>
          </w:rPr>
        </w:r>
        <w:r w:rsidR="00897995" w:rsidRPr="00897995">
          <w:rPr>
            <w:webHidden/>
          </w:rPr>
          <w:fldChar w:fldCharType="separate"/>
        </w:r>
        <w:r w:rsidR="004C7DEC">
          <w:rPr>
            <w:webHidden/>
          </w:rPr>
          <w:t>91</w:t>
        </w:r>
        <w:r w:rsidR="00897995" w:rsidRPr="00897995">
          <w:rPr>
            <w:webHidden/>
          </w:rPr>
          <w:fldChar w:fldCharType="end"/>
        </w:r>
      </w:hyperlink>
    </w:p>
    <w:p w14:paraId="7D6CFF8D" w14:textId="5A67E8EE" w:rsidR="00897995" w:rsidRDefault="00A65AAD" w:rsidP="00897995">
      <w:pPr>
        <w:pStyle w:val="TOC1"/>
        <w:rPr>
          <w:rFonts w:asciiTheme="minorHAnsi" w:eastAsiaTheme="minorEastAsia" w:hAnsiTheme="minorHAnsi" w:cstheme="minorBidi"/>
          <w:sz w:val="22"/>
          <w:szCs w:val="22"/>
          <w:lang w:eastAsia="en-GB"/>
        </w:rPr>
      </w:pPr>
      <w:hyperlink w:anchor="_Toc532812510" w:history="1">
        <w:r w:rsidR="00897995" w:rsidRPr="00F47C71">
          <w:rPr>
            <w:rStyle w:val="Hyperlink"/>
          </w:rPr>
          <w:t>Table 7.5</w:t>
        </w:r>
        <w:r w:rsidR="00897995">
          <w:rPr>
            <w:rFonts w:asciiTheme="minorHAnsi" w:eastAsiaTheme="minorEastAsia" w:hAnsiTheme="minorHAnsi" w:cstheme="minorBidi"/>
            <w:sz w:val="22"/>
            <w:szCs w:val="22"/>
            <w:lang w:eastAsia="en-GB"/>
          </w:rPr>
          <w:tab/>
        </w:r>
        <w:r w:rsidR="00897995" w:rsidRPr="00F47C71">
          <w:rPr>
            <w:rStyle w:val="Hyperlink"/>
          </w:rPr>
          <w:t>Summary of dwelling mix required by broad tenure group based on annual need</w:t>
        </w:r>
        <w:r w:rsidR="00897995">
          <w:rPr>
            <w:webHidden/>
          </w:rPr>
          <w:tab/>
        </w:r>
        <w:r w:rsidR="00897995">
          <w:rPr>
            <w:webHidden/>
          </w:rPr>
          <w:fldChar w:fldCharType="begin"/>
        </w:r>
        <w:r w:rsidR="00897995">
          <w:rPr>
            <w:webHidden/>
          </w:rPr>
          <w:instrText xml:space="preserve"> PAGEREF _Toc532812510 \h </w:instrText>
        </w:r>
        <w:r w:rsidR="00897995">
          <w:rPr>
            <w:webHidden/>
          </w:rPr>
        </w:r>
        <w:r w:rsidR="00897995">
          <w:rPr>
            <w:webHidden/>
          </w:rPr>
          <w:fldChar w:fldCharType="separate"/>
        </w:r>
        <w:r w:rsidR="004C7DEC">
          <w:rPr>
            <w:webHidden/>
          </w:rPr>
          <w:t>92</w:t>
        </w:r>
        <w:r w:rsidR="00897995">
          <w:rPr>
            <w:webHidden/>
          </w:rPr>
          <w:fldChar w:fldCharType="end"/>
        </w:r>
      </w:hyperlink>
    </w:p>
    <w:p w14:paraId="5994AD59" w14:textId="0AE61662" w:rsidR="00897995" w:rsidRDefault="00A65AAD" w:rsidP="00897995">
      <w:pPr>
        <w:pStyle w:val="TOC1"/>
        <w:rPr>
          <w:rFonts w:asciiTheme="minorHAnsi" w:eastAsiaTheme="minorEastAsia" w:hAnsiTheme="minorHAnsi" w:cstheme="minorBidi"/>
          <w:sz w:val="22"/>
          <w:szCs w:val="22"/>
          <w:lang w:eastAsia="en-GB"/>
        </w:rPr>
      </w:pPr>
      <w:hyperlink w:anchor="_Toc532812511" w:history="1">
        <w:r w:rsidR="00897995" w:rsidRPr="00F47C71">
          <w:rPr>
            <w:rStyle w:val="Hyperlink"/>
          </w:rPr>
          <w:t>Table 7.6</w:t>
        </w:r>
        <w:r w:rsidR="00897995">
          <w:rPr>
            <w:rFonts w:asciiTheme="minorHAnsi" w:eastAsiaTheme="minorEastAsia" w:hAnsiTheme="minorHAnsi" w:cstheme="minorBidi"/>
            <w:sz w:val="22"/>
            <w:szCs w:val="22"/>
            <w:lang w:eastAsia="en-GB"/>
          </w:rPr>
          <w:tab/>
        </w:r>
        <w:r w:rsidR="00897995" w:rsidRPr="00F47C71">
          <w:rPr>
            <w:rStyle w:val="Hyperlink"/>
          </w:rPr>
          <w:t>Assumptions regarding the profile of affordable dwellings by no. bedrooms and dwelling type</w:t>
        </w:r>
        <w:r w:rsidR="00897995">
          <w:rPr>
            <w:webHidden/>
          </w:rPr>
          <w:tab/>
        </w:r>
        <w:r w:rsidR="00897995">
          <w:rPr>
            <w:webHidden/>
          </w:rPr>
          <w:fldChar w:fldCharType="begin"/>
        </w:r>
        <w:r w:rsidR="00897995">
          <w:rPr>
            <w:webHidden/>
          </w:rPr>
          <w:instrText xml:space="preserve"> PAGEREF _Toc532812511 \h </w:instrText>
        </w:r>
        <w:r w:rsidR="00897995">
          <w:rPr>
            <w:webHidden/>
          </w:rPr>
        </w:r>
        <w:r w:rsidR="00897995">
          <w:rPr>
            <w:webHidden/>
          </w:rPr>
          <w:fldChar w:fldCharType="separate"/>
        </w:r>
        <w:r w:rsidR="004C7DEC">
          <w:rPr>
            <w:webHidden/>
          </w:rPr>
          <w:t>92</w:t>
        </w:r>
        <w:r w:rsidR="00897995">
          <w:rPr>
            <w:webHidden/>
          </w:rPr>
          <w:fldChar w:fldCharType="end"/>
        </w:r>
      </w:hyperlink>
    </w:p>
    <w:p w14:paraId="37CB032D" w14:textId="0B461E93" w:rsidR="00897995" w:rsidRDefault="00A65AAD" w:rsidP="00897995">
      <w:pPr>
        <w:pStyle w:val="TOC1"/>
        <w:rPr>
          <w:rFonts w:asciiTheme="minorHAnsi" w:eastAsiaTheme="minorEastAsia" w:hAnsiTheme="minorHAnsi" w:cstheme="minorBidi"/>
          <w:sz w:val="22"/>
          <w:szCs w:val="22"/>
          <w:lang w:eastAsia="en-GB"/>
        </w:rPr>
      </w:pPr>
      <w:hyperlink w:anchor="_Toc532812512" w:history="1">
        <w:r w:rsidR="00897995" w:rsidRPr="00F47C71">
          <w:rPr>
            <w:rStyle w:val="Hyperlink"/>
          </w:rPr>
          <w:t>Table 7.7</w:t>
        </w:r>
        <w:r w:rsidR="00897995">
          <w:rPr>
            <w:rFonts w:asciiTheme="minorHAnsi" w:eastAsiaTheme="minorEastAsia" w:hAnsiTheme="minorHAnsi" w:cstheme="minorBidi"/>
            <w:sz w:val="22"/>
            <w:szCs w:val="22"/>
            <w:lang w:eastAsia="en-GB"/>
          </w:rPr>
          <w:tab/>
        </w:r>
        <w:r w:rsidR="00897995" w:rsidRPr="00F47C71">
          <w:rPr>
            <w:rStyle w:val="Hyperlink"/>
          </w:rPr>
          <w:t>Current dwelling stock by HMA and comparison with dwelling mix analysis</w:t>
        </w:r>
        <w:r w:rsidR="00897995">
          <w:rPr>
            <w:webHidden/>
          </w:rPr>
          <w:tab/>
        </w:r>
        <w:r w:rsidR="00897995">
          <w:rPr>
            <w:webHidden/>
          </w:rPr>
          <w:tab/>
        </w:r>
        <w:r w:rsidR="00897995">
          <w:rPr>
            <w:webHidden/>
          </w:rPr>
          <w:fldChar w:fldCharType="begin"/>
        </w:r>
        <w:r w:rsidR="00897995">
          <w:rPr>
            <w:webHidden/>
          </w:rPr>
          <w:instrText xml:space="preserve"> PAGEREF _Toc532812512 \h </w:instrText>
        </w:r>
        <w:r w:rsidR="00897995">
          <w:rPr>
            <w:webHidden/>
          </w:rPr>
        </w:r>
        <w:r w:rsidR="00897995">
          <w:rPr>
            <w:webHidden/>
          </w:rPr>
          <w:fldChar w:fldCharType="separate"/>
        </w:r>
        <w:r w:rsidR="004C7DEC">
          <w:rPr>
            <w:webHidden/>
          </w:rPr>
          <w:t>94</w:t>
        </w:r>
        <w:r w:rsidR="00897995">
          <w:rPr>
            <w:webHidden/>
          </w:rPr>
          <w:fldChar w:fldCharType="end"/>
        </w:r>
      </w:hyperlink>
    </w:p>
    <w:p w14:paraId="0245B902" w14:textId="21B7567C" w:rsidR="00897995" w:rsidRDefault="00A65AAD" w:rsidP="00897995">
      <w:pPr>
        <w:pStyle w:val="TOC1"/>
        <w:rPr>
          <w:rFonts w:asciiTheme="minorHAnsi" w:eastAsiaTheme="minorEastAsia" w:hAnsiTheme="minorHAnsi" w:cstheme="minorBidi"/>
          <w:sz w:val="22"/>
          <w:szCs w:val="22"/>
          <w:lang w:eastAsia="en-GB"/>
        </w:rPr>
      </w:pPr>
      <w:hyperlink w:anchor="_Toc532812513" w:history="1">
        <w:r w:rsidR="00897995" w:rsidRPr="00F47C71">
          <w:rPr>
            <w:rStyle w:val="Hyperlink"/>
            <w:lang w:eastAsia="en-GB"/>
          </w:rPr>
          <w:t>Table A1</w:t>
        </w:r>
        <w:r w:rsidR="00897995">
          <w:rPr>
            <w:rFonts w:asciiTheme="minorHAnsi" w:eastAsiaTheme="minorEastAsia" w:hAnsiTheme="minorHAnsi" w:cstheme="minorBidi"/>
            <w:sz w:val="22"/>
            <w:szCs w:val="22"/>
            <w:lang w:eastAsia="en-GB"/>
          </w:rPr>
          <w:tab/>
        </w:r>
        <w:r w:rsidR="00897995" w:rsidRPr="00F47C71">
          <w:rPr>
            <w:rStyle w:val="Hyperlink"/>
            <w:lang w:eastAsia="en-GB"/>
          </w:rPr>
          <w:t xml:space="preserve">Household Survey sample </w:t>
        </w:r>
        <w:r w:rsidR="00897995" w:rsidRPr="00F47C71">
          <w:rPr>
            <w:rStyle w:val="Hyperlink"/>
          </w:rPr>
          <w:t>information</w:t>
        </w:r>
        <w:r w:rsidR="00897995">
          <w:rPr>
            <w:webHidden/>
          </w:rPr>
          <w:tab/>
        </w:r>
        <w:r w:rsidR="00897995">
          <w:rPr>
            <w:webHidden/>
          </w:rPr>
          <w:fldChar w:fldCharType="begin"/>
        </w:r>
        <w:r w:rsidR="00897995">
          <w:rPr>
            <w:webHidden/>
          </w:rPr>
          <w:instrText xml:space="preserve"> PAGEREF _Toc532812513 \h </w:instrText>
        </w:r>
        <w:r w:rsidR="00897995">
          <w:rPr>
            <w:webHidden/>
          </w:rPr>
        </w:r>
        <w:r w:rsidR="00897995">
          <w:rPr>
            <w:webHidden/>
          </w:rPr>
          <w:fldChar w:fldCharType="separate"/>
        </w:r>
        <w:r w:rsidR="004C7DEC">
          <w:rPr>
            <w:webHidden/>
          </w:rPr>
          <w:t>100</w:t>
        </w:r>
        <w:r w:rsidR="00897995">
          <w:rPr>
            <w:webHidden/>
          </w:rPr>
          <w:fldChar w:fldCharType="end"/>
        </w:r>
      </w:hyperlink>
    </w:p>
    <w:p w14:paraId="47D7252B" w14:textId="0F8D58D3" w:rsidR="00897995" w:rsidRDefault="00A65AAD" w:rsidP="00897995">
      <w:pPr>
        <w:pStyle w:val="TOC1"/>
        <w:rPr>
          <w:rFonts w:asciiTheme="minorHAnsi" w:eastAsiaTheme="minorEastAsia" w:hAnsiTheme="minorHAnsi" w:cstheme="minorBidi"/>
          <w:sz w:val="22"/>
          <w:szCs w:val="22"/>
          <w:lang w:eastAsia="en-GB"/>
        </w:rPr>
      </w:pPr>
      <w:hyperlink w:anchor="_Toc532812514" w:history="1">
        <w:r w:rsidR="00897995" w:rsidRPr="00F47C71">
          <w:rPr>
            <w:rStyle w:val="Hyperlink"/>
            <w:lang w:eastAsia="en-GB"/>
          </w:rPr>
          <w:t>Table A2</w:t>
        </w:r>
        <w:r w:rsidR="00897995">
          <w:rPr>
            <w:rFonts w:asciiTheme="minorHAnsi" w:eastAsiaTheme="minorEastAsia" w:hAnsiTheme="minorHAnsi" w:cstheme="minorBidi"/>
            <w:sz w:val="22"/>
            <w:szCs w:val="22"/>
            <w:lang w:eastAsia="en-GB"/>
          </w:rPr>
          <w:tab/>
        </w:r>
        <w:r w:rsidR="00897995" w:rsidRPr="00F47C71">
          <w:rPr>
            <w:rStyle w:val="Hyperlink"/>
          </w:rPr>
          <w:t>Housing</w:t>
        </w:r>
        <w:r w:rsidR="00897995" w:rsidRPr="00F47C71">
          <w:rPr>
            <w:rStyle w:val="Hyperlink"/>
            <w:lang w:eastAsia="en-GB"/>
          </w:rPr>
          <w:t xml:space="preserve"> Market </w:t>
        </w:r>
        <w:r w:rsidR="00897995" w:rsidRPr="00F47C71">
          <w:rPr>
            <w:rStyle w:val="Hyperlink"/>
          </w:rPr>
          <w:t>Areas</w:t>
        </w:r>
        <w:r w:rsidR="00897995" w:rsidRPr="00F47C71">
          <w:rPr>
            <w:rStyle w:val="Hyperlink"/>
            <w:lang w:eastAsia="en-GB"/>
          </w:rPr>
          <w:t xml:space="preserve"> and constituent wards and parishes</w:t>
        </w:r>
        <w:r w:rsidR="00897995">
          <w:rPr>
            <w:webHidden/>
          </w:rPr>
          <w:tab/>
        </w:r>
        <w:r w:rsidR="00897995">
          <w:rPr>
            <w:webHidden/>
          </w:rPr>
          <w:fldChar w:fldCharType="begin"/>
        </w:r>
        <w:r w:rsidR="00897995">
          <w:rPr>
            <w:webHidden/>
          </w:rPr>
          <w:instrText xml:space="preserve"> PAGEREF _Toc532812514 \h </w:instrText>
        </w:r>
        <w:r w:rsidR="00897995">
          <w:rPr>
            <w:webHidden/>
          </w:rPr>
        </w:r>
        <w:r w:rsidR="00897995">
          <w:rPr>
            <w:webHidden/>
          </w:rPr>
          <w:fldChar w:fldCharType="separate"/>
        </w:r>
        <w:r w:rsidR="004C7DEC">
          <w:rPr>
            <w:webHidden/>
          </w:rPr>
          <w:t>102</w:t>
        </w:r>
        <w:r w:rsidR="00897995">
          <w:rPr>
            <w:webHidden/>
          </w:rPr>
          <w:fldChar w:fldCharType="end"/>
        </w:r>
      </w:hyperlink>
    </w:p>
    <w:p w14:paraId="23B9B93E" w14:textId="47D01A53" w:rsidR="00897995" w:rsidRDefault="00A65AAD" w:rsidP="00897995">
      <w:pPr>
        <w:pStyle w:val="TOC1"/>
        <w:rPr>
          <w:rFonts w:asciiTheme="minorHAnsi" w:eastAsiaTheme="minorEastAsia" w:hAnsiTheme="minorHAnsi" w:cstheme="minorBidi"/>
          <w:sz w:val="22"/>
          <w:szCs w:val="22"/>
          <w:lang w:eastAsia="en-GB"/>
        </w:rPr>
      </w:pPr>
      <w:hyperlink w:anchor="_Toc532812515" w:history="1">
        <w:r w:rsidR="00897995" w:rsidRPr="00F47C71">
          <w:rPr>
            <w:rStyle w:val="Hyperlink"/>
            <w:rFonts w:cs="Calibri"/>
          </w:rPr>
          <w:t>Table C1</w:t>
        </w:r>
        <w:r w:rsidR="00897995">
          <w:rPr>
            <w:rFonts w:asciiTheme="minorHAnsi" w:eastAsiaTheme="minorEastAsia" w:hAnsiTheme="minorHAnsi" w:cstheme="minorBidi"/>
            <w:sz w:val="22"/>
            <w:szCs w:val="22"/>
            <w:lang w:eastAsia="en-GB"/>
          </w:rPr>
          <w:tab/>
        </w:r>
        <w:r w:rsidR="00897995" w:rsidRPr="00F47C71">
          <w:rPr>
            <w:rStyle w:val="Hyperlink"/>
            <w:rFonts w:cs="Calibri"/>
          </w:rPr>
          <w:t>CLG Needs Assessment Summary for Eden District- Affordable Need Only</w:t>
        </w:r>
        <w:r w:rsidR="00897995">
          <w:rPr>
            <w:webHidden/>
          </w:rPr>
          <w:tab/>
        </w:r>
        <w:r w:rsidR="00897995">
          <w:rPr>
            <w:webHidden/>
          </w:rPr>
          <w:fldChar w:fldCharType="begin"/>
        </w:r>
        <w:r w:rsidR="00897995">
          <w:rPr>
            <w:webHidden/>
          </w:rPr>
          <w:instrText xml:space="preserve"> PAGEREF _Toc532812515 \h </w:instrText>
        </w:r>
        <w:r w:rsidR="00897995">
          <w:rPr>
            <w:webHidden/>
          </w:rPr>
        </w:r>
        <w:r w:rsidR="00897995">
          <w:rPr>
            <w:webHidden/>
          </w:rPr>
          <w:fldChar w:fldCharType="separate"/>
        </w:r>
        <w:r w:rsidR="004C7DEC">
          <w:rPr>
            <w:webHidden/>
          </w:rPr>
          <w:t>115</w:t>
        </w:r>
        <w:r w:rsidR="00897995">
          <w:rPr>
            <w:webHidden/>
          </w:rPr>
          <w:fldChar w:fldCharType="end"/>
        </w:r>
      </w:hyperlink>
    </w:p>
    <w:p w14:paraId="2704491B" w14:textId="3C4F0F00" w:rsidR="00897995" w:rsidRDefault="00A65AAD" w:rsidP="00897995">
      <w:pPr>
        <w:pStyle w:val="TOC1"/>
        <w:rPr>
          <w:rFonts w:asciiTheme="minorHAnsi" w:eastAsiaTheme="minorEastAsia" w:hAnsiTheme="minorHAnsi" w:cstheme="minorBidi"/>
          <w:sz w:val="22"/>
          <w:szCs w:val="22"/>
          <w:lang w:eastAsia="en-GB"/>
        </w:rPr>
      </w:pPr>
      <w:hyperlink w:anchor="_Toc532812516" w:history="1">
        <w:r w:rsidR="00897995" w:rsidRPr="00F47C71">
          <w:rPr>
            <w:rStyle w:val="Hyperlink"/>
          </w:rPr>
          <w:t>Table C2</w:t>
        </w:r>
        <w:r w:rsidR="00897995">
          <w:rPr>
            <w:rFonts w:asciiTheme="minorHAnsi" w:eastAsiaTheme="minorEastAsia" w:hAnsiTheme="minorHAnsi" w:cstheme="minorBidi"/>
            <w:sz w:val="22"/>
            <w:szCs w:val="22"/>
            <w:lang w:eastAsia="en-GB"/>
          </w:rPr>
          <w:tab/>
        </w:r>
        <w:r w:rsidR="00897995" w:rsidRPr="00F47C71">
          <w:rPr>
            <w:rStyle w:val="Hyperlink"/>
          </w:rPr>
          <w:t>CLG Needs Assessment Summary by housing market area</w:t>
        </w:r>
        <w:r w:rsidR="00897995">
          <w:rPr>
            <w:webHidden/>
          </w:rPr>
          <w:tab/>
        </w:r>
        <w:r w:rsidR="00897995">
          <w:rPr>
            <w:webHidden/>
          </w:rPr>
          <w:fldChar w:fldCharType="begin"/>
        </w:r>
        <w:r w:rsidR="00897995">
          <w:rPr>
            <w:webHidden/>
          </w:rPr>
          <w:instrText xml:space="preserve"> PAGEREF _Toc532812516 \h </w:instrText>
        </w:r>
        <w:r w:rsidR="00897995">
          <w:rPr>
            <w:webHidden/>
          </w:rPr>
        </w:r>
        <w:r w:rsidR="00897995">
          <w:rPr>
            <w:webHidden/>
          </w:rPr>
          <w:fldChar w:fldCharType="separate"/>
        </w:r>
        <w:r w:rsidR="004C7DEC">
          <w:rPr>
            <w:webHidden/>
          </w:rPr>
          <w:t>116</w:t>
        </w:r>
        <w:r w:rsidR="00897995">
          <w:rPr>
            <w:webHidden/>
          </w:rPr>
          <w:fldChar w:fldCharType="end"/>
        </w:r>
      </w:hyperlink>
    </w:p>
    <w:p w14:paraId="6A755285" w14:textId="1AAFD812" w:rsidR="00897995" w:rsidRDefault="00A65AAD" w:rsidP="00897995">
      <w:pPr>
        <w:pStyle w:val="TOC1"/>
        <w:rPr>
          <w:rFonts w:asciiTheme="minorHAnsi" w:eastAsiaTheme="minorEastAsia" w:hAnsiTheme="minorHAnsi" w:cstheme="minorBidi"/>
          <w:sz w:val="22"/>
          <w:szCs w:val="22"/>
          <w:lang w:eastAsia="en-GB"/>
        </w:rPr>
      </w:pPr>
      <w:hyperlink w:anchor="_Toc532812517" w:history="1">
        <w:r w:rsidR="00897995" w:rsidRPr="00F47C71">
          <w:rPr>
            <w:rStyle w:val="Hyperlink"/>
          </w:rPr>
          <w:t>Table C3</w:t>
        </w:r>
        <w:r w:rsidR="00897995">
          <w:rPr>
            <w:rFonts w:asciiTheme="minorHAnsi" w:eastAsiaTheme="minorEastAsia" w:hAnsiTheme="minorHAnsi" w:cstheme="minorBidi"/>
            <w:sz w:val="22"/>
            <w:szCs w:val="22"/>
            <w:lang w:eastAsia="en-GB"/>
          </w:rPr>
          <w:tab/>
        </w:r>
        <w:r w:rsidR="00897995" w:rsidRPr="00F47C71">
          <w:rPr>
            <w:rStyle w:val="Hyperlink"/>
          </w:rPr>
          <w:t>Homeless decisions 2012/13 to 2016/17</w:t>
        </w:r>
        <w:r w:rsidR="00897995">
          <w:rPr>
            <w:webHidden/>
          </w:rPr>
          <w:tab/>
        </w:r>
        <w:r w:rsidR="00897995">
          <w:rPr>
            <w:webHidden/>
          </w:rPr>
          <w:fldChar w:fldCharType="begin"/>
        </w:r>
        <w:r w:rsidR="00897995">
          <w:rPr>
            <w:webHidden/>
          </w:rPr>
          <w:instrText xml:space="preserve"> PAGEREF _Toc532812517 \h </w:instrText>
        </w:r>
        <w:r w:rsidR="00897995">
          <w:rPr>
            <w:webHidden/>
          </w:rPr>
        </w:r>
        <w:r w:rsidR="00897995">
          <w:rPr>
            <w:webHidden/>
          </w:rPr>
          <w:fldChar w:fldCharType="separate"/>
        </w:r>
        <w:r w:rsidR="004C7DEC">
          <w:rPr>
            <w:webHidden/>
          </w:rPr>
          <w:t>117</w:t>
        </w:r>
        <w:r w:rsidR="00897995">
          <w:rPr>
            <w:webHidden/>
          </w:rPr>
          <w:fldChar w:fldCharType="end"/>
        </w:r>
      </w:hyperlink>
    </w:p>
    <w:p w14:paraId="31EB9D9F" w14:textId="72C26DEC" w:rsidR="00897995" w:rsidRDefault="00A65AAD" w:rsidP="00897995">
      <w:pPr>
        <w:pStyle w:val="TOC1"/>
        <w:rPr>
          <w:rFonts w:asciiTheme="minorHAnsi" w:eastAsiaTheme="minorEastAsia" w:hAnsiTheme="minorHAnsi" w:cstheme="minorBidi"/>
          <w:sz w:val="22"/>
          <w:szCs w:val="22"/>
          <w:lang w:eastAsia="en-GB"/>
        </w:rPr>
      </w:pPr>
      <w:hyperlink w:anchor="_Toc532812518" w:history="1">
        <w:r w:rsidR="00897995" w:rsidRPr="00F47C71">
          <w:rPr>
            <w:rStyle w:val="Hyperlink"/>
          </w:rPr>
          <w:t>Table C4</w:t>
        </w:r>
        <w:r w:rsidR="00897995">
          <w:rPr>
            <w:rFonts w:asciiTheme="minorHAnsi" w:eastAsiaTheme="minorEastAsia" w:hAnsiTheme="minorHAnsi" w:cstheme="minorBidi"/>
            <w:sz w:val="22"/>
            <w:szCs w:val="22"/>
            <w:lang w:eastAsia="en-GB"/>
          </w:rPr>
          <w:tab/>
        </w:r>
        <w:r w:rsidR="00897995" w:rsidRPr="00F47C71">
          <w:rPr>
            <w:rStyle w:val="Hyperlink"/>
          </w:rPr>
          <w:t>Summary of current housing need across Eden District</w:t>
        </w:r>
        <w:r w:rsidR="00897995">
          <w:rPr>
            <w:webHidden/>
          </w:rPr>
          <w:tab/>
        </w:r>
        <w:r w:rsidR="00897995">
          <w:rPr>
            <w:webHidden/>
          </w:rPr>
          <w:fldChar w:fldCharType="begin"/>
        </w:r>
        <w:r w:rsidR="00897995">
          <w:rPr>
            <w:webHidden/>
          </w:rPr>
          <w:instrText xml:space="preserve"> PAGEREF _Toc532812518 \h </w:instrText>
        </w:r>
        <w:r w:rsidR="00897995">
          <w:rPr>
            <w:webHidden/>
          </w:rPr>
        </w:r>
        <w:r w:rsidR="00897995">
          <w:rPr>
            <w:webHidden/>
          </w:rPr>
          <w:fldChar w:fldCharType="separate"/>
        </w:r>
        <w:r w:rsidR="004C7DEC">
          <w:rPr>
            <w:webHidden/>
          </w:rPr>
          <w:t>118</w:t>
        </w:r>
        <w:r w:rsidR="00897995">
          <w:rPr>
            <w:webHidden/>
          </w:rPr>
          <w:fldChar w:fldCharType="end"/>
        </w:r>
      </w:hyperlink>
    </w:p>
    <w:p w14:paraId="370AA66B" w14:textId="34818587" w:rsidR="00897995" w:rsidRDefault="00A65AAD" w:rsidP="00897995">
      <w:pPr>
        <w:pStyle w:val="TOC1"/>
        <w:rPr>
          <w:rFonts w:asciiTheme="minorHAnsi" w:eastAsiaTheme="minorEastAsia" w:hAnsiTheme="minorHAnsi" w:cstheme="minorBidi"/>
          <w:sz w:val="22"/>
          <w:szCs w:val="22"/>
          <w:lang w:eastAsia="en-GB"/>
        </w:rPr>
      </w:pPr>
      <w:hyperlink w:anchor="_Toc532812519" w:history="1">
        <w:r w:rsidR="00897995" w:rsidRPr="00F47C71">
          <w:rPr>
            <w:rStyle w:val="Hyperlink"/>
          </w:rPr>
          <w:t>Table C5</w:t>
        </w:r>
        <w:r w:rsidR="00897995">
          <w:rPr>
            <w:rFonts w:asciiTheme="minorHAnsi" w:eastAsiaTheme="minorEastAsia" w:hAnsiTheme="minorHAnsi" w:cstheme="minorBidi"/>
            <w:sz w:val="22"/>
            <w:szCs w:val="22"/>
            <w:lang w:eastAsia="en-GB"/>
          </w:rPr>
          <w:tab/>
        </w:r>
        <w:r w:rsidR="00897995" w:rsidRPr="00F47C71">
          <w:rPr>
            <w:rStyle w:val="Hyperlink"/>
          </w:rPr>
          <w:t>Summary of current need by housing market area</w:t>
        </w:r>
        <w:r w:rsidR="00897995">
          <w:rPr>
            <w:webHidden/>
          </w:rPr>
          <w:tab/>
        </w:r>
        <w:r w:rsidR="00897995">
          <w:rPr>
            <w:webHidden/>
          </w:rPr>
          <w:fldChar w:fldCharType="begin"/>
        </w:r>
        <w:r w:rsidR="00897995">
          <w:rPr>
            <w:webHidden/>
          </w:rPr>
          <w:instrText xml:space="preserve"> PAGEREF _Toc532812519 \h </w:instrText>
        </w:r>
        <w:r w:rsidR="00897995">
          <w:rPr>
            <w:webHidden/>
          </w:rPr>
        </w:r>
        <w:r w:rsidR="00897995">
          <w:rPr>
            <w:webHidden/>
          </w:rPr>
          <w:fldChar w:fldCharType="separate"/>
        </w:r>
        <w:r w:rsidR="004C7DEC">
          <w:rPr>
            <w:webHidden/>
          </w:rPr>
          <w:t>119</w:t>
        </w:r>
        <w:r w:rsidR="00897995">
          <w:rPr>
            <w:webHidden/>
          </w:rPr>
          <w:fldChar w:fldCharType="end"/>
        </w:r>
      </w:hyperlink>
    </w:p>
    <w:p w14:paraId="2E9F1F8E" w14:textId="3469E0B8" w:rsidR="00897995" w:rsidRDefault="00A65AAD" w:rsidP="00897995">
      <w:pPr>
        <w:pStyle w:val="TOC1"/>
        <w:rPr>
          <w:rFonts w:asciiTheme="minorHAnsi" w:eastAsiaTheme="minorEastAsia" w:hAnsiTheme="minorHAnsi" w:cstheme="minorBidi"/>
          <w:sz w:val="22"/>
          <w:szCs w:val="22"/>
          <w:lang w:eastAsia="en-GB"/>
        </w:rPr>
      </w:pPr>
      <w:hyperlink w:anchor="_Toc532812520" w:history="1">
        <w:r w:rsidR="00897995" w:rsidRPr="00F47C71">
          <w:rPr>
            <w:rStyle w:val="Hyperlink"/>
          </w:rPr>
          <w:t>Table C6</w:t>
        </w:r>
        <w:r w:rsidR="00897995">
          <w:rPr>
            <w:rFonts w:asciiTheme="minorHAnsi" w:eastAsiaTheme="minorEastAsia" w:hAnsiTheme="minorHAnsi" w:cstheme="minorBidi"/>
            <w:sz w:val="22"/>
            <w:szCs w:val="22"/>
            <w:lang w:eastAsia="en-GB"/>
          </w:rPr>
          <w:tab/>
        </w:r>
        <w:r w:rsidR="00897995" w:rsidRPr="00F47C71">
          <w:rPr>
            <w:rStyle w:val="Hyperlink"/>
          </w:rPr>
          <w:t>Median house prices and private rent levels by Housing Market Area (2017 data)</w:t>
        </w:r>
        <w:r w:rsidR="00897995">
          <w:rPr>
            <w:webHidden/>
          </w:rPr>
          <w:tab/>
        </w:r>
        <w:r w:rsidR="00897995">
          <w:rPr>
            <w:webHidden/>
          </w:rPr>
          <w:fldChar w:fldCharType="begin"/>
        </w:r>
        <w:r w:rsidR="00897995">
          <w:rPr>
            <w:webHidden/>
          </w:rPr>
          <w:instrText xml:space="preserve"> PAGEREF _Toc532812520 \h </w:instrText>
        </w:r>
        <w:r w:rsidR="00897995">
          <w:rPr>
            <w:webHidden/>
          </w:rPr>
        </w:r>
        <w:r w:rsidR="00897995">
          <w:rPr>
            <w:webHidden/>
          </w:rPr>
          <w:fldChar w:fldCharType="separate"/>
        </w:r>
        <w:r w:rsidR="004C7DEC">
          <w:rPr>
            <w:webHidden/>
          </w:rPr>
          <w:t>120</w:t>
        </w:r>
        <w:r w:rsidR="00897995">
          <w:rPr>
            <w:webHidden/>
          </w:rPr>
          <w:fldChar w:fldCharType="end"/>
        </w:r>
      </w:hyperlink>
    </w:p>
    <w:p w14:paraId="298A4568" w14:textId="386EBB25" w:rsidR="00897995" w:rsidRDefault="00A65AAD" w:rsidP="00897995">
      <w:pPr>
        <w:pStyle w:val="TOC1"/>
        <w:rPr>
          <w:rFonts w:asciiTheme="minorHAnsi" w:eastAsiaTheme="minorEastAsia" w:hAnsiTheme="minorHAnsi" w:cstheme="minorBidi"/>
          <w:sz w:val="22"/>
          <w:szCs w:val="22"/>
          <w:lang w:eastAsia="en-GB"/>
        </w:rPr>
      </w:pPr>
      <w:hyperlink w:anchor="_Toc532812521" w:history="1">
        <w:r w:rsidR="00897995" w:rsidRPr="00F47C71">
          <w:rPr>
            <w:rStyle w:val="Hyperlink"/>
          </w:rPr>
          <w:t>Table C7</w:t>
        </w:r>
        <w:r w:rsidR="00897995">
          <w:rPr>
            <w:rFonts w:asciiTheme="minorHAnsi" w:eastAsiaTheme="minorEastAsia" w:hAnsiTheme="minorHAnsi" w:cstheme="minorBidi"/>
            <w:sz w:val="22"/>
            <w:szCs w:val="22"/>
            <w:lang w:eastAsia="en-GB"/>
          </w:rPr>
          <w:tab/>
        </w:r>
        <w:r w:rsidR="00897995" w:rsidRPr="00F47C71">
          <w:rPr>
            <w:rStyle w:val="Hyperlink"/>
          </w:rPr>
          <w:t>Net annual affordable housing imbalance by housing market area, property size and designation 2018/19 to 2022/23</w:t>
        </w:r>
        <w:r w:rsidR="00897995">
          <w:rPr>
            <w:webHidden/>
          </w:rPr>
          <w:tab/>
        </w:r>
        <w:r w:rsidR="00897995">
          <w:rPr>
            <w:webHidden/>
          </w:rPr>
          <w:fldChar w:fldCharType="begin"/>
        </w:r>
        <w:r w:rsidR="00897995">
          <w:rPr>
            <w:webHidden/>
          </w:rPr>
          <w:instrText xml:space="preserve"> PAGEREF _Toc532812521 \h </w:instrText>
        </w:r>
        <w:r w:rsidR="00897995">
          <w:rPr>
            <w:webHidden/>
          </w:rPr>
        </w:r>
        <w:r w:rsidR="00897995">
          <w:rPr>
            <w:webHidden/>
          </w:rPr>
          <w:fldChar w:fldCharType="separate"/>
        </w:r>
        <w:r w:rsidR="004C7DEC">
          <w:rPr>
            <w:webHidden/>
          </w:rPr>
          <w:t>123</w:t>
        </w:r>
        <w:r w:rsidR="00897995">
          <w:rPr>
            <w:webHidden/>
          </w:rPr>
          <w:fldChar w:fldCharType="end"/>
        </w:r>
      </w:hyperlink>
    </w:p>
    <w:p w14:paraId="389570D0" w14:textId="73FDB1BA" w:rsidR="00897995" w:rsidRDefault="00A65AAD" w:rsidP="00897995">
      <w:pPr>
        <w:pStyle w:val="TOC1"/>
        <w:rPr>
          <w:rFonts w:asciiTheme="minorHAnsi" w:eastAsiaTheme="minorEastAsia" w:hAnsiTheme="minorHAnsi" w:cstheme="minorBidi"/>
          <w:sz w:val="22"/>
          <w:szCs w:val="22"/>
          <w:lang w:eastAsia="en-GB"/>
        </w:rPr>
      </w:pPr>
      <w:hyperlink w:anchor="_Toc532812522" w:history="1">
        <w:r w:rsidR="00897995" w:rsidRPr="00F47C71">
          <w:rPr>
            <w:rStyle w:val="Hyperlink"/>
          </w:rPr>
          <w:t>Table D1</w:t>
        </w:r>
        <w:r w:rsidR="00897995">
          <w:rPr>
            <w:rFonts w:asciiTheme="minorHAnsi" w:eastAsiaTheme="minorEastAsia" w:hAnsiTheme="minorHAnsi" w:cstheme="minorBidi"/>
            <w:sz w:val="22"/>
            <w:szCs w:val="22"/>
            <w:lang w:eastAsia="en-GB"/>
          </w:rPr>
          <w:tab/>
        </w:r>
        <w:r w:rsidR="00897995" w:rsidRPr="00F47C71">
          <w:rPr>
            <w:rStyle w:val="Hyperlink"/>
          </w:rPr>
          <w:t>Ranking of priorities by stakeholders</w:t>
        </w:r>
        <w:r w:rsidR="00897995">
          <w:rPr>
            <w:webHidden/>
          </w:rPr>
          <w:tab/>
        </w:r>
        <w:r w:rsidR="00897995">
          <w:rPr>
            <w:webHidden/>
          </w:rPr>
          <w:fldChar w:fldCharType="begin"/>
        </w:r>
        <w:r w:rsidR="00897995">
          <w:rPr>
            <w:webHidden/>
          </w:rPr>
          <w:instrText xml:space="preserve"> PAGEREF _Toc532812522 \h </w:instrText>
        </w:r>
        <w:r w:rsidR="00897995">
          <w:rPr>
            <w:webHidden/>
          </w:rPr>
        </w:r>
        <w:r w:rsidR="00897995">
          <w:rPr>
            <w:webHidden/>
          </w:rPr>
          <w:fldChar w:fldCharType="separate"/>
        </w:r>
        <w:r w:rsidR="004C7DEC">
          <w:rPr>
            <w:webHidden/>
          </w:rPr>
          <w:t>124</w:t>
        </w:r>
        <w:r w:rsidR="00897995">
          <w:rPr>
            <w:webHidden/>
          </w:rPr>
          <w:fldChar w:fldCharType="end"/>
        </w:r>
      </w:hyperlink>
    </w:p>
    <w:p w14:paraId="5815A0B8" w14:textId="24237ECA" w:rsidR="00897995" w:rsidRDefault="00A65AAD" w:rsidP="00897995">
      <w:pPr>
        <w:pStyle w:val="TOC1"/>
        <w:rPr>
          <w:rFonts w:asciiTheme="minorHAnsi" w:eastAsiaTheme="minorEastAsia" w:hAnsiTheme="minorHAnsi" w:cstheme="minorBidi"/>
          <w:sz w:val="22"/>
          <w:szCs w:val="22"/>
          <w:lang w:eastAsia="en-GB"/>
        </w:rPr>
      </w:pPr>
      <w:hyperlink w:anchor="_Toc532812523" w:history="1">
        <w:r w:rsidR="00897995" w:rsidRPr="00F47C71">
          <w:rPr>
            <w:rStyle w:val="Hyperlink"/>
            <w:rFonts w:cs="Calibri"/>
          </w:rPr>
          <w:t>Table D2</w:t>
        </w:r>
        <w:r w:rsidR="00897995">
          <w:rPr>
            <w:rFonts w:asciiTheme="minorHAnsi" w:eastAsiaTheme="minorEastAsia" w:hAnsiTheme="minorHAnsi" w:cstheme="minorBidi"/>
            <w:sz w:val="22"/>
            <w:szCs w:val="22"/>
            <w:lang w:eastAsia="en-GB"/>
          </w:rPr>
          <w:tab/>
        </w:r>
        <w:r w:rsidR="00897995" w:rsidRPr="00F47C71">
          <w:rPr>
            <w:rStyle w:val="Hyperlink"/>
            <w:rFonts w:cs="Calibri"/>
          </w:rPr>
          <w:t>Ranking of priorities by stakeholders</w:t>
        </w:r>
        <w:r w:rsidR="00897995">
          <w:rPr>
            <w:webHidden/>
          </w:rPr>
          <w:tab/>
        </w:r>
        <w:r w:rsidR="00897995">
          <w:rPr>
            <w:webHidden/>
          </w:rPr>
          <w:fldChar w:fldCharType="begin"/>
        </w:r>
        <w:r w:rsidR="00897995">
          <w:rPr>
            <w:webHidden/>
          </w:rPr>
          <w:instrText xml:space="preserve"> PAGEREF _Toc532812523 \h </w:instrText>
        </w:r>
        <w:r w:rsidR="00897995">
          <w:rPr>
            <w:webHidden/>
          </w:rPr>
        </w:r>
        <w:r w:rsidR="00897995">
          <w:rPr>
            <w:webHidden/>
          </w:rPr>
          <w:fldChar w:fldCharType="separate"/>
        </w:r>
        <w:r w:rsidR="004C7DEC">
          <w:rPr>
            <w:webHidden/>
          </w:rPr>
          <w:t>134</w:t>
        </w:r>
        <w:r w:rsidR="00897995">
          <w:rPr>
            <w:webHidden/>
          </w:rPr>
          <w:fldChar w:fldCharType="end"/>
        </w:r>
      </w:hyperlink>
    </w:p>
    <w:p w14:paraId="117FACE8" w14:textId="0F0C8878" w:rsidR="00F22269" w:rsidRDefault="00A15D28" w:rsidP="00367D56">
      <w:pPr>
        <w:spacing w:before="0" w:after="0"/>
        <w:ind w:left="1440" w:hanging="1440"/>
        <w:jc w:val="left"/>
        <w:rPr>
          <w:rFonts w:cs="Arial"/>
        </w:rPr>
      </w:pPr>
      <w:r w:rsidRPr="00367D56">
        <w:rPr>
          <w:lang w:eastAsia="en-GB"/>
        </w:rPr>
        <w:fldChar w:fldCharType="end"/>
      </w:r>
    </w:p>
    <w:p w14:paraId="6D9929D0" w14:textId="101E2A51" w:rsidR="00EB777C" w:rsidRDefault="00EB777C" w:rsidP="00EB777C">
      <w:pPr>
        <w:pStyle w:val="TOCHeading1"/>
        <w:rPr>
          <w:lang w:eastAsia="en-GB"/>
        </w:rPr>
      </w:pPr>
      <w:r>
        <w:rPr>
          <w:lang w:eastAsia="en-GB"/>
        </w:rPr>
        <w:t xml:space="preserve">List of </w:t>
      </w:r>
      <w:r w:rsidR="00367D56">
        <w:rPr>
          <w:lang w:eastAsia="en-GB"/>
        </w:rPr>
        <w:t>Figures</w:t>
      </w:r>
    </w:p>
    <w:p w14:paraId="3A3CFC99" w14:textId="0D49C590" w:rsidR="00897995" w:rsidRDefault="00EB777C" w:rsidP="00897995">
      <w:pPr>
        <w:pStyle w:val="TOC1"/>
        <w:rPr>
          <w:rFonts w:asciiTheme="minorHAnsi" w:eastAsiaTheme="minorEastAsia" w:hAnsiTheme="minorHAnsi" w:cstheme="minorBidi"/>
          <w:sz w:val="22"/>
          <w:szCs w:val="22"/>
          <w:lang w:eastAsia="en-GB"/>
        </w:rPr>
      </w:pPr>
      <w:r>
        <w:rPr>
          <w:b/>
          <w:iCs/>
          <w:color w:val="008080"/>
          <w:szCs w:val="20"/>
          <w:lang w:eastAsia="en-GB"/>
        </w:rPr>
        <w:fldChar w:fldCharType="begin"/>
      </w:r>
      <w:r>
        <w:rPr>
          <w:b/>
          <w:iCs/>
          <w:color w:val="008080"/>
          <w:szCs w:val="20"/>
          <w:lang w:eastAsia="en-GB"/>
        </w:rPr>
        <w:instrText xml:space="preserve"> TOC \h \z \t "</w:instrText>
      </w:r>
      <w:r w:rsidR="00A15D28">
        <w:rPr>
          <w:b/>
          <w:iCs/>
          <w:color w:val="008080"/>
          <w:szCs w:val="20"/>
          <w:lang w:eastAsia="en-GB"/>
        </w:rPr>
        <w:instrText>Figureheading</w:instrText>
      </w:r>
      <w:r>
        <w:rPr>
          <w:b/>
          <w:iCs/>
          <w:color w:val="008080"/>
          <w:szCs w:val="20"/>
          <w:lang w:eastAsia="en-GB"/>
        </w:rPr>
        <w:instrText xml:space="preserve">" </w:instrText>
      </w:r>
      <w:r>
        <w:rPr>
          <w:b/>
          <w:iCs/>
          <w:color w:val="008080"/>
          <w:szCs w:val="20"/>
          <w:lang w:eastAsia="en-GB"/>
        </w:rPr>
        <w:fldChar w:fldCharType="separate"/>
      </w:r>
      <w:hyperlink w:anchor="_Toc532812524" w:history="1">
        <w:r w:rsidR="00897995" w:rsidRPr="00AD0499">
          <w:rPr>
            <w:rStyle w:val="Hyperlink"/>
          </w:rPr>
          <w:t>Figure 3.1</w:t>
        </w:r>
        <w:r w:rsidR="00897995">
          <w:rPr>
            <w:rFonts w:asciiTheme="minorHAnsi" w:eastAsiaTheme="minorEastAsia" w:hAnsiTheme="minorHAnsi" w:cstheme="minorBidi"/>
            <w:sz w:val="22"/>
            <w:szCs w:val="22"/>
            <w:lang w:eastAsia="en-GB"/>
          </w:rPr>
          <w:tab/>
        </w:r>
        <w:r w:rsidR="00897995" w:rsidRPr="00AD0499">
          <w:rPr>
            <w:rStyle w:val="Hyperlink"/>
          </w:rPr>
          <w:t>Median house price trends 2000 to 2017: Eden, the North West region and England</w:t>
        </w:r>
        <w:r w:rsidR="00897995">
          <w:rPr>
            <w:webHidden/>
          </w:rPr>
          <w:tab/>
        </w:r>
        <w:r w:rsidR="00897995">
          <w:rPr>
            <w:webHidden/>
          </w:rPr>
          <w:fldChar w:fldCharType="begin"/>
        </w:r>
        <w:r w:rsidR="00897995">
          <w:rPr>
            <w:webHidden/>
          </w:rPr>
          <w:instrText xml:space="preserve"> PAGEREF _Toc532812524 \h </w:instrText>
        </w:r>
        <w:r w:rsidR="00897995">
          <w:rPr>
            <w:webHidden/>
          </w:rPr>
        </w:r>
        <w:r w:rsidR="00897995">
          <w:rPr>
            <w:webHidden/>
          </w:rPr>
          <w:fldChar w:fldCharType="separate"/>
        </w:r>
        <w:r w:rsidR="004C7DEC">
          <w:rPr>
            <w:webHidden/>
          </w:rPr>
          <w:t>21</w:t>
        </w:r>
        <w:r w:rsidR="00897995">
          <w:rPr>
            <w:webHidden/>
          </w:rPr>
          <w:fldChar w:fldCharType="end"/>
        </w:r>
      </w:hyperlink>
    </w:p>
    <w:p w14:paraId="50B35957" w14:textId="17EA472C" w:rsidR="00897995" w:rsidRDefault="00A65AAD" w:rsidP="00897995">
      <w:pPr>
        <w:pStyle w:val="TOC1"/>
        <w:rPr>
          <w:rFonts w:asciiTheme="minorHAnsi" w:eastAsiaTheme="minorEastAsia" w:hAnsiTheme="minorHAnsi" w:cstheme="minorBidi"/>
          <w:sz w:val="22"/>
          <w:szCs w:val="22"/>
          <w:lang w:eastAsia="en-GB"/>
        </w:rPr>
      </w:pPr>
      <w:hyperlink w:anchor="_Toc532812525" w:history="1">
        <w:r w:rsidR="00897995" w:rsidRPr="00AD0499">
          <w:rPr>
            <w:rStyle w:val="Hyperlink"/>
          </w:rPr>
          <w:t>Figure 3.2</w:t>
        </w:r>
        <w:r w:rsidR="00897995">
          <w:rPr>
            <w:rFonts w:asciiTheme="minorHAnsi" w:eastAsiaTheme="minorEastAsia" w:hAnsiTheme="minorHAnsi" w:cstheme="minorBidi"/>
            <w:sz w:val="22"/>
            <w:szCs w:val="22"/>
            <w:lang w:eastAsia="en-GB"/>
          </w:rPr>
          <w:tab/>
        </w:r>
        <w:r w:rsidR="00897995" w:rsidRPr="00AD0499">
          <w:rPr>
            <w:rStyle w:val="Hyperlink"/>
          </w:rPr>
          <w:t>Affordability by tenure</w:t>
        </w:r>
        <w:r w:rsidR="00897995">
          <w:rPr>
            <w:webHidden/>
          </w:rPr>
          <w:tab/>
        </w:r>
        <w:r w:rsidR="00897995">
          <w:rPr>
            <w:webHidden/>
          </w:rPr>
          <w:fldChar w:fldCharType="begin"/>
        </w:r>
        <w:r w:rsidR="00897995">
          <w:rPr>
            <w:webHidden/>
          </w:rPr>
          <w:instrText xml:space="preserve"> PAGEREF _Toc532812525 \h </w:instrText>
        </w:r>
        <w:r w:rsidR="00897995">
          <w:rPr>
            <w:webHidden/>
          </w:rPr>
        </w:r>
        <w:r w:rsidR="00897995">
          <w:rPr>
            <w:webHidden/>
          </w:rPr>
          <w:fldChar w:fldCharType="separate"/>
        </w:r>
        <w:r w:rsidR="004C7DEC">
          <w:rPr>
            <w:webHidden/>
          </w:rPr>
          <w:t>31</w:t>
        </w:r>
        <w:r w:rsidR="00897995">
          <w:rPr>
            <w:webHidden/>
          </w:rPr>
          <w:fldChar w:fldCharType="end"/>
        </w:r>
      </w:hyperlink>
    </w:p>
    <w:p w14:paraId="0B773DB1" w14:textId="7324BAD0" w:rsidR="00897995" w:rsidRDefault="00A65AAD" w:rsidP="00897995">
      <w:pPr>
        <w:pStyle w:val="TOC1"/>
        <w:rPr>
          <w:rFonts w:asciiTheme="minorHAnsi" w:eastAsiaTheme="minorEastAsia" w:hAnsiTheme="minorHAnsi" w:cstheme="minorBidi"/>
          <w:sz w:val="22"/>
          <w:szCs w:val="22"/>
          <w:lang w:eastAsia="en-GB"/>
        </w:rPr>
      </w:pPr>
      <w:hyperlink w:anchor="_Toc532812526" w:history="1">
        <w:r w:rsidR="00897995" w:rsidRPr="00AD0499">
          <w:rPr>
            <w:rStyle w:val="Hyperlink"/>
          </w:rPr>
          <w:t>Figure 3.3</w:t>
        </w:r>
        <w:r w:rsidR="00897995">
          <w:rPr>
            <w:rFonts w:asciiTheme="minorHAnsi" w:eastAsiaTheme="minorEastAsia" w:hAnsiTheme="minorHAnsi" w:cstheme="minorBidi"/>
            <w:sz w:val="22"/>
            <w:szCs w:val="22"/>
            <w:lang w:eastAsia="en-GB"/>
          </w:rPr>
          <w:tab/>
        </w:r>
        <w:r w:rsidR="00897995" w:rsidRPr="00AD0499">
          <w:rPr>
            <w:rStyle w:val="Hyperlink"/>
          </w:rPr>
          <w:t>Migration flows to and from Eden District</w:t>
        </w:r>
        <w:r w:rsidR="00897995">
          <w:rPr>
            <w:webHidden/>
          </w:rPr>
          <w:tab/>
        </w:r>
        <w:r w:rsidR="00897995">
          <w:rPr>
            <w:webHidden/>
          </w:rPr>
          <w:fldChar w:fldCharType="begin"/>
        </w:r>
        <w:r w:rsidR="00897995">
          <w:rPr>
            <w:webHidden/>
          </w:rPr>
          <w:instrText xml:space="preserve"> PAGEREF _Toc532812526 \h </w:instrText>
        </w:r>
        <w:r w:rsidR="00897995">
          <w:rPr>
            <w:webHidden/>
          </w:rPr>
        </w:r>
        <w:r w:rsidR="00897995">
          <w:rPr>
            <w:webHidden/>
          </w:rPr>
          <w:fldChar w:fldCharType="separate"/>
        </w:r>
        <w:r w:rsidR="004C7DEC">
          <w:rPr>
            <w:webHidden/>
          </w:rPr>
          <w:t>33</w:t>
        </w:r>
        <w:r w:rsidR="00897995">
          <w:rPr>
            <w:webHidden/>
          </w:rPr>
          <w:fldChar w:fldCharType="end"/>
        </w:r>
      </w:hyperlink>
    </w:p>
    <w:p w14:paraId="78867608" w14:textId="09D6ACDF" w:rsidR="00897995" w:rsidRDefault="00A65AAD" w:rsidP="00897995">
      <w:pPr>
        <w:pStyle w:val="TOC1"/>
        <w:rPr>
          <w:rFonts w:asciiTheme="minorHAnsi" w:eastAsiaTheme="minorEastAsia" w:hAnsiTheme="minorHAnsi" w:cstheme="minorBidi"/>
          <w:sz w:val="22"/>
          <w:szCs w:val="22"/>
          <w:lang w:eastAsia="en-GB"/>
        </w:rPr>
      </w:pPr>
      <w:hyperlink w:anchor="_Toc532812527" w:history="1">
        <w:r w:rsidR="00897995" w:rsidRPr="00AD0499">
          <w:rPr>
            <w:rStyle w:val="Hyperlink"/>
          </w:rPr>
          <w:t>Figure 3.4</w:t>
        </w:r>
        <w:r w:rsidR="00897995">
          <w:rPr>
            <w:rFonts w:asciiTheme="minorHAnsi" w:eastAsiaTheme="minorEastAsia" w:hAnsiTheme="minorHAnsi" w:cstheme="minorBidi"/>
            <w:sz w:val="22"/>
            <w:szCs w:val="22"/>
            <w:lang w:eastAsia="en-GB"/>
          </w:rPr>
          <w:tab/>
        </w:r>
        <w:r w:rsidR="00897995" w:rsidRPr="00AD0499">
          <w:rPr>
            <w:rStyle w:val="Hyperlink"/>
          </w:rPr>
          <w:t>Travel to work flows to and from Eden</w:t>
        </w:r>
        <w:r w:rsidR="00897995">
          <w:rPr>
            <w:webHidden/>
          </w:rPr>
          <w:tab/>
        </w:r>
        <w:r w:rsidR="00897995">
          <w:rPr>
            <w:webHidden/>
          </w:rPr>
          <w:fldChar w:fldCharType="begin"/>
        </w:r>
        <w:r w:rsidR="00897995">
          <w:rPr>
            <w:webHidden/>
          </w:rPr>
          <w:instrText xml:space="preserve"> PAGEREF _Toc532812527 \h </w:instrText>
        </w:r>
        <w:r w:rsidR="00897995">
          <w:rPr>
            <w:webHidden/>
          </w:rPr>
        </w:r>
        <w:r w:rsidR="00897995">
          <w:rPr>
            <w:webHidden/>
          </w:rPr>
          <w:fldChar w:fldCharType="separate"/>
        </w:r>
        <w:r w:rsidR="004C7DEC">
          <w:rPr>
            <w:webHidden/>
          </w:rPr>
          <w:t>35</w:t>
        </w:r>
        <w:r w:rsidR="00897995">
          <w:rPr>
            <w:webHidden/>
          </w:rPr>
          <w:fldChar w:fldCharType="end"/>
        </w:r>
      </w:hyperlink>
    </w:p>
    <w:p w14:paraId="596AFCBA" w14:textId="1522E7CF" w:rsidR="00897995" w:rsidRDefault="00A65AAD" w:rsidP="00897995">
      <w:pPr>
        <w:pStyle w:val="TOC1"/>
        <w:rPr>
          <w:rFonts w:asciiTheme="minorHAnsi" w:eastAsiaTheme="minorEastAsia" w:hAnsiTheme="minorHAnsi" w:cstheme="minorBidi"/>
          <w:sz w:val="22"/>
          <w:szCs w:val="22"/>
          <w:lang w:eastAsia="en-GB"/>
        </w:rPr>
      </w:pPr>
      <w:hyperlink w:anchor="_Toc532812528" w:history="1">
        <w:r w:rsidR="00897995" w:rsidRPr="00AD0499">
          <w:rPr>
            <w:rStyle w:val="Hyperlink"/>
            <w:shd w:val="clear" w:color="auto" w:fill="FFFFFF"/>
          </w:rPr>
          <w:t>Figure 4.1</w:t>
        </w:r>
        <w:r w:rsidR="00897995">
          <w:rPr>
            <w:rFonts w:asciiTheme="minorHAnsi" w:eastAsiaTheme="minorEastAsia" w:hAnsiTheme="minorHAnsi" w:cstheme="minorBidi"/>
            <w:sz w:val="22"/>
            <w:szCs w:val="22"/>
            <w:lang w:eastAsia="en-GB"/>
          </w:rPr>
          <w:tab/>
        </w:r>
        <w:r w:rsidR="00897995" w:rsidRPr="00AD0499">
          <w:rPr>
            <w:rStyle w:val="Hyperlink"/>
            <w:shd w:val="clear" w:color="auto" w:fill="FFFFFF"/>
          </w:rPr>
          <w:t>Dwelling completions compared with the annual Core Strategy target</w:t>
        </w:r>
        <w:r w:rsidR="00897995">
          <w:rPr>
            <w:webHidden/>
          </w:rPr>
          <w:tab/>
        </w:r>
        <w:r w:rsidR="00897995">
          <w:rPr>
            <w:webHidden/>
          </w:rPr>
          <w:fldChar w:fldCharType="begin"/>
        </w:r>
        <w:r w:rsidR="00897995">
          <w:rPr>
            <w:webHidden/>
          </w:rPr>
          <w:instrText xml:space="preserve"> PAGEREF _Toc532812528 \h </w:instrText>
        </w:r>
        <w:r w:rsidR="00897995">
          <w:rPr>
            <w:webHidden/>
          </w:rPr>
        </w:r>
        <w:r w:rsidR="00897995">
          <w:rPr>
            <w:webHidden/>
          </w:rPr>
          <w:fldChar w:fldCharType="separate"/>
        </w:r>
        <w:r w:rsidR="004C7DEC">
          <w:rPr>
            <w:webHidden/>
          </w:rPr>
          <w:t>54</w:t>
        </w:r>
        <w:r w:rsidR="00897995">
          <w:rPr>
            <w:webHidden/>
          </w:rPr>
          <w:fldChar w:fldCharType="end"/>
        </w:r>
      </w:hyperlink>
    </w:p>
    <w:p w14:paraId="786E5418" w14:textId="5D0CC0A3" w:rsidR="00897995" w:rsidRDefault="00A65AAD" w:rsidP="00897995">
      <w:pPr>
        <w:pStyle w:val="TOC1"/>
        <w:rPr>
          <w:rFonts w:asciiTheme="minorHAnsi" w:eastAsiaTheme="minorEastAsia" w:hAnsiTheme="minorHAnsi" w:cstheme="minorBidi"/>
          <w:sz w:val="22"/>
          <w:szCs w:val="22"/>
          <w:lang w:eastAsia="en-GB"/>
        </w:rPr>
      </w:pPr>
      <w:hyperlink w:anchor="_Toc532812529" w:history="1">
        <w:r w:rsidR="00897995" w:rsidRPr="00AD0499">
          <w:rPr>
            <w:rStyle w:val="Hyperlink"/>
          </w:rPr>
          <w:t>Figure 6.1</w:t>
        </w:r>
        <w:r w:rsidR="00897995">
          <w:rPr>
            <w:rFonts w:asciiTheme="minorHAnsi" w:eastAsiaTheme="minorEastAsia" w:hAnsiTheme="minorHAnsi" w:cstheme="minorBidi"/>
            <w:sz w:val="22"/>
            <w:szCs w:val="22"/>
            <w:lang w:eastAsia="en-GB"/>
          </w:rPr>
          <w:tab/>
        </w:r>
        <w:r w:rsidR="00897995" w:rsidRPr="00AD0499">
          <w:rPr>
            <w:rStyle w:val="Hyperlink"/>
          </w:rPr>
          <w:t>Explanation of optional accessibility standard M4(2)</w:t>
        </w:r>
        <w:r w:rsidR="00897995">
          <w:rPr>
            <w:webHidden/>
          </w:rPr>
          <w:tab/>
        </w:r>
        <w:r w:rsidR="00897995">
          <w:rPr>
            <w:webHidden/>
          </w:rPr>
          <w:fldChar w:fldCharType="begin"/>
        </w:r>
        <w:r w:rsidR="00897995">
          <w:rPr>
            <w:webHidden/>
          </w:rPr>
          <w:instrText xml:space="preserve"> PAGEREF _Toc532812529 \h </w:instrText>
        </w:r>
        <w:r w:rsidR="00897995">
          <w:rPr>
            <w:webHidden/>
          </w:rPr>
        </w:r>
        <w:r w:rsidR="00897995">
          <w:rPr>
            <w:webHidden/>
          </w:rPr>
          <w:fldChar w:fldCharType="separate"/>
        </w:r>
        <w:r w:rsidR="004C7DEC">
          <w:rPr>
            <w:webHidden/>
          </w:rPr>
          <w:t>80</w:t>
        </w:r>
        <w:r w:rsidR="00897995">
          <w:rPr>
            <w:webHidden/>
          </w:rPr>
          <w:fldChar w:fldCharType="end"/>
        </w:r>
      </w:hyperlink>
    </w:p>
    <w:p w14:paraId="3B9D0578" w14:textId="36A566F5" w:rsidR="00897995" w:rsidRDefault="00A65AAD" w:rsidP="00897995">
      <w:pPr>
        <w:pStyle w:val="TOC1"/>
        <w:rPr>
          <w:rFonts w:asciiTheme="minorHAnsi" w:eastAsiaTheme="minorEastAsia" w:hAnsiTheme="minorHAnsi" w:cstheme="minorBidi"/>
          <w:sz w:val="22"/>
          <w:szCs w:val="22"/>
          <w:lang w:eastAsia="en-GB"/>
        </w:rPr>
      </w:pPr>
      <w:hyperlink w:anchor="_Toc532812530" w:history="1">
        <w:r w:rsidR="00897995" w:rsidRPr="00AD0499">
          <w:rPr>
            <w:rStyle w:val="Hyperlink"/>
          </w:rPr>
          <w:t>Figure 6.2</w:t>
        </w:r>
        <w:r w:rsidR="00897995">
          <w:rPr>
            <w:rFonts w:asciiTheme="minorHAnsi" w:eastAsiaTheme="minorEastAsia" w:hAnsiTheme="minorHAnsi" w:cstheme="minorBidi"/>
            <w:sz w:val="22"/>
            <w:szCs w:val="22"/>
            <w:lang w:eastAsia="en-GB"/>
          </w:rPr>
          <w:tab/>
        </w:r>
        <w:r w:rsidR="00897995" w:rsidRPr="00AD0499">
          <w:rPr>
            <w:rStyle w:val="Hyperlink"/>
          </w:rPr>
          <w:t>Explanation of optional accessibility standard M4(3)</w:t>
        </w:r>
        <w:r w:rsidR="00897995">
          <w:rPr>
            <w:webHidden/>
          </w:rPr>
          <w:tab/>
        </w:r>
        <w:r w:rsidR="00897995">
          <w:rPr>
            <w:webHidden/>
          </w:rPr>
          <w:fldChar w:fldCharType="begin"/>
        </w:r>
        <w:r w:rsidR="00897995">
          <w:rPr>
            <w:webHidden/>
          </w:rPr>
          <w:instrText xml:space="preserve"> PAGEREF _Toc532812530 \h </w:instrText>
        </w:r>
        <w:r w:rsidR="00897995">
          <w:rPr>
            <w:webHidden/>
          </w:rPr>
        </w:r>
        <w:r w:rsidR="00897995">
          <w:rPr>
            <w:webHidden/>
          </w:rPr>
          <w:fldChar w:fldCharType="separate"/>
        </w:r>
        <w:r w:rsidR="004C7DEC">
          <w:rPr>
            <w:webHidden/>
          </w:rPr>
          <w:t>80</w:t>
        </w:r>
        <w:r w:rsidR="00897995">
          <w:rPr>
            <w:webHidden/>
          </w:rPr>
          <w:fldChar w:fldCharType="end"/>
        </w:r>
      </w:hyperlink>
    </w:p>
    <w:p w14:paraId="11E7A40A" w14:textId="249D29D2" w:rsidR="00897995" w:rsidRDefault="00A65AAD" w:rsidP="00897995">
      <w:pPr>
        <w:pStyle w:val="TOC1"/>
        <w:rPr>
          <w:rFonts w:asciiTheme="minorHAnsi" w:eastAsiaTheme="minorEastAsia" w:hAnsiTheme="minorHAnsi" w:cstheme="minorBidi"/>
          <w:sz w:val="22"/>
          <w:szCs w:val="22"/>
          <w:lang w:eastAsia="en-GB"/>
        </w:rPr>
      </w:pPr>
      <w:hyperlink w:anchor="_Toc532812531" w:history="1">
        <w:r w:rsidR="00897995" w:rsidRPr="00AD0499">
          <w:rPr>
            <w:rStyle w:val="Hyperlink"/>
          </w:rPr>
          <w:t>Figure 6.3</w:t>
        </w:r>
        <w:r w:rsidR="00897995">
          <w:rPr>
            <w:rFonts w:asciiTheme="minorHAnsi" w:eastAsiaTheme="minorEastAsia" w:hAnsiTheme="minorHAnsi" w:cstheme="minorBidi"/>
            <w:sz w:val="22"/>
            <w:szCs w:val="22"/>
            <w:lang w:eastAsia="en-GB"/>
          </w:rPr>
          <w:tab/>
        </w:r>
        <w:r w:rsidR="00897995" w:rsidRPr="00AD0499">
          <w:rPr>
            <w:rStyle w:val="Hyperlink"/>
          </w:rPr>
          <w:t>Analysis of major adaptations</w:t>
        </w:r>
        <w:r w:rsidR="00897995">
          <w:rPr>
            <w:webHidden/>
          </w:rPr>
          <w:tab/>
        </w:r>
        <w:r w:rsidR="00897995">
          <w:rPr>
            <w:webHidden/>
          </w:rPr>
          <w:fldChar w:fldCharType="begin"/>
        </w:r>
        <w:r w:rsidR="00897995">
          <w:rPr>
            <w:webHidden/>
          </w:rPr>
          <w:instrText xml:space="preserve"> PAGEREF _Toc532812531 \h </w:instrText>
        </w:r>
        <w:r w:rsidR="00897995">
          <w:rPr>
            <w:webHidden/>
          </w:rPr>
        </w:r>
        <w:r w:rsidR="00897995">
          <w:rPr>
            <w:webHidden/>
          </w:rPr>
          <w:fldChar w:fldCharType="separate"/>
        </w:r>
        <w:r w:rsidR="004C7DEC">
          <w:rPr>
            <w:webHidden/>
          </w:rPr>
          <w:t>82</w:t>
        </w:r>
        <w:r w:rsidR="00897995">
          <w:rPr>
            <w:webHidden/>
          </w:rPr>
          <w:fldChar w:fldCharType="end"/>
        </w:r>
      </w:hyperlink>
    </w:p>
    <w:p w14:paraId="7E8CC622" w14:textId="166CA4DF" w:rsidR="00897995" w:rsidRDefault="00A65AAD" w:rsidP="00897995">
      <w:pPr>
        <w:pStyle w:val="TOC1"/>
        <w:rPr>
          <w:rFonts w:asciiTheme="minorHAnsi" w:eastAsiaTheme="minorEastAsia" w:hAnsiTheme="minorHAnsi" w:cstheme="minorBidi"/>
          <w:sz w:val="22"/>
          <w:szCs w:val="22"/>
          <w:lang w:eastAsia="en-GB"/>
        </w:rPr>
      </w:pPr>
      <w:hyperlink w:anchor="_Toc532812532" w:history="1">
        <w:r w:rsidR="00897995" w:rsidRPr="00AD0499">
          <w:rPr>
            <w:rStyle w:val="Hyperlink"/>
          </w:rPr>
          <w:t>Figure 7.1</w:t>
        </w:r>
        <w:r w:rsidR="00897995">
          <w:rPr>
            <w:rFonts w:asciiTheme="minorHAnsi" w:eastAsiaTheme="minorEastAsia" w:hAnsiTheme="minorHAnsi" w:cstheme="minorBidi"/>
            <w:sz w:val="22"/>
            <w:szCs w:val="22"/>
            <w:lang w:eastAsia="en-GB"/>
          </w:rPr>
          <w:tab/>
        </w:r>
        <w:r w:rsidR="00897995" w:rsidRPr="00AD0499">
          <w:rPr>
            <w:rStyle w:val="Hyperlink"/>
          </w:rPr>
          <w:t>Change in HRP age groups 2014-2032</w:t>
        </w:r>
        <w:r w:rsidR="00897995">
          <w:rPr>
            <w:webHidden/>
          </w:rPr>
          <w:tab/>
        </w:r>
        <w:r w:rsidR="00897995">
          <w:rPr>
            <w:webHidden/>
          </w:rPr>
          <w:fldChar w:fldCharType="begin"/>
        </w:r>
        <w:r w:rsidR="00897995">
          <w:rPr>
            <w:webHidden/>
          </w:rPr>
          <w:instrText xml:space="preserve"> PAGEREF _Toc532812532 \h </w:instrText>
        </w:r>
        <w:r w:rsidR="00897995">
          <w:rPr>
            <w:webHidden/>
          </w:rPr>
        </w:r>
        <w:r w:rsidR="00897995">
          <w:rPr>
            <w:webHidden/>
          </w:rPr>
          <w:fldChar w:fldCharType="separate"/>
        </w:r>
        <w:r w:rsidR="004C7DEC">
          <w:rPr>
            <w:webHidden/>
          </w:rPr>
          <w:t>88</w:t>
        </w:r>
        <w:r w:rsidR="00897995">
          <w:rPr>
            <w:webHidden/>
          </w:rPr>
          <w:fldChar w:fldCharType="end"/>
        </w:r>
      </w:hyperlink>
    </w:p>
    <w:p w14:paraId="7999F086" w14:textId="361A6F75" w:rsidR="00897995" w:rsidRDefault="00A65AAD" w:rsidP="00897995">
      <w:pPr>
        <w:pStyle w:val="TOC1"/>
        <w:rPr>
          <w:rFonts w:asciiTheme="minorHAnsi" w:eastAsiaTheme="minorEastAsia" w:hAnsiTheme="minorHAnsi" w:cstheme="minorBidi"/>
          <w:sz w:val="22"/>
          <w:szCs w:val="22"/>
          <w:lang w:eastAsia="en-GB"/>
        </w:rPr>
      </w:pPr>
      <w:hyperlink w:anchor="_Toc532812533" w:history="1">
        <w:r w:rsidR="00897995" w:rsidRPr="00AD0499">
          <w:rPr>
            <w:rStyle w:val="Hyperlink"/>
          </w:rPr>
          <w:t>Figure 7.2</w:t>
        </w:r>
        <w:r w:rsidR="00897995">
          <w:rPr>
            <w:rFonts w:asciiTheme="minorHAnsi" w:eastAsiaTheme="minorEastAsia" w:hAnsiTheme="minorHAnsi" w:cstheme="minorBidi"/>
            <w:sz w:val="22"/>
            <w:szCs w:val="22"/>
            <w:lang w:eastAsia="en-GB"/>
          </w:rPr>
          <w:tab/>
        </w:r>
        <w:r w:rsidR="00897995" w:rsidRPr="00AD0499">
          <w:rPr>
            <w:rStyle w:val="Hyperlink"/>
          </w:rPr>
          <w:t>Summary of dwelling types under baseline demographic and expectation analysis</w:t>
        </w:r>
        <w:r w:rsidR="00897995">
          <w:rPr>
            <w:webHidden/>
          </w:rPr>
          <w:tab/>
        </w:r>
        <w:r w:rsidR="00897995">
          <w:rPr>
            <w:webHidden/>
          </w:rPr>
          <w:fldChar w:fldCharType="begin"/>
        </w:r>
        <w:r w:rsidR="00897995">
          <w:rPr>
            <w:webHidden/>
          </w:rPr>
          <w:instrText xml:space="preserve"> PAGEREF _Toc532812533 \h </w:instrText>
        </w:r>
        <w:r w:rsidR="00897995">
          <w:rPr>
            <w:webHidden/>
          </w:rPr>
        </w:r>
        <w:r w:rsidR="00897995">
          <w:rPr>
            <w:webHidden/>
          </w:rPr>
          <w:fldChar w:fldCharType="separate"/>
        </w:r>
        <w:r w:rsidR="004C7DEC">
          <w:rPr>
            <w:webHidden/>
          </w:rPr>
          <w:t>93</w:t>
        </w:r>
        <w:r w:rsidR="00897995">
          <w:rPr>
            <w:webHidden/>
          </w:rPr>
          <w:fldChar w:fldCharType="end"/>
        </w:r>
      </w:hyperlink>
    </w:p>
    <w:p w14:paraId="21AD2D5B" w14:textId="7176F504" w:rsidR="00897995" w:rsidRDefault="00A65AAD" w:rsidP="00897995">
      <w:pPr>
        <w:pStyle w:val="TOC1"/>
        <w:rPr>
          <w:rFonts w:asciiTheme="minorHAnsi" w:eastAsiaTheme="minorEastAsia" w:hAnsiTheme="minorHAnsi" w:cstheme="minorBidi"/>
          <w:sz w:val="22"/>
          <w:szCs w:val="22"/>
          <w:lang w:eastAsia="en-GB"/>
        </w:rPr>
      </w:pPr>
      <w:hyperlink w:anchor="_Toc532812534" w:history="1">
        <w:r w:rsidR="00897995" w:rsidRPr="00AD0499">
          <w:rPr>
            <w:rStyle w:val="Hyperlink"/>
          </w:rPr>
          <w:t>Figure 7.3</w:t>
        </w:r>
        <w:r w:rsidR="00897995">
          <w:rPr>
            <w:rFonts w:asciiTheme="minorHAnsi" w:eastAsiaTheme="minorEastAsia" w:hAnsiTheme="minorHAnsi" w:cstheme="minorBidi"/>
            <w:sz w:val="22"/>
            <w:szCs w:val="22"/>
            <w:lang w:eastAsia="en-GB"/>
          </w:rPr>
          <w:tab/>
        </w:r>
        <w:r w:rsidR="00897995" w:rsidRPr="00AD0499">
          <w:rPr>
            <w:rStyle w:val="Hyperlink"/>
          </w:rPr>
          <w:t>Summary of dwelling mix variations under the demographic scenario  by HMA</w:t>
        </w:r>
        <w:r w:rsidR="00897995">
          <w:rPr>
            <w:webHidden/>
          </w:rPr>
          <w:tab/>
        </w:r>
        <w:r w:rsidR="00897995">
          <w:rPr>
            <w:webHidden/>
          </w:rPr>
          <w:fldChar w:fldCharType="begin"/>
        </w:r>
        <w:r w:rsidR="00897995">
          <w:rPr>
            <w:webHidden/>
          </w:rPr>
          <w:instrText xml:space="preserve"> PAGEREF _Toc532812534 \h </w:instrText>
        </w:r>
        <w:r w:rsidR="00897995">
          <w:rPr>
            <w:webHidden/>
          </w:rPr>
        </w:r>
        <w:r w:rsidR="00897995">
          <w:rPr>
            <w:webHidden/>
          </w:rPr>
          <w:fldChar w:fldCharType="separate"/>
        </w:r>
        <w:r w:rsidR="004C7DEC">
          <w:rPr>
            <w:webHidden/>
          </w:rPr>
          <w:t>95</w:t>
        </w:r>
        <w:r w:rsidR="00897995">
          <w:rPr>
            <w:webHidden/>
          </w:rPr>
          <w:fldChar w:fldCharType="end"/>
        </w:r>
      </w:hyperlink>
    </w:p>
    <w:p w14:paraId="407DE5FD" w14:textId="4C18EBAE" w:rsidR="00CE3C17" w:rsidRDefault="00EB777C" w:rsidP="00897995">
      <w:pPr>
        <w:pStyle w:val="TOC1"/>
      </w:pPr>
      <w:r>
        <w:rPr>
          <w:lang w:eastAsia="en-GB"/>
        </w:rPr>
        <w:fldChar w:fldCharType="end"/>
      </w:r>
    </w:p>
    <w:p w14:paraId="71F4EC03" w14:textId="77777777" w:rsidR="002F0D71" w:rsidRPr="00000FA0" w:rsidRDefault="002F0D71" w:rsidP="002F0D71">
      <w:pPr>
        <w:tabs>
          <w:tab w:val="right" w:pos="9214"/>
          <w:tab w:val="right" w:leader="dot" w:pos="9356"/>
        </w:tabs>
        <w:spacing w:before="0" w:after="0"/>
        <w:jc w:val="center"/>
        <w:rPr>
          <w:rFonts w:cs="Arial"/>
          <w:i/>
          <w:iCs/>
          <w:color w:val="009999"/>
          <w:sz w:val="20"/>
          <w:szCs w:val="20"/>
        </w:rPr>
      </w:pPr>
      <w:bookmarkStart w:id="3" w:name="_Toc297239571"/>
      <w:bookmarkEnd w:id="2"/>
      <w:r w:rsidRPr="00000FA0">
        <w:rPr>
          <w:rFonts w:cs="Arial"/>
          <w:i/>
          <w:iCs/>
          <w:color w:val="009999"/>
          <w:sz w:val="20"/>
          <w:szCs w:val="20"/>
        </w:rPr>
        <w:t>Registered Address</w:t>
      </w:r>
      <w:r>
        <w:rPr>
          <w:rFonts w:cs="Arial"/>
          <w:i/>
          <w:iCs/>
          <w:color w:val="009999"/>
          <w:sz w:val="20"/>
          <w:szCs w:val="20"/>
        </w:rPr>
        <w:t>:</w:t>
      </w:r>
      <w:r w:rsidRPr="00000FA0">
        <w:rPr>
          <w:rFonts w:cs="Arial"/>
          <w:i/>
          <w:iCs/>
          <w:color w:val="009999"/>
          <w:sz w:val="20"/>
          <w:szCs w:val="20"/>
        </w:rPr>
        <w:t xml:space="preserve"> arc4</w:t>
      </w:r>
      <w:r>
        <w:rPr>
          <w:rFonts w:cs="Arial"/>
          <w:i/>
          <w:iCs/>
          <w:color w:val="009999"/>
          <w:sz w:val="20"/>
          <w:szCs w:val="20"/>
        </w:rPr>
        <w:t>,</w:t>
      </w:r>
      <w:r w:rsidRPr="00000FA0">
        <w:rPr>
          <w:rFonts w:cs="Arial"/>
          <w:i/>
          <w:iCs/>
          <w:color w:val="009999"/>
          <w:sz w:val="20"/>
          <w:szCs w:val="20"/>
        </w:rPr>
        <w:t xml:space="preserve"> 41 Clarendon Road, Sale Manchester M33 2DY</w:t>
      </w:r>
    </w:p>
    <w:p w14:paraId="5C0F2926" w14:textId="77777777" w:rsidR="002F0D71" w:rsidRPr="000E031F" w:rsidRDefault="002F0D71" w:rsidP="002F0D71">
      <w:pPr>
        <w:tabs>
          <w:tab w:val="right" w:pos="9214"/>
          <w:tab w:val="right" w:leader="dot" w:pos="9356"/>
        </w:tabs>
        <w:spacing w:before="0" w:after="0"/>
        <w:jc w:val="center"/>
        <w:rPr>
          <w:rFonts w:cs="Arial"/>
          <w:i/>
          <w:iCs/>
          <w:color w:val="009999"/>
          <w:sz w:val="20"/>
          <w:szCs w:val="20"/>
          <w:lang w:val="fr-FR"/>
        </w:rPr>
      </w:pPr>
      <w:r w:rsidRPr="000E031F">
        <w:rPr>
          <w:rFonts w:cs="Arial"/>
          <w:i/>
          <w:iCs/>
          <w:color w:val="009999"/>
          <w:sz w:val="20"/>
          <w:szCs w:val="20"/>
          <w:lang w:val="fr-FR"/>
        </w:rPr>
        <w:t xml:space="preserve">Email: </w:t>
      </w:r>
      <w:hyperlink r:id="rId12" w:history="1">
        <w:r w:rsidRPr="000E031F">
          <w:rPr>
            <w:i/>
            <w:iCs/>
            <w:color w:val="009999"/>
            <w:sz w:val="20"/>
            <w:szCs w:val="20"/>
            <w:lang w:val="fr-FR"/>
          </w:rPr>
          <w:t>contact@arc4.co.uk</w:t>
        </w:r>
      </w:hyperlink>
      <w:r w:rsidRPr="000E031F">
        <w:rPr>
          <w:rFonts w:cs="Arial"/>
          <w:i/>
          <w:iCs/>
          <w:color w:val="009999"/>
          <w:sz w:val="20"/>
          <w:szCs w:val="20"/>
          <w:lang w:val="fr-FR"/>
        </w:rPr>
        <w:t xml:space="preserve">     </w:t>
      </w:r>
      <w:hyperlink r:id="rId13" w:history="1">
        <w:r w:rsidRPr="000E031F">
          <w:rPr>
            <w:rStyle w:val="Hyperlink"/>
            <w:i/>
            <w:iCs/>
            <w:sz w:val="20"/>
            <w:szCs w:val="20"/>
            <w:lang w:val="fr-FR"/>
          </w:rPr>
          <w:t>www.arc4.co.uk</w:t>
        </w:r>
      </w:hyperlink>
    </w:p>
    <w:p w14:paraId="4CAA6C99" w14:textId="77777777" w:rsidR="002F0D71" w:rsidRPr="00000FA0" w:rsidRDefault="002F0D71" w:rsidP="002F0D71">
      <w:pPr>
        <w:tabs>
          <w:tab w:val="right" w:pos="9214"/>
          <w:tab w:val="right" w:leader="dot" w:pos="9356"/>
        </w:tabs>
        <w:spacing w:before="0" w:after="0"/>
        <w:jc w:val="center"/>
        <w:rPr>
          <w:rFonts w:cs="Arial"/>
          <w:i/>
          <w:iCs/>
          <w:color w:val="009999"/>
          <w:sz w:val="20"/>
          <w:szCs w:val="20"/>
        </w:rPr>
      </w:pPr>
      <w:r w:rsidRPr="00000FA0">
        <w:rPr>
          <w:rFonts w:cs="Arial"/>
          <w:i/>
          <w:iCs/>
          <w:color w:val="009999"/>
          <w:sz w:val="20"/>
          <w:szCs w:val="20"/>
        </w:rPr>
        <w:t>arc4  Limited Registered in England &amp; Wales 6205180   VAT Registration No:  909 9814 77</w:t>
      </w:r>
    </w:p>
    <w:p w14:paraId="670C4133" w14:textId="5E117954" w:rsidR="00F22269" w:rsidRPr="002F0D71" w:rsidRDefault="002F0D71" w:rsidP="002F0D71">
      <w:pPr>
        <w:tabs>
          <w:tab w:val="right" w:pos="9214"/>
          <w:tab w:val="right" w:leader="dot" w:pos="9356"/>
        </w:tabs>
        <w:spacing w:before="0" w:after="0"/>
        <w:jc w:val="center"/>
        <w:rPr>
          <w:rFonts w:cs="Arial"/>
          <w:i/>
          <w:iCs/>
          <w:color w:val="009999"/>
          <w:sz w:val="20"/>
          <w:szCs w:val="20"/>
        </w:rPr>
      </w:pPr>
      <w:r w:rsidRPr="00000FA0">
        <w:rPr>
          <w:rFonts w:cs="Arial"/>
          <w:i/>
          <w:iCs/>
          <w:color w:val="009999"/>
          <w:sz w:val="20"/>
          <w:szCs w:val="20"/>
        </w:rPr>
        <w:t>Directors - Helen Brzozowski – Michael Bullock</w:t>
      </w:r>
    </w:p>
    <w:p w14:paraId="7042355C" w14:textId="77777777" w:rsidR="002F0D71" w:rsidRDefault="002F0D71">
      <w:pPr>
        <w:spacing w:before="0" w:after="0"/>
        <w:jc w:val="left"/>
        <w:rPr>
          <w:rFonts w:cs="Arial"/>
          <w:i/>
          <w:iCs/>
          <w:color w:val="009999"/>
          <w:sz w:val="20"/>
          <w:szCs w:val="20"/>
        </w:rPr>
      </w:pPr>
      <w:r>
        <w:rPr>
          <w:rFonts w:cs="Arial"/>
          <w:i/>
          <w:iCs/>
          <w:color w:val="009999"/>
          <w:sz w:val="20"/>
          <w:szCs w:val="20"/>
        </w:rPr>
        <w:br w:type="page"/>
      </w:r>
    </w:p>
    <w:p w14:paraId="37060DD9" w14:textId="77777777" w:rsidR="002F0D71" w:rsidRPr="00C96B09" w:rsidRDefault="002F0D71" w:rsidP="002F0D71">
      <w:pPr>
        <w:spacing w:line="276" w:lineRule="auto"/>
        <w:rPr>
          <w:rFonts w:asciiTheme="minorHAnsi" w:hAnsiTheme="minorHAnsi" w:cs="Calibri"/>
          <w:sz w:val="32"/>
        </w:rPr>
      </w:pPr>
      <w:r w:rsidRPr="00C96B09">
        <w:rPr>
          <w:rFonts w:asciiTheme="minorHAnsi" w:hAnsiTheme="minorHAnsi" w:cs="Calibri"/>
          <w:b/>
          <w:iCs/>
          <w:color w:val="008080"/>
          <w:szCs w:val="20"/>
          <w:lang w:eastAsia="en-GB"/>
        </w:rPr>
        <w:lastRenderedPageBreak/>
        <w:t>Please note that in this report some of the tables include rounded figures. This can result in some column or row totals not adding up to 100 or to the anticipated row or column ‘total’ due to the use of rounded decimal figures. We include this description here as it covers all tables and associated textual commentary included. If tables or figures are to be used in-house then we recommend the addition of a similarly worded statement being included as a note to each table used.</w:t>
      </w:r>
    </w:p>
    <w:p w14:paraId="7E4E0862" w14:textId="5F686BDF" w:rsidR="002F0D71" w:rsidRDefault="002F0D71" w:rsidP="002F0D71">
      <w:pPr>
        <w:tabs>
          <w:tab w:val="right" w:pos="9214"/>
          <w:tab w:val="right" w:leader="dot" w:pos="9356"/>
        </w:tabs>
        <w:ind w:right="-2"/>
        <w:rPr>
          <w:rFonts w:asciiTheme="minorHAnsi" w:hAnsiTheme="minorHAnsi" w:cs="Calibri"/>
        </w:rPr>
      </w:pPr>
    </w:p>
    <w:p w14:paraId="43FF3A7B" w14:textId="31734CD0" w:rsidR="002F0D71" w:rsidRDefault="002F0D71" w:rsidP="002F0D71">
      <w:pPr>
        <w:tabs>
          <w:tab w:val="right" w:pos="9214"/>
          <w:tab w:val="right" w:leader="dot" w:pos="9356"/>
        </w:tabs>
        <w:ind w:right="-2"/>
        <w:rPr>
          <w:rFonts w:asciiTheme="minorHAnsi" w:hAnsiTheme="minorHAnsi" w:cs="Calibri"/>
        </w:rPr>
      </w:pPr>
    </w:p>
    <w:p w14:paraId="2F569005" w14:textId="26DFDC18" w:rsidR="002F0D71" w:rsidRDefault="002F0D71" w:rsidP="002F0D71">
      <w:pPr>
        <w:tabs>
          <w:tab w:val="right" w:pos="9214"/>
          <w:tab w:val="right" w:leader="dot" w:pos="9356"/>
        </w:tabs>
        <w:ind w:right="-2"/>
        <w:rPr>
          <w:rFonts w:asciiTheme="minorHAnsi" w:hAnsiTheme="minorHAnsi" w:cs="Calibri"/>
        </w:rPr>
      </w:pPr>
    </w:p>
    <w:p w14:paraId="750B5B1C" w14:textId="4FB32B92" w:rsidR="002F0D71" w:rsidRDefault="002F0D71" w:rsidP="002F0D71">
      <w:pPr>
        <w:tabs>
          <w:tab w:val="right" w:pos="9214"/>
          <w:tab w:val="right" w:leader="dot" w:pos="9356"/>
        </w:tabs>
        <w:ind w:right="-2"/>
        <w:rPr>
          <w:rFonts w:asciiTheme="minorHAnsi" w:hAnsiTheme="minorHAnsi" w:cs="Calibri"/>
        </w:rPr>
      </w:pPr>
    </w:p>
    <w:p w14:paraId="279B572F" w14:textId="0D6C6312" w:rsidR="002F0D71" w:rsidRDefault="002F0D71" w:rsidP="002F0D71">
      <w:pPr>
        <w:tabs>
          <w:tab w:val="right" w:pos="9214"/>
          <w:tab w:val="right" w:leader="dot" w:pos="9356"/>
        </w:tabs>
        <w:ind w:right="-2"/>
        <w:rPr>
          <w:rFonts w:asciiTheme="minorHAnsi" w:hAnsiTheme="minorHAnsi" w:cs="Calibri"/>
        </w:rPr>
      </w:pPr>
    </w:p>
    <w:p w14:paraId="12215779" w14:textId="24257DB2" w:rsidR="002F0D71" w:rsidRDefault="002F0D71" w:rsidP="002F0D71">
      <w:pPr>
        <w:tabs>
          <w:tab w:val="right" w:pos="9214"/>
          <w:tab w:val="right" w:leader="dot" w:pos="9356"/>
        </w:tabs>
        <w:ind w:right="-2"/>
        <w:rPr>
          <w:rFonts w:asciiTheme="minorHAnsi" w:hAnsiTheme="minorHAnsi" w:cs="Calibri"/>
        </w:rPr>
      </w:pPr>
    </w:p>
    <w:p w14:paraId="4D53ED1B" w14:textId="27BBFDAD" w:rsidR="002F0D71" w:rsidRDefault="002F0D71" w:rsidP="002F0D71">
      <w:pPr>
        <w:tabs>
          <w:tab w:val="right" w:pos="9214"/>
          <w:tab w:val="right" w:leader="dot" w:pos="9356"/>
        </w:tabs>
        <w:ind w:right="-2"/>
        <w:rPr>
          <w:rFonts w:asciiTheme="minorHAnsi" w:hAnsiTheme="minorHAnsi" w:cs="Calibri"/>
        </w:rPr>
      </w:pPr>
    </w:p>
    <w:p w14:paraId="71FF99A8" w14:textId="75B6AAA1" w:rsidR="002F0D71" w:rsidRDefault="002F0D71" w:rsidP="002F0D71">
      <w:pPr>
        <w:tabs>
          <w:tab w:val="right" w:pos="9214"/>
          <w:tab w:val="right" w:leader="dot" w:pos="9356"/>
        </w:tabs>
        <w:ind w:right="-2"/>
        <w:rPr>
          <w:rFonts w:asciiTheme="minorHAnsi" w:hAnsiTheme="minorHAnsi" w:cs="Calibri"/>
        </w:rPr>
      </w:pPr>
    </w:p>
    <w:p w14:paraId="7BBCD234" w14:textId="15D90E81" w:rsidR="002F0D71" w:rsidRDefault="002F0D71" w:rsidP="002F0D71">
      <w:pPr>
        <w:tabs>
          <w:tab w:val="right" w:pos="9214"/>
          <w:tab w:val="right" w:leader="dot" w:pos="9356"/>
        </w:tabs>
        <w:ind w:right="-2"/>
        <w:rPr>
          <w:rFonts w:asciiTheme="minorHAnsi" w:hAnsiTheme="minorHAnsi" w:cs="Calibri"/>
        </w:rPr>
      </w:pPr>
    </w:p>
    <w:p w14:paraId="430E16D9" w14:textId="0E8F4E37" w:rsidR="002F0D71" w:rsidRDefault="002F0D71" w:rsidP="002F0D71">
      <w:pPr>
        <w:tabs>
          <w:tab w:val="right" w:pos="9214"/>
          <w:tab w:val="right" w:leader="dot" w:pos="9356"/>
        </w:tabs>
        <w:ind w:right="-2"/>
        <w:rPr>
          <w:rFonts w:asciiTheme="minorHAnsi" w:hAnsiTheme="minorHAnsi" w:cs="Calibri"/>
        </w:rPr>
      </w:pPr>
    </w:p>
    <w:p w14:paraId="2AB83D1E" w14:textId="790D7705" w:rsidR="002F0D71" w:rsidRDefault="002F0D71" w:rsidP="002F0D71">
      <w:pPr>
        <w:tabs>
          <w:tab w:val="right" w:pos="9214"/>
          <w:tab w:val="right" w:leader="dot" w:pos="9356"/>
        </w:tabs>
        <w:ind w:right="-2"/>
        <w:rPr>
          <w:rFonts w:asciiTheme="minorHAnsi" w:hAnsiTheme="minorHAnsi" w:cs="Calibri"/>
        </w:rPr>
      </w:pPr>
    </w:p>
    <w:p w14:paraId="149BF3D4" w14:textId="3DE5CCFB" w:rsidR="002F0D71" w:rsidRDefault="002F0D71" w:rsidP="002F0D71">
      <w:pPr>
        <w:tabs>
          <w:tab w:val="right" w:pos="9214"/>
          <w:tab w:val="right" w:leader="dot" w:pos="9356"/>
        </w:tabs>
        <w:ind w:right="-2"/>
        <w:rPr>
          <w:rFonts w:asciiTheme="minorHAnsi" w:hAnsiTheme="minorHAnsi" w:cs="Calibri"/>
        </w:rPr>
      </w:pPr>
    </w:p>
    <w:p w14:paraId="33F57F2B" w14:textId="6C1C611F" w:rsidR="002F0D71" w:rsidRDefault="002F0D71" w:rsidP="002F0D71">
      <w:pPr>
        <w:tabs>
          <w:tab w:val="right" w:pos="9214"/>
          <w:tab w:val="right" w:leader="dot" w:pos="9356"/>
        </w:tabs>
        <w:ind w:right="-2"/>
        <w:rPr>
          <w:rFonts w:asciiTheme="minorHAnsi" w:hAnsiTheme="minorHAnsi" w:cs="Calibri"/>
        </w:rPr>
      </w:pPr>
    </w:p>
    <w:p w14:paraId="17C6CD90" w14:textId="40C8C4FC" w:rsidR="002F0D71" w:rsidRDefault="002F0D71" w:rsidP="002F0D71">
      <w:pPr>
        <w:tabs>
          <w:tab w:val="right" w:pos="9214"/>
          <w:tab w:val="right" w:leader="dot" w:pos="9356"/>
        </w:tabs>
        <w:ind w:right="-2"/>
        <w:rPr>
          <w:rFonts w:asciiTheme="minorHAnsi" w:hAnsiTheme="minorHAnsi" w:cs="Calibri"/>
        </w:rPr>
      </w:pPr>
    </w:p>
    <w:p w14:paraId="7139CFCF" w14:textId="51E6375A" w:rsidR="002F0D71" w:rsidRDefault="002F0D71" w:rsidP="002F0D71">
      <w:pPr>
        <w:tabs>
          <w:tab w:val="right" w:pos="9214"/>
          <w:tab w:val="right" w:leader="dot" w:pos="9356"/>
        </w:tabs>
        <w:ind w:right="-2"/>
        <w:rPr>
          <w:rFonts w:asciiTheme="minorHAnsi" w:hAnsiTheme="minorHAnsi" w:cs="Calibri"/>
        </w:rPr>
      </w:pPr>
    </w:p>
    <w:p w14:paraId="07E65AFB" w14:textId="2B3CF626" w:rsidR="002F0D71" w:rsidRDefault="002F0D71" w:rsidP="002F0D71">
      <w:pPr>
        <w:tabs>
          <w:tab w:val="right" w:pos="9214"/>
          <w:tab w:val="right" w:leader="dot" w:pos="9356"/>
        </w:tabs>
        <w:ind w:right="-2"/>
        <w:rPr>
          <w:rFonts w:asciiTheme="minorHAnsi" w:hAnsiTheme="minorHAnsi" w:cs="Calibri"/>
        </w:rPr>
      </w:pPr>
    </w:p>
    <w:p w14:paraId="5CBBD4AA" w14:textId="2CDA54D3" w:rsidR="002F0D71" w:rsidRDefault="002F0D71" w:rsidP="002F0D71">
      <w:pPr>
        <w:tabs>
          <w:tab w:val="right" w:pos="9214"/>
          <w:tab w:val="right" w:leader="dot" w:pos="9356"/>
        </w:tabs>
        <w:ind w:right="-2"/>
        <w:rPr>
          <w:rFonts w:asciiTheme="minorHAnsi" w:hAnsiTheme="minorHAnsi" w:cs="Calibri"/>
        </w:rPr>
      </w:pPr>
    </w:p>
    <w:p w14:paraId="4EF4FF0A" w14:textId="27E8FB0D" w:rsidR="002F0D71" w:rsidRDefault="002F0D71" w:rsidP="002F0D71">
      <w:pPr>
        <w:tabs>
          <w:tab w:val="right" w:pos="9214"/>
          <w:tab w:val="right" w:leader="dot" w:pos="9356"/>
        </w:tabs>
        <w:ind w:right="-2"/>
        <w:rPr>
          <w:rFonts w:asciiTheme="minorHAnsi" w:hAnsiTheme="minorHAnsi" w:cs="Calibri"/>
        </w:rPr>
      </w:pPr>
    </w:p>
    <w:p w14:paraId="2FF3E216" w14:textId="3A3540F5" w:rsidR="002F0D71" w:rsidRDefault="002F0D71" w:rsidP="002F0D71">
      <w:pPr>
        <w:tabs>
          <w:tab w:val="right" w:pos="9214"/>
          <w:tab w:val="right" w:leader="dot" w:pos="9356"/>
        </w:tabs>
        <w:ind w:right="-2"/>
        <w:rPr>
          <w:rFonts w:asciiTheme="minorHAnsi" w:hAnsiTheme="minorHAnsi" w:cs="Calibri"/>
        </w:rPr>
      </w:pPr>
    </w:p>
    <w:p w14:paraId="2809BE1D" w14:textId="18CF207A" w:rsidR="002F0D71" w:rsidRDefault="002F0D71" w:rsidP="002F0D71">
      <w:pPr>
        <w:tabs>
          <w:tab w:val="right" w:pos="9214"/>
          <w:tab w:val="right" w:leader="dot" w:pos="9356"/>
        </w:tabs>
        <w:ind w:right="-2"/>
        <w:rPr>
          <w:rFonts w:asciiTheme="minorHAnsi" w:hAnsiTheme="minorHAnsi" w:cs="Calibri"/>
        </w:rPr>
      </w:pPr>
    </w:p>
    <w:p w14:paraId="5D1D95CD" w14:textId="5308BD20" w:rsidR="002F0D71" w:rsidRDefault="002F0D71" w:rsidP="002F0D71">
      <w:pPr>
        <w:tabs>
          <w:tab w:val="right" w:pos="9214"/>
          <w:tab w:val="right" w:leader="dot" w:pos="9356"/>
        </w:tabs>
        <w:ind w:right="-2"/>
        <w:rPr>
          <w:rFonts w:asciiTheme="minorHAnsi" w:hAnsiTheme="minorHAnsi" w:cs="Calibri"/>
        </w:rPr>
      </w:pPr>
    </w:p>
    <w:p w14:paraId="114C64CC" w14:textId="77777777" w:rsidR="002F0D71" w:rsidRPr="00C96B09" w:rsidRDefault="002F0D71" w:rsidP="002F0D71">
      <w:pPr>
        <w:tabs>
          <w:tab w:val="right" w:pos="9214"/>
          <w:tab w:val="right" w:leader="dot" w:pos="9356"/>
        </w:tabs>
        <w:ind w:right="-2"/>
        <w:rPr>
          <w:rFonts w:asciiTheme="minorHAnsi" w:hAnsiTheme="minorHAnsi" w:cs="Calibri"/>
        </w:rPr>
      </w:pPr>
    </w:p>
    <w:p w14:paraId="5C2E1EBD" w14:textId="5FC05322" w:rsidR="00F22269" w:rsidRDefault="00F22269" w:rsidP="00F22269">
      <w:pPr>
        <w:tabs>
          <w:tab w:val="right" w:pos="9214"/>
          <w:tab w:val="right" w:leader="dot" w:pos="9356"/>
        </w:tabs>
        <w:ind w:right="-2"/>
        <w:rPr>
          <w:rFonts w:cs="Arial"/>
          <w:i/>
          <w:iCs/>
          <w:color w:val="009999"/>
          <w:sz w:val="20"/>
          <w:szCs w:val="20"/>
        </w:rPr>
      </w:pPr>
      <w:r>
        <w:rPr>
          <w:rFonts w:cs="Arial"/>
          <w:i/>
          <w:iCs/>
          <w:color w:val="009999"/>
          <w:sz w:val="20"/>
          <w:szCs w:val="20"/>
        </w:rPr>
        <w:t>This report takes into account the particular instructions and requirements of our client. It is not intended for and should not be relied upon by any third party and no responsibility is undertaken to any third party.</w:t>
      </w:r>
    </w:p>
    <w:p w14:paraId="705E10FF" w14:textId="08E366A0" w:rsidR="00F22269" w:rsidRDefault="00F22269" w:rsidP="00F22269">
      <w:pPr>
        <w:tabs>
          <w:tab w:val="right" w:pos="9214"/>
          <w:tab w:val="right" w:leader="dot" w:pos="9356"/>
        </w:tabs>
        <w:ind w:right="-2"/>
        <w:rPr>
          <w:rFonts w:cs="Arial"/>
          <w:i/>
          <w:iCs/>
          <w:color w:val="009999"/>
          <w:sz w:val="20"/>
          <w:szCs w:val="20"/>
        </w:rPr>
      </w:pPr>
      <w:r w:rsidRPr="004B1CF8">
        <w:rPr>
          <w:rFonts w:cs="Arial"/>
          <w:i/>
          <w:iCs/>
          <w:color w:val="009999"/>
          <w:sz w:val="20"/>
          <w:szCs w:val="20"/>
        </w:rPr>
        <w:t>arc</w:t>
      </w:r>
      <w:r w:rsidRPr="00631CB3">
        <w:rPr>
          <w:rFonts w:cs="Arial"/>
          <w:i/>
          <w:iCs/>
          <w:color w:val="009999"/>
          <w:sz w:val="20"/>
          <w:szCs w:val="20"/>
          <w:vertAlign w:val="superscript"/>
        </w:rPr>
        <w:t>4</w:t>
      </w:r>
      <w:r w:rsidRPr="004B1CF8">
        <w:rPr>
          <w:rFonts w:cs="Arial"/>
          <w:i/>
          <w:iCs/>
          <w:color w:val="009999"/>
          <w:sz w:val="20"/>
          <w:szCs w:val="20"/>
          <w:vertAlign w:val="superscript"/>
        </w:rPr>
        <w:t xml:space="preserve"> </w:t>
      </w:r>
      <w:r w:rsidRPr="004B1CF8">
        <w:rPr>
          <w:rFonts w:cs="Arial"/>
          <w:i/>
          <w:iCs/>
          <w:color w:val="009999"/>
          <w:sz w:val="20"/>
          <w:szCs w:val="20"/>
        </w:rPr>
        <w:t xml:space="preserve">Limited accepts no responsibility or liability for, and makes no representation or warranty with respect to, </w:t>
      </w:r>
      <w:r w:rsidRPr="00E05649">
        <w:rPr>
          <w:rFonts w:cs="Arial"/>
          <w:i/>
          <w:iCs/>
          <w:color w:val="009999"/>
          <w:sz w:val="20"/>
          <w:szCs w:val="20"/>
        </w:rPr>
        <w:t>the</w:t>
      </w:r>
      <w:r w:rsidRPr="004B1CF8">
        <w:rPr>
          <w:rFonts w:cs="Arial"/>
          <w:i/>
          <w:iCs/>
          <w:color w:val="009999"/>
          <w:sz w:val="20"/>
          <w:szCs w:val="20"/>
        </w:rPr>
        <w:t xml:space="preserve"> accuracy or completeness of any third party information (including data) that is contained in this document.</w:t>
      </w:r>
    </w:p>
    <w:p w14:paraId="14EA52E6" w14:textId="77777777" w:rsidR="001F27D2" w:rsidRPr="002B2A7F" w:rsidRDefault="00F22269" w:rsidP="001F27D2">
      <w:pPr>
        <w:pStyle w:val="Heading1"/>
        <w:numPr>
          <w:ilvl w:val="0"/>
          <w:numId w:val="0"/>
        </w:numPr>
        <w:ind w:left="11"/>
        <w:rPr>
          <w:rFonts w:asciiTheme="minorHAnsi" w:hAnsiTheme="minorHAnsi" w:cs="Calibri"/>
        </w:rPr>
      </w:pPr>
      <w:bookmarkStart w:id="4" w:name="_Toc399864319"/>
      <w:bookmarkStart w:id="5" w:name="_Toc315343298"/>
      <w:bookmarkStart w:id="6" w:name="_Toc435447730"/>
      <w:bookmarkEnd w:id="3"/>
      <w:r>
        <w:br w:type="page"/>
      </w:r>
      <w:bookmarkStart w:id="7" w:name="_Toc399864307"/>
      <w:bookmarkStart w:id="8" w:name="_Toc428528451"/>
      <w:bookmarkStart w:id="9" w:name="_Toc430084543"/>
      <w:bookmarkStart w:id="10" w:name="_Toc430781998"/>
      <w:bookmarkStart w:id="11" w:name="_Toc395193527"/>
      <w:bookmarkStart w:id="12" w:name="_Toc524935554"/>
      <w:bookmarkStart w:id="13" w:name="_Toc531122846"/>
      <w:bookmarkStart w:id="14" w:name="_Toc532812377"/>
      <w:bookmarkStart w:id="15" w:name="_Toc259024899"/>
      <w:bookmarkStart w:id="16" w:name="_Toc259025711"/>
      <w:bookmarkStart w:id="17" w:name="_Toc273098596"/>
      <w:bookmarkStart w:id="18" w:name="_Toc273698066"/>
      <w:bookmarkStart w:id="19" w:name="_Toc273708398"/>
      <w:bookmarkStart w:id="20" w:name="_Toc273708399"/>
      <w:bookmarkStart w:id="21" w:name="_Toc276144657"/>
      <w:bookmarkStart w:id="22" w:name="_Toc279671524"/>
      <w:bookmarkStart w:id="23" w:name="_Toc280272468"/>
      <w:bookmarkStart w:id="24" w:name="_Toc280272469"/>
      <w:bookmarkStart w:id="25" w:name="_Toc318323498"/>
      <w:bookmarkStart w:id="26" w:name="_Toc333507798"/>
      <w:bookmarkStart w:id="27" w:name="_Toc399864480"/>
      <w:bookmarkStart w:id="28" w:name="_Toc428528528"/>
      <w:bookmarkStart w:id="29" w:name="_Toc430084621"/>
      <w:bookmarkStart w:id="30" w:name="_Toc430782061"/>
      <w:bookmarkStart w:id="31" w:name="_Toc199848568"/>
      <w:bookmarkStart w:id="32" w:name="_Toc209254591"/>
      <w:bookmarkStart w:id="33" w:name="_Toc210728255"/>
      <w:bookmarkEnd w:id="4"/>
      <w:bookmarkEnd w:id="5"/>
      <w:bookmarkEnd w:id="6"/>
      <w:r w:rsidR="001F27D2" w:rsidRPr="002B2A7F">
        <w:rPr>
          <w:rFonts w:asciiTheme="minorHAnsi" w:hAnsiTheme="minorHAnsi" w:cs="Calibri"/>
        </w:rPr>
        <w:lastRenderedPageBreak/>
        <w:t>Executive Summary</w:t>
      </w:r>
      <w:bookmarkEnd w:id="7"/>
      <w:bookmarkEnd w:id="8"/>
      <w:bookmarkEnd w:id="9"/>
      <w:bookmarkEnd w:id="10"/>
      <w:bookmarkEnd w:id="11"/>
      <w:bookmarkEnd w:id="12"/>
      <w:bookmarkEnd w:id="13"/>
      <w:bookmarkEnd w:id="14"/>
    </w:p>
    <w:p w14:paraId="148160CC" w14:textId="77777777" w:rsidR="001F27D2" w:rsidRPr="002B2A7F" w:rsidRDefault="001F27D2" w:rsidP="001F27D2">
      <w:pPr>
        <w:pStyle w:val="Heading2"/>
        <w:ind w:left="720"/>
        <w:rPr>
          <w:rFonts w:asciiTheme="minorHAnsi" w:hAnsiTheme="minorHAnsi"/>
        </w:rPr>
      </w:pPr>
      <w:bookmarkStart w:id="34" w:name="_Toc360192555"/>
      <w:bookmarkStart w:id="35" w:name="_Toc399864308"/>
      <w:bookmarkStart w:id="36" w:name="_Toc285286520"/>
      <w:bookmarkStart w:id="37" w:name="_Toc428528452"/>
      <w:bookmarkStart w:id="38" w:name="_Toc430084544"/>
      <w:bookmarkStart w:id="39" w:name="_Toc430781999"/>
      <w:bookmarkStart w:id="40" w:name="_Toc305277785"/>
      <w:bookmarkStart w:id="41" w:name="_Toc432599011"/>
      <w:bookmarkStart w:id="42" w:name="_Toc319240011"/>
      <w:bookmarkStart w:id="43" w:name="_Toc482784867"/>
      <w:bookmarkStart w:id="44" w:name="_Toc359601833"/>
      <w:bookmarkStart w:id="45" w:name="_Toc517370598"/>
      <w:bookmarkStart w:id="46" w:name="_Toc391314042"/>
      <w:bookmarkStart w:id="47" w:name="_Toc395193528"/>
      <w:bookmarkStart w:id="48" w:name="_Toc524935555"/>
      <w:bookmarkStart w:id="49" w:name="_Toc531122847"/>
      <w:bookmarkStart w:id="50" w:name="_Toc531265784"/>
      <w:bookmarkStart w:id="51" w:name="_Toc532812378"/>
      <w:r w:rsidRPr="002B2A7F">
        <w:rPr>
          <w:rFonts w:asciiTheme="minorHAnsi" w:hAnsiTheme="minorHAnsi"/>
        </w:rPr>
        <w:t>Introduction</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426B262F" w14:textId="78E3D768" w:rsidR="001F27D2" w:rsidRPr="002B2A7F" w:rsidRDefault="001F27D2" w:rsidP="001F27D2">
      <w:pPr>
        <w:rPr>
          <w:rFonts w:asciiTheme="minorHAnsi" w:hAnsiTheme="minorHAnsi" w:cs="Calibri"/>
        </w:rPr>
      </w:pPr>
      <w:r w:rsidRPr="002B2A7F">
        <w:rPr>
          <w:rFonts w:asciiTheme="minorHAnsi" w:hAnsiTheme="minorHAnsi" w:cs="Calibri"/>
        </w:rPr>
        <w:t xml:space="preserve">The Eden District Housing Needs Survey (HNS) 2018 provides the latest available evidence to help shape the future planning and housing policies of the area. The study will help inform updates to the Council’s Local Plan and other strategies. </w:t>
      </w:r>
      <w:r w:rsidRPr="002B2A7F">
        <w:rPr>
          <w:rFonts w:asciiTheme="minorHAnsi" w:hAnsiTheme="minorHAnsi" w:cs="Calibri"/>
          <w:bCs/>
          <w:color w:val="141414"/>
          <w:lang w:val="en-US"/>
        </w:rPr>
        <w:t>It considers the need for affordable housing and the size, type and tenure of housing need for different groups within the community.</w:t>
      </w:r>
      <w:r w:rsidRPr="002B2A7F">
        <w:rPr>
          <w:rFonts w:asciiTheme="minorHAnsi" w:hAnsiTheme="minorHAnsi" w:cs="Calibri"/>
        </w:rPr>
        <w:t xml:space="preserve"> This research provides an up-to-date analysis of the social, economic, housing and demographic situation across the area.</w:t>
      </w:r>
    </w:p>
    <w:p w14:paraId="23A4BC22" w14:textId="77777777" w:rsidR="001F27D2" w:rsidRPr="002B2A7F" w:rsidRDefault="001F27D2" w:rsidP="001F27D2">
      <w:pPr>
        <w:pStyle w:val="Maintext"/>
        <w:numPr>
          <w:ilvl w:val="0"/>
          <w:numId w:val="0"/>
        </w:numPr>
        <w:rPr>
          <w:rFonts w:asciiTheme="minorHAnsi" w:hAnsiTheme="minorHAnsi" w:cs="Calibri"/>
        </w:rPr>
      </w:pPr>
      <w:r w:rsidRPr="002B2A7F">
        <w:rPr>
          <w:rFonts w:asciiTheme="minorHAnsi" w:hAnsiTheme="minorHAnsi" w:cs="Calibri"/>
        </w:rPr>
        <w:t>The 2018 study comprises:</w:t>
      </w:r>
    </w:p>
    <w:p w14:paraId="01D21CC7" w14:textId="77777777" w:rsidR="001F27D2" w:rsidRPr="002B2A7F" w:rsidRDefault="001F27D2" w:rsidP="001F27D2">
      <w:pPr>
        <w:pStyle w:val="bullet"/>
        <w:spacing w:before="0"/>
        <w:ind w:left="360"/>
        <w:jc w:val="left"/>
        <w:rPr>
          <w:rFonts w:asciiTheme="minorHAnsi" w:hAnsiTheme="minorHAnsi" w:cs="Calibri"/>
        </w:rPr>
      </w:pPr>
      <w:r w:rsidRPr="002B2A7F">
        <w:rPr>
          <w:rFonts w:asciiTheme="minorHAnsi" w:hAnsiTheme="minorHAnsi" w:cs="Calibri"/>
        </w:rPr>
        <w:t>A comprehensive household survey;</w:t>
      </w:r>
    </w:p>
    <w:p w14:paraId="74A6A926" w14:textId="77777777" w:rsidR="001F27D2" w:rsidRPr="002B2A7F" w:rsidRDefault="001F27D2" w:rsidP="001F27D2">
      <w:pPr>
        <w:pStyle w:val="bullet"/>
        <w:spacing w:before="0"/>
        <w:ind w:left="360"/>
        <w:jc w:val="left"/>
        <w:rPr>
          <w:rFonts w:asciiTheme="minorHAnsi" w:hAnsiTheme="minorHAnsi" w:cs="Calibri"/>
        </w:rPr>
      </w:pPr>
      <w:r w:rsidRPr="002B2A7F">
        <w:rPr>
          <w:rFonts w:asciiTheme="minorHAnsi" w:hAnsiTheme="minorHAnsi" w:cs="Calibri"/>
        </w:rPr>
        <w:t>A review of existing (secondary) data;</w:t>
      </w:r>
    </w:p>
    <w:p w14:paraId="38B4131D" w14:textId="77777777" w:rsidR="001F27D2" w:rsidRPr="002B2A7F" w:rsidRDefault="001F27D2" w:rsidP="001F27D2">
      <w:pPr>
        <w:pStyle w:val="bullet"/>
        <w:spacing w:before="0"/>
        <w:ind w:left="360"/>
        <w:jc w:val="left"/>
        <w:rPr>
          <w:rFonts w:asciiTheme="minorHAnsi" w:hAnsiTheme="minorHAnsi" w:cs="Calibri"/>
        </w:rPr>
      </w:pPr>
      <w:r w:rsidRPr="002B2A7F">
        <w:rPr>
          <w:rFonts w:asciiTheme="minorHAnsi" w:hAnsiTheme="minorHAnsi" w:cs="Calibri"/>
        </w:rPr>
        <w:t>An online survey of stakeholders; and</w:t>
      </w:r>
    </w:p>
    <w:p w14:paraId="6F4E1720" w14:textId="77777777" w:rsidR="001F27D2" w:rsidRPr="002B2A7F" w:rsidRDefault="001F27D2" w:rsidP="001F27D2">
      <w:pPr>
        <w:pStyle w:val="bullet"/>
        <w:spacing w:before="0"/>
        <w:ind w:left="360"/>
        <w:jc w:val="left"/>
        <w:rPr>
          <w:rFonts w:asciiTheme="minorHAnsi" w:hAnsiTheme="minorHAnsi" w:cs="Calibri"/>
        </w:rPr>
      </w:pPr>
      <w:r w:rsidRPr="002B2A7F">
        <w:rPr>
          <w:rFonts w:asciiTheme="minorHAnsi" w:hAnsiTheme="minorHAnsi" w:cs="Calibri"/>
        </w:rPr>
        <w:t>Interviews with estate and letting agents.</w:t>
      </w:r>
    </w:p>
    <w:p w14:paraId="21DA0D6E" w14:textId="51CF4958" w:rsidR="001F27D2" w:rsidRPr="002B2A7F" w:rsidRDefault="001F27D2" w:rsidP="001F27D2">
      <w:pPr>
        <w:pStyle w:val="Maintext"/>
        <w:numPr>
          <w:ilvl w:val="0"/>
          <w:numId w:val="0"/>
        </w:numPr>
        <w:rPr>
          <w:rFonts w:asciiTheme="minorHAnsi" w:hAnsiTheme="minorHAnsi" w:cs="Calibri"/>
        </w:rPr>
      </w:pPr>
      <w:r w:rsidRPr="002B2A7F">
        <w:rPr>
          <w:rFonts w:asciiTheme="minorHAnsi" w:hAnsiTheme="minorHAnsi" w:cs="Calibri"/>
        </w:rPr>
        <w:t xml:space="preserve">The findings from the study provide an up-to-date, robust and defensible evidence base for policy development, in accordance with </w:t>
      </w:r>
      <w:r w:rsidR="002B3FC9">
        <w:rPr>
          <w:rFonts w:asciiTheme="minorHAnsi" w:hAnsiTheme="minorHAnsi" w:cs="Calibri"/>
        </w:rPr>
        <w:t>G</w:t>
      </w:r>
      <w:r w:rsidRPr="002B2A7F">
        <w:rPr>
          <w:rFonts w:asciiTheme="minorHAnsi" w:hAnsiTheme="minorHAnsi" w:cs="Calibri"/>
        </w:rPr>
        <w:t xml:space="preserve">overnment policy and guidance.  </w:t>
      </w:r>
    </w:p>
    <w:p w14:paraId="4541F087" w14:textId="77777777" w:rsidR="001F27D2" w:rsidRPr="002B2A7F" w:rsidRDefault="001F27D2" w:rsidP="001F27D2">
      <w:pPr>
        <w:rPr>
          <w:rFonts w:asciiTheme="minorHAnsi" w:hAnsiTheme="minorHAnsi" w:cs="Calibri"/>
        </w:rPr>
      </w:pPr>
    </w:p>
    <w:p w14:paraId="0DB55465" w14:textId="77777777" w:rsidR="001F27D2" w:rsidRPr="002B2A7F" w:rsidRDefault="001F27D2" w:rsidP="001F27D2">
      <w:pPr>
        <w:pStyle w:val="Heading2"/>
        <w:ind w:left="720"/>
        <w:rPr>
          <w:rFonts w:asciiTheme="minorHAnsi" w:hAnsiTheme="minorHAnsi" w:cs="Calibri"/>
        </w:rPr>
      </w:pPr>
      <w:bookmarkStart w:id="52" w:name="_Toc360192556"/>
      <w:bookmarkStart w:id="53" w:name="_Toc399864309"/>
      <w:bookmarkStart w:id="54" w:name="_Toc285286521"/>
      <w:bookmarkStart w:id="55" w:name="_Toc428528453"/>
      <w:bookmarkStart w:id="56" w:name="_Toc430084545"/>
      <w:bookmarkStart w:id="57" w:name="_Toc430782000"/>
      <w:bookmarkStart w:id="58" w:name="_Toc305277786"/>
      <w:bookmarkStart w:id="59" w:name="_Toc432599012"/>
      <w:bookmarkStart w:id="60" w:name="_Toc319240012"/>
      <w:bookmarkStart w:id="61" w:name="_Toc482784868"/>
      <w:bookmarkStart w:id="62" w:name="_Toc359601834"/>
      <w:bookmarkStart w:id="63" w:name="_Toc517370599"/>
      <w:bookmarkStart w:id="64" w:name="_Toc391314043"/>
      <w:bookmarkStart w:id="65" w:name="_Toc395193529"/>
      <w:bookmarkStart w:id="66" w:name="_Toc524935556"/>
      <w:bookmarkStart w:id="67" w:name="_Toc531122848"/>
      <w:bookmarkStart w:id="68" w:name="_Toc531265785"/>
      <w:bookmarkStart w:id="69" w:name="_Toc532812379"/>
      <w:r w:rsidRPr="002B2A7F">
        <w:rPr>
          <w:rFonts w:asciiTheme="minorHAnsi" w:hAnsiTheme="minorHAnsi" w:cs="Calibri"/>
        </w:rPr>
        <w:t xml:space="preserve">Housing market </w:t>
      </w:r>
      <w:r w:rsidRPr="002B2A7F">
        <w:rPr>
          <w:rFonts w:asciiTheme="minorHAnsi" w:hAnsiTheme="minorHAnsi"/>
        </w:rPr>
        <w:t>context</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00736902" w14:textId="77777777" w:rsidR="001F27D2" w:rsidRPr="002B2A7F" w:rsidRDefault="001F27D2" w:rsidP="001F27D2">
      <w:pPr>
        <w:pStyle w:val="Heading3"/>
        <w:ind w:left="11"/>
        <w:rPr>
          <w:rFonts w:asciiTheme="minorHAnsi" w:hAnsiTheme="minorHAnsi" w:cs="Calibri"/>
        </w:rPr>
      </w:pPr>
      <w:bookmarkStart w:id="70" w:name="_Toc360192557"/>
      <w:bookmarkStart w:id="71" w:name="_Toc399864310"/>
      <w:r w:rsidRPr="002B2A7F">
        <w:rPr>
          <w:rFonts w:asciiTheme="minorHAnsi" w:hAnsiTheme="minorHAnsi" w:cs="Calibri"/>
        </w:rPr>
        <w:t>House prices</w:t>
      </w:r>
      <w:bookmarkEnd w:id="70"/>
      <w:bookmarkEnd w:id="71"/>
    </w:p>
    <w:p w14:paraId="66901BAF" w14:textId="77777777" w:rsidR="001F27D2" w:rsidRPr="002B2A7F" w:rsidRDefault="001F27D2" w:rsidP="001F27D2">
      <w:pPr>
        <w:pStyle w:val="Reporttext"/>
        <w:numPr>
          <w:ilvl w:val="0"/>
          <w:numId w:val="0"/>
        </w:numPr>
      </w:pPr>
      <w:r w:rsidRPr="002B2A7F">
        <w:t xml:space="preserve">Overall, median prices have increased slightly from £185,000 in 2007 to £187,475 in 2017, an increase of 1.3%. </w:t>
      </w:r>
    </w:p>
    <w:p w14:paraId="4182FDFD" w14:textId="12B906DE" w:rsidR="001F27D2" w:rsidRPr="002B2A7F" w:rsidRDefault="001F27D2" w:rsidP="001F27D2">
      <w:pPr>
        <w:pStyle w:val="Reporttext"/>
        <w:numPr>
          <w:ilvl w:val="0"/>
          <w:numId w:val="0"/>
        </w:numPr>
      </w:pPr>
      <w:r w:rsidRPr="002B2A7F">
        <w:t xml:space="preserve">The pattern of median house price change is similar to that of the </w:t>
      </w:r>
      <w:r w:rsidR="00674CE5">
        <w:t>N</w:t>
      </w:r>
      <w:r w:rsidRPr="002B2A7F">
        <w:t xml:space="preserve">orth </w:t>
      </w:r>
      <w:r w:rsidR="00674CE5">
        <w:t>W</w:t>
      </w:r>
      <w:r w:rsidRPr="002B2A7F">
        <w:t xml:space="preserve">est region albeit with Eden District’s prices being considerably higher throughout the period. This is different to England as a whole which has seen a steady 23.6% rise in prices since 2009. </w:t>
      </w:r>
    </w:p>
    <w:p w14:paraId="5956AA0D" w14:textId="77777777" w:rsidR="001F27D2" w:rsidRPr="002B2A7F" w:rsidRDefault="001F27D2" w:rsidP="001F27D2">
      <w:pPr>
        <w:pStyle w:val="Reporttext"/>
        <w:numPr>
          <w:ilvl w:val="0"/>
          <w:numId w:val="0"/>
        </w:numPr>
      </w:pPr>
      <w:r w:rsidRPr="002B2A7F">
        <w:t>Lower quartile house prices across Eden were £130,000 at 2017, a drop of 6.1% compared with £138,500 in 2007.</w:t>
      </w:r>
    </w:p>
    <w:p w14:paraId="6CC69813" w14:textId="77777777" w:rsidR="001F27D2" w:rsidRPr="002B2A7F" w:rsidRDefault="001F27D2" w:rsidP="001F27D2">
      <w:pPr>
        <w:pStyle w:val="Reporttext"/>
        <w:numPr>
          <w:ilvl w:val="0"/>
          <w:numId w:val="0"/>
        </w:numPr>
      </w:pPr>
      <w:r w:rsidRPr="002B2A7F">
        <w:t>Like some other local authority areas, there was a fall in lower quartile prices during the period 2007 to 2017. The overall lower quartile average for the region fell slightly too, compared to 10% growth for England as a whole.</w:t>
      </w:r>
    </w:p>
    <w:p w14:paraId="19C50B90" w14:textId="77777777" w:rsidR="001F27D2" w:rsidRPr="002B2A7F" w:rsidRDefault="001F27D2" w:rsidP="001F27D2">
      <w:pPr>
        <w:pStyle w:val="Maintext"/>
        <w:numPr>
          <w:ilvl w:val="1"/>
          <w:numId w:val="0"/>
        </w:numPr>
        <w:shd w:val="clear" w:color="auto" w:fill="FFFFFF" w:themeFill="background1"/>
        <w:rPr>
          <w:rFonts w:asciiTheme="minorHAnsi" w:hAnsiTheme="minorHAnsi" w:cs="Calibri"/>
        </w:rPr>
      </w:pPr>
    </w:p>
    <w:p w14:paraId="37595420" w14:textId="77777777" w:rsidR="001F27D2" w:rsidRPr="002B2A7F" w:rsidRDefault="001F27D2" w:rsidP="001F27D2">
      <w:pPr>
        <w:pStyle w:val="Heading3"/>
        <w:ind w:left="0"/>
        <w:rPr>
          <w:rFonts w:asciiTheme="minorHAnsi" w:hAnsiTheme="minorHAnsi" w:cs="Calibri"/>
        </w:rPr>
      </w:pPr>
      <w:bookmarkStart w:id="72" w:name="_Toc360192558"/>
      <w:bookmarkStart w:id="73" w:name="_Toc399864311"/>
      <w:r w:rsidRPr="002B2A7F">
        <w:rPr>
          <w:rFonts w:asciiTheme="minorHAnsi" w:hAnsiTheme="minorHAnsi" w:cs="Calibri"/>
        </w:rPr>
        <w:t>Dwelling stock</w:t>
      </w:r>
      <w:bookmarkEnd w:id="72"/>
      <w:bookmarkEnd w:id="73"/>
    </w:p>
    <w:p w14:paraId="78FD2E08" w14:textId="77777777" w:rsidR="001F27D2" w:rsidRPr="002B2A7F" w:rsidRDefault="001F27D2" w:rsidP="001F27D2">
      <w:pPr>
        <w:rPr>
          <w:rFonts w:asciiTheme="minorHAnsi" w:hAnsiTheme="minorHAnsi" w:cs="Calibri"/>
        </w:rPr>
      </w:pPr>
      <w:bookmarkStart w:id="74" w:name="_Toc360192559"/>
      <w:bookmarkStart w:id="75" w:name="_Toc399864312"/>
      <w:r w:rsidRPr="002B2A7F">
        <w:rPr>
          <w:rFonts w:asciiTheme="minorHAnsi" w:hAnsiTheme="minorHAnsi" w:cs="Calibri"/>
        </w:rPr>
        <w:t xml:space="preserve">Based on 2018 Council Tax data there are 25,997 dwellings across Eden District and 23,763 households (occupied dwellings): </w:t>
      </w:r>
    </w:p>
    <w:p w14:paraId="23DBE404" w14:textId="77777777" w:rsidR="001F27D2" w:rsidRPr="002B2A7F" w:rsidRDefault="001F27D2" w:rsidP="001F27D2">
      <w:pPr>
        <w:pStyle w:val="bullet"/>
        <w:spacing w:before="0"/>
        <w:ind w:left="360"/>
        <w:jc w:val="left"/>
        <w:rPr>
          <w:rFonts w:asciiTheme="minorHAnsi" w:hAnsiTheme="minorHAnsi"/>
        </w:rPr>
      </w:pPr>
      <w:r w:rsidRPr="002B2A7F">
        <w:rPr>
          <w:rFonts w:asciiTheme="minorHAnsi" w:hAnsiTheme="minorHAnsi"/>
        </w:rPr>
        <w:t xml:space="preserve">detached houses form 26.9% of the housing stock; </w:t>
      </w:r>
    </w:p>
    <w:p w14:paraId="45C731B6" w14:textId="77777777" w:rsidR="001F27D2" w:rsidRPr="002B2A7F" w:rsidRDefault="001F27D2" w:rsidP="001F27D2">
      <w:pPr>
        <w:pStyle w:val="bullet"/>
        <w:spacing w:before="0"/>
        <w:ind w:left="360"/>
        <w:jc w:val="left"/>
        <w:rPr>
          <w:rFonts w:asciiTheme="minorHAnsi" w:hAnsiTheme="minorHAnsi"/>
        </w:rPr>
      </w:pPr>
      <w:r w:rsidRPr="002B2A7F">
        <w:rPr>
          <w:rFonts w:asciiTheme="minorHAnsi" w:hAnsiTheme="minorHAnsi"/>
        </w:rPr>
        <w:t>semi-detached houses form 23.6% of the housing stock;</w:t>
      </w:r>
    </w:p>
    <w:p w14:paraId="05CAFF2B" w14:textId="77777777" w:rsidR="001F27D2" w:rsidRPr="002B2A7F" w:rsidRDefault="001F27D2" w:rsidP="001F27D2">
      <w:pPr>
        <w:pStyle w:val="bullet"/>
        <w:spacing w:before="0"/>
        <w:ind w:left="360"/>
        <w:jc w:val="left"/>
        <w:rPr>
          <w:rFonts w:asciiTheme="minorHAnsi" w:hAnsiTheme="minorHAnsi"/>
        </w:rPr>
      </w:pPr>
      <w:r w:rsidRPr="002B2A7F">
        <w:rPr>
          <w:rFonts w:asciiTheme="minorHAnsi" w:hAnsiTheme="minorHAnsi"/>
        </w:rPr>
        <w:t>terraced houses form 24.0% of the housing stock;</w:t>
      </w:r>
    </w:p>
    <w:p w14:paraId="57ABC540" w14:textId="77777777" w:rsidR="001F27D2" w:rsidRPr="002B2A7F" w:rsidRDefault="001F27D2" w:rsidP="001F27D2">
      <w:pPr>
        <w:pStyle w:val="bullet"/>
        <w:spacing w:before="0"/>
        <w:ind w:left="360"/>
        <w:jc w:val="left"/>
        <w:rPr>
          <w:rFonts w:asciiTheme="minorHAnsi" w:hAnsiTheme="minorHAnsi"/>
        </w:rPr>
      </w:pPr>
      <w:r w:rsidRPr="002B2A7F">
        <w:rPr>
          <w:rFonts w:asciiTheme="minorHAnsi" w:hAnsiTheme="minorHAnsi"/>
        </w:rPr>
        <w:t>bungalows form 15.2% of the housing stock; and</w:t>
      </w:r>
    </w:p>
    <w:p w14:paraId="73BAFDAA" w14:textId="77777777" w:rsidR="001F27D2" w:rsidRPr="002B2A7F" w:rsidRDefault="001F27D2" w:rsidP="001F27D2">
      <w:pPr>
        <w:pStyle w:val="bullet"/>
        <w:spacing w:before="0"/>
        <w:ind w:left="360"/>
        <w:jc w:val="left"/>
        <w:rPr>
          <w:rFonts w:asciiTheme="minorHAnsi" w:hAnsiTheme="minorHAnsi"/>
        </w:rPr>
      </w:pPr>
      <w:r w:rsidRPr="002B2A7F">
        <w:rPr>
          <w:rFonts w:asciiTheme="minorHAnsi" w:hAnsiTheme="minorHAnsi"/>
        </w:rPr>
        <w:t>flats form 10.3% of the housing stock.</w:t>
      </w:r>
    </w:p>
    <w:p w14:paraId="67A265A8" w14:textId="77777777" w:rsidR="001F27D2" w:rsidRPr="002B2A7F" w:rsidRDefault="001F27D2" w:rsidP="001F27D2">
      <w:pPr>
        <w:rPr>
          <w:rFonts w:asciiTheme="minorHAnsi" w:hAnsiTheme="minorHAnsi" w:cs="Calibri"/>
        </w:rPr>
      </w:pPr>
      <w:r w:rsidRPr="002B2A7F">
        <w:rPr>
          <w:rFonts w:asciiTheme="minorHAnsi" w:hAnsiTheme="minorHAnsi" w:cs="Calibri"/>
        </w:rPr>
        <w:lastRenderedPageBreak/>
        <w:t>There is considerable variation of these proportions across the District.</w:t>
      </w:r>
    </w:p>
    <w:p w14:paraId="5C22C475" w14:textId="77777777" w:rsidR="001F27D2" w:rsidRPr="002B2A7F" w:rsidRDefault="001F27D2" w:rsidP="001F27D2">
      <w:pPr>
        <w:rPr>
          <w:rFonts w:asciiTheme="minorHAnsi" w:hAnsiTheme="minorHAnsi" w:cs="Calibri"/>
        </w:rPr>
      </w:pPr>
      <w:r w:rsidRPr="002B2A7F">
        <w:rPr>
          <w:rFonts w:asciiTheme="minorHAnsi" w:hAnsiTheme="minorHAnsi" w:cs="Calibri"/>
        </w:rPr>
        <w:t>Regarding number of bedrooms:</w:t>
      </w:r>
    </w:p>
    <w:p w14:paraId="3CD7A1F5" w14:textId="77777777" w:rsidR="001F27D2" w:rsidRPr="002B2A7F" w:rsidRDefault="001F27D2" w:rsidP="001F27D2">
      <w:pPr>
        <w:pStyle w:val="bullet"/>
        <w:spacing w:before="0"/>
        <w:ind w:left="360"/>
        <w:jc w:val="left"/>
        <w:rPr>
          <w:rFonts w:asciiTheme="minorHAnsi" w:hAnsiTheme="minorHAnsi"/>
        </w:rPr>
      </w:pPr>
      <w:r w:rsidRPr="002B2A7F">
        <w:rPr>
          <w:rFonts w:asciiTheme="minorHAnsi" w:hAnsiTheme="minorHAnsi"/>
        </w:rPr>
        <w:t>1-bedroom housing is 6.0% of the stock,</w:t>
      </w:r>
    </w:p>
    <w:p w14:paraId="376D0B99" w14:textId="77777777" w:rsidR="001F27D2" w:rsidRPr="002B2A7F" w:rsidRDefault="001F27D2" w:rsidP="001F27D2">
      <w:pPr>
        <w:pStyle w:val="bullet"/>
        <w:spacing w:before="0"/>
        <w:ind w:left="360"/>
        <w:jc w:val="left"/>
        <w:rPr>
          <w:rFonts w:asciiTheme="minorHAnsi" w:hAnsiTheme="minorHAnsi"/>
        </w:rPr>
      </w:pPr>
      <w:r w:rsidRPr="002B2A7F">
        <w:rPr>
          <w:rFonts w:asciiTheme="minorHAnsi" w:hAnsiTheme="minorHAnsi"/>
        </w:rPr>
        <w:t>2-bedroom housing is 26.6% of the stock,</w:t>
      </w:r>
    </w:p>
    <w:p w14:paraId="6D62AD05" w14:textId="77777777" w:rsidR="001F27D2" w:rsidRPr="002B2A7F" w:rsidRDefault="001F27D2" w:rsidP="001F27D2">
      <w:pPr>
        <w:pStyle w:val="bullet"/>
        <w:spacing w:before="0"/>
        <w:ind w:left="360"/>
        <w:jc w:val="left"/>
        <w:rPr>
          <w:rFonts w:asciiTheme="minorHAnsi" w:hAnsiTheme="minorHAnsi"/>
        </w:rPr>
      </w:pPr>
      <w:r w:rsidRPr="002B2A7F">
        <w:rPr>
          <w:rFonts w:asciiTheme="minorHAnsi" w:hAnsiTheme="minorHAnsi"/>
        </w:rPr>
        <w:t>3-bedroom housing is 45.6% of the stock,</w:t>
      </w:r>
    </w:p>
    <w:p w14:paraId="7D947ABF" w14:textId="77777777" w:rsidR="001F27D2" w:rsidRPr="002B2A7F" w:rsidRDefault="001F27D2" w:rsidP="001F27D2">
      <w:pPr>
        <w:pStyle w:val="bullet"/>
        <w:spacing w:before="0"/>
        <w:ind w:left="360"/>
        <w:jc w:val="left"/>
        <w:rPr>
          <w:rFonts w:asciiTheme="minorHAnsi" w:hAnsiTheme="minorHAnsi"/>
        </w:rPr>
      </w:pPr>
      <w:r w:rsidRPr="002B2A7F">
        <w:rPr>
          <w:rFonts w:asciiTheme="minorHAnsi" w:hAnsiTheme="minorHAnsi"/>
        </w:rPr>
        <w:t>4-bedroom housing is 21.8% of the stock.</w:t>
      </w:r>
    </w:p>
    <w:p w14:paraId="4435DAD0" w14:textId="4F27B020" w:rsidR="001F27D2" w:rsidRPr="002B2A7F" w:rsidRDefault="001F27D2" w:rsidP="001F27D2">
      <w:pPr>
        <w:pStyle w:val="bullet"/>
        <w:numPr>
          <w:ilvl w:val="0"/>
          <w:numId w:val="0"/>
        </w:numPr>
        <w:rPr>
          <w:rFonts w:asciiTheme="minorHAnsi" w:hAnsiTheme="minorHAnsi" w:cs="Calibri"/>
          <w:bCs/>
        </w:rPr>
      </w:pPr>
      <w:r w:rsidRPr="002B2A7F">
        <w:rPr>
          <w:rFonts w:asciiTheme="minorHAnsi" w:hAnsiTheme="minorHAnsi" w:cs="Calibri"/>
          <w:bCs/>
        </w:rPr>
        <w:t xml:space="preserve">Based upon </w:t>
      </w:r>
      <w:r w:rsidR="00D65A6B">
        <w:rPr>
          <w:rFonts w:asciiTheme="minorHAnsi" w:hAnsiTheme="minorHAnsi" w:cs="Calibri"/>
          <w:bCs/>
        </w:rPr>
        <w:t xml:space="preserve">the </w:t>
      </w:r>
      <w:r w:rsidRPr="002B2A7F">
        <w:rPr>
          <w:rFonts w:asciiTheme="minorHAnsi" w:hAnsiTheme="minorHAnsi" w:cs="Calibri"/>
          <w:bCs/>
        </w:rPr>
        <w:t xml:space="preserve">2011 Census: </w:t>
      </w:r>
    </w:p>
    <w:p w14:paraId="611826EA" w14:textId="77777777" w:rsidR="001F27D2" w:rsidRPr="002B2A7F" w:rsidRDefault="001F27D2" w:rsidP="001F27D2">
      <w:pPr>
        <w:pStyle w:val="bullet"/>
        <w:spacing w:before="0"/>
        <w:ind w:left="360"/>
        <w:jc w:val="left"/>
        <w:rPr>
          <w:rFonts w:asciiTheme="minorHAnsi" w:hAnsiTheme="minorHAnsi"/>
        </w:rPr>
      </w:pPr>
      <w:r w:rsidRPr="002B2A7F">
        <w:rPr>
          <w:rFonts w:asciiTheme="minorHAnsi" w:hAnsiTheme="minorHAnsi"/>
        </w:rPr>
        <w:t>70.6% of occupied dwellings are owner-occupied;</w:t>
      </w:r>
    </w:p>
    <w:p w14:paraId="7699D88A" w14:textId="77777777" w:rsidR="001F27D2" w:rsidRPr="002B2A7F" w:rsidRDefault="001F27D2" w:rsidP="001F27D2">
      <w:pPr>
        <w:pStyle w:val="bullet"/>
        <w:spacing w:before="0"/>
        <w:ind w:left="360"/>
        <w:jc w:val="left"/>
        <w:rPr>
          <w:rFonts w:asciiTheme="minorHAnsi" w:hAnsiTheme="minorHAnsi"/>
        </w:rPr>
      </w:pPr>
      <w:r w:rsidRPr="002B2A7F">
        <w:rPr>
          <w:rFonts w:asciiTheme="minorHAnsi" w:hAnsiTheme="minorHAnsi"/>
        </w:rPr>
        <w:t xml:space="preserve">18.5% are private rented or living rent-free; and </w:t>
      </w:r>
    </w:p>
    <w:p w14:paraId="071517CE" w14:textId="77777777" w:rsidR="001F27D2" w:rsidRPr="002B2A7F" w:rsidRDefault="001F27D2" w:rsidP="001F27D2">
      <w:pPr>
        <w:pStyle w:val="bullet"/>
        <w:spacing w:before="0"/>
        <w:ind w:left="360"/>
        <w:jc w:val="left"/>
        <w:rPr>
          <w:rFonts w:asciiTheme="minorHAnsi" w:hAnsiTheme="minorHAnsi"/>
        </w:rPr>
      </w:pPr>
      <w:r w:rsidRPr="002B2A7F">
        <w:rPr>
          <w:rFonts w:asciiTheme="minorHAnsi" w:hAnsiTheme="minorHAnsi"/>
        </w:rPr>
        <w:t>11.0% are affordable (rented from a social landlord).</w:t>
      </w:r>
    </w:p>
    <w:p w14:paraId="4F3EDC14" w14:textId="77777777" w:rsidR="001F27D2" w:rsidRPr="002B2A7F" w:rsidRDefault="001F27D2" w:rsidP="001F27D2">
      <w:pPr>
        <w:rPr>
          <w:rFonts w:asciiTheme="minorHAnsi" w:hAnsiTheme="minorHAnsi"/>
        </w:rPr>
      </w:pPr>
    </w:p>
    <w:p w14:paraId="398DC57B" w14:textId="77777777" w:rsidR="001F27D2" w:rsidRPr="002B2A7F" w:rsidRDefault="001F27D2" w:rsidP="001F27D2">
      <w:pPr>
        <w:pStyle w:val="Heading3"/>
        <w:ind w:left="0"/>
        <w:rPr>
          <w:rFonts w:asciiTheme="minorHAnsi" w:hAnsiTheme="minorHAnsi" w:cs="Calibri"/>
        </w:rPr>
      </w:pPr>
      <w:r w:rsidRPr="002B2A7F">
        <w:rPr>
          <w:rFonts w:asciiTheme="minorHAnsi" w:hAnsiTheme="minorHAnsi" w:cs="Calibri"/>
        </w:rPr>
        <w:t>Demographic drivers</w:t>
      </w:r>
      <w:bookmarkEnd w:id="74"/>
      <w:bookmarkEnd w:id="75"/>
    </w:p>
    <w:p w14:paraId="0EDDCDD6" w14:textId="5E83C013" w:rsidR="001F27D2" w:rsidRPr="002B2A7F" w:rsidRDefault="001F27D2" w:rsidP="001F27D2">
      <w:pPr>
        <w:pStyle w:val="Maintext"/>
        <w:numPr>
          <w:ilvl w:val="0"/>
          <w:numId w:val="0"/>
        </w:numPr>
        <w:shd w:val="clear" w:color="auto" w:fill="FFFFFF" w:themeFill="background1"/>
        <w:rPr>
          <w:rFonts w:asciiTheme="minorHAnsi" w:hAnsiTheme="minorHAnsi" w:cs="Calibri"/>
          <w:bCs/>
        </w:rPr>
      </w:pPr>
      <w:r w:rsidRPr="002B2A7F">
        <w:rPr>
          <w:rFonts w:asciiTheme="minorHAnsi" w:hAnsiTheme="minorHAnsi" w:cs="Calibri"/>
          <w:bCs/>
        </w:rPr>
        <w:t xml:space="preserve">The population of Eden District is projected to fall by -1.2% by the end of the Local Plan </w:t>
      </w:r>
      <w:r w:rsidR="00A6478E">
        <w:rPr>
          <w:rFonts w:asciiTheme="minorHAnsi" w:hAnsiTheme="minorHAnsi" w:cs="Calibri"/>
          <w:bCs/>
        </w:rPr>
        <w:t>P</w:t>
      </w:r>
      <w:r w:rsidRPr="002B2A7F">
        <w:rPr>
          <w:rFonts w:asciiTheme="minorHAnsi" w:hAnsiTheme="minorHAnsi" w:cs="Calibri"/>
          <w:bCs/>
        </w:rPr>
        <w:t>eriod to 2032, from 56,400 in 2016 to 55,700 in 2032</w:t>
      </w:r>
      <w:r w:rsidRPr="002B2A7F">
        <w:rPr>
          <w:rStyle w:val="FootnoteReference"/>
          <w:rFonts w:asciiTheme="minorHAnsi" w:hAnsiTheme="minorHAnsi" w:cs="Calibri"/>
        </w:rPr>
        <w:footnoteReference w:id="2"/>
      </w:r>
      <w:r w:rsidRPr="002B2A7F">
        <w:rPr>
          <w:rFonts w:asciiTheme="minorHAnsi" w:hAnsiTheme="minorHAnsi" w:cs="Calibri"/>
          <w:bCs/>
        </w:rPr>
        <w:t xml:space="preserve">. </w:t>
      </w:r>
      <w:r w:rsidRPr="002B2A7F">
        <w:rPr>
          <w:rFonts w:asciiTheme="minorHAnsi" w:hAnsiTheme="minorHAnsi" w:cs="Calibri"/>
        </w:rPr>
        <w:t>There will be a marked increase in the number and proportion of older residents. The population aged 65+years is expected to increase by 34.8% from 13,500 in 2016 to 18,200 in 2032</w:t>
      </w:r>
      <w:r w:rsidRPr="002B2A7F">
        <w:rPr>
          <w:rStyle w:val="FootnoteReference"/>
          <w:rFonts w:asciiTheme="minorHAnsi" w:hAnsiTheme="minorHAnsi" w:cs="Calibri"/>
        </w:rPr>
        <w:footnoteReference w:id="3"/>
      </w:r>
      <w:r w:rsidRPr="002B2A7F">
        <w:rPr>
          <w:rFonts w:asciiTheme="minorHAnsi" w:hAnsiTheme="minorHAnsi" w:cs="Calibri"/>
        </w:rPr>
        <w:t xml:space="preserve">. </w:t>
      </w:r>
    </w:p>
    <w:p w14:paraId="6E2E4F86" w14:textId="77777777" w:rsidR="001F27D2" w:rsidRPr="002B2A7F" w:rsidRDefault="001F27D2" w:rsidP="001F27D2">
      <w:pPr>
        <w:rPr>
          <w:rFonts w:asciiTheme="minorHAnsi" w:hAnsiTheme="minorHAnsi"/>
        </w:rPr>
      </w:pPr>
      <w:bookmarkStart w:id="76" w:name="_Toc391314044"/>
      <w:bookmarkStart w:id="77" w:name="_Toc395193530"/>
    </w:p>
    <w:p w14:paraId="01ADBE25" w14:textId="77777777" w:rsidR="001F27D2" w:rsidRPr="002B2A7F" w:rsidRDefault="001F27D2" w:rsidP="001F27D2">
      <w:pPr>
        <w:pStyle w:val="Heading2"/>
        <w:ind w:left="720"/>
        <w:rPr>
          <w:rFonts w:asciiTheme="minorHAnsi" w:hAnsiTheme="minorHAnsi" w:cs="Calibri"/>
        </w:rPr>
      </w:pPr>
      <w:bookmarkStart w:id="78" w:name="_Toc524935557"/>
      <w:bookmarkStart w:id="79" w:name="_Toc531122849"/>
      <w:bookmarkStart w:id="80" w:name="_Toc531265786"/>
      <w:bookmarkStart w:id="81" w:name="_Toc532812380"/>
      <w:r>
        <w:rPr>
          <w:rFonts w:asciiTheme="minorHAnsi" w:hAnsiTheme="minorHAnsi" w:cs="Calibri"/>
        </w:rPr>
        <w:t>Overall d</w:t>
      </w:r>
      <w:r w:rsidRPr="002B2A7F">
        <w:rPr>
          <w:rFonts w:asciiTheme="minorHAnsi" w:hAnsiTheme="minorHAnsi" w:cs="Calibri"/>
        </w:rPr>
        <w:t xml:space="preserve">welling </w:t>
      </w:r>
      <w:r w:rsidRPr="002B2A7F">
        <w:rPr>
          <w:rFonts w:asciiTheme="minorHAnsi" w:hAnsiTheme="minorHAnsi"/>
        </w:rPr>
        <w:t>need</w:t>
      </w:r>
      <w:r w:rsidRPr="002B2A7F">
        <w:rPr>
          <w:rFonts w:asciiTheme="minorHAnsi" w:hAnsiTheme="minorHAnsi" w:cs="Calibri"/>
        </w:rPr>
        <w:t>, type and mix</w:t>
      </w:r>
      <w:bookmarkEnd w:id="76"/>
      <w:bookmarkEnd w:id="77"/>
      <w:bookmarkEnd w:id="78"/>
      <w:bookmarkEnd w:id="79"/>
      <w:bookmarkEnd w:id="80"/>
      <w:bookmarkEnd w:id="81"/>
    </w:p>
    <w:p w14:paraId="01644BAA" w14:textId="5FCAE47F" w:rsidR="001F27D2" w:rsidRPr="002B2A7F" w:rsidRDefault="001F27D2" w:rsidP="001F27D2">
      <w:pPr>
        <w:rPr>
          <w:rFonts w:asciiTheme="minorHAnsi" w:hAnsiTheme="minorHAnsi"/>
        </w:rPr>
      </w:pPr>
      <w:r w:rsidRPr="002B2A7F">
        <w:rPr>
          <w:rFonts w:asciiTheme="minorHAnsi" w:hAnsiTheme="minorHAnsi"/>
        </w:rPr>
        <w:t>The housing requirement for Eden District is 242 dwellings each year</w:t>
      </w:r>
      <w:r w:rsidR="00A074E2">
        <w:rPr>
          <w:rFonts w:asciiTheme="minorHAnsi" w:hAnsiTheme="minorHAnsi"/>
        </w:rPr>
        <w:t xml:space="preserve"> as stated in EDC Local Plan</w:t>
      </w:r>
      <w:r w:rsidRPr="002B2A7F">
        <w:rPr>
          <w:rFonts w:asciiTheme="minorHAnsi" w:hAnsiTheme="minorHAnsi"/>
        </w:rPr>
        <w:t xml:space="preserve">. The purpose of the HNS 2018 is to break this figure down by the various types of need as expressed in the NPPF. </w:t>
      </w:r>
    </w:p>
    <w:p w14:paraId="7FB77167" w14:textId="59DEE8BC" w:rsidR="001F27D2" w:rsidRPr="006A2591" w:rsidRDefault="001F27D2" w:rsidP="001F27D2">
      <w:pPr>
        <w:rPr>
          <w:rFonts w:asciiTheme="minorHAnsi" w:hAnsiTheme="minorHAnsi" w:cs="Calibri"/>
        </w:rPr>
      </w:pPr>
      <w:r w:rsidRPr="006A2591">
        <w:rPr>
          <w:rFonts w:asciiTheme="minorHAnsi" w:hAnsiTheme="minorHAnsi" w:cs="Calibri"/>
        </w:rPr>
        <w:t xml:space="preserve">Affordable housing needs analysis establishes there is an imbalance of 264 affordable dwellings each year across the </w:t>
      </w:r>
      <w:r w:rsidR="002B3FC9">
        <w:rPr>
          <w:rFonts w:asciiTheme="minorHAnsi" w:hAnsiTheme="minorHAnsi" w:cs="Calibri"/>
        </w:rPr>
        <w:t>D</w:t>
      </w:r>
      <w:r w:rsidRPr="006A2591">
        <w:rPr>
          <w:rFonts w:asciiTheme="minorHAnsi" w:hAnsiTheme="minorHAnsi" w:cs="Calibri"/>
        </w:rPr>
        <w:t xml:space="preserve">istrict. This is broken down </w:t>
      </w:r>
      <w:r w:rsidR="002B3FC9">
        <w:rPr>
          <w:rFonts w:asciiTheme="minorHAnsi" w:hAnsiTheme="minorHAnsi" w:cs="Calibri"/>
        </w:rPr>
        <w:t>in</w:t>
      </w:r>
      <w:r w:rsidRPr="006A2591">
        <w:rPr>
          <w:rFonts w:asciiTheme="minorHAnsi" w:hAnsiTheme="minorHAnsi" w:cs="Calibri"/>
        </w:rPr>
        <w:t>to:</w:t>
      </w:r>
    </w:p>
    <w:p w14:paraId="3B86798B" w14:textId="4AC473E5" w:rsidR="001F27D2" w:rsidRPr="006A2591" w:rsidRDefault="001F27D2" w:rsidP="001F27D2">
      <w:pPr>
        <w:pStyle w:val="bullet"/>
        <w:ind w:left="360"/>
        <w:rPr>
          <w:rFonts w:cs="Calibri"/>
        </w:rPr>
      </w:pPr>
      <w:r w:rsidRPr="006A2591">
        <w:t>70.4% smaller one and two-bedroom general needs, 25.3% three or more</w:t>
      </w:r>
      <w:r w:rsidR="002B3FC9">
        <w:t xml:space="preserve"> </w:t>
      </w:r>
      <w:r w:rsidRPr="006A2591">
        <w:t>bedroom general needs and 4.3% older person dwellings;</w:t>
      </w:r>
    </w:p>
    <w:p w14:paraId="30F19D58" w14:textId="35BF7C1D" w:rsidR="001F27D2" w:rsidRPr="006A2591" w:rsidRDefault="001F27D2" w:rsidP="001F27D2">
      <w:pPr>
        <w:pStyle w:val="bullet"/>
        <w:ind w:left="360"/>
        <w:rPr>
          <w:rFonts w:cs="Calibri"/>
        </w:rPr>
      </w:pPr>
      <w:r w:rsidRPr="006A2591">
        <w:t xml:space="preserve">a mix of houses (60.3%) and flats (30.9%) is appropriate along with </w:t>
      </w:r>
      <w:r w:rsidR="002B3FC9">
        <w:t xml:space="preserve">a </w:t>
      </w:r>
      <w:r w:rsidRPr="006A2591">
        <w:t>small number of bungalows (7.3%) and other property types (1.5%);</w:t>
      </w:r>
    </w:p>
    <w:p w14:paraId="402DF643" w14:textId="77777777" w:rsidR="001F27D2" w:rsidRPr="006A2591" w:rsidRDefault="001F27D2" w:rsidP="001F27D2">
      <w:pPr>
        <w:pStyle w:val="bullet"/>
        <w:ind w:left="360"/>
        <w:rPr>
          <w:rFonts w:cs="Calibri"/>
        </w:rPr>
      </w:pPr>
      <w:r w:rsidRPr="006A2591">
        <w:t>a tenure split of 55% rented and 45% intermediate tenure.</w:t>
      </w:r>
    </w:p>
    <w:p w14:paraId="3E4D3225" w14:textId="3317EE16" w:rsidR="001F27D2" w:rsidRDefault="001F27D2" w:rsidP="001F27D2">
      <w:pPr>
        <w:rPr>
          <w:rFonts w:asciiTheme="minorHAnsi" w:hAnsiTheme="minorHAnsi" w:cs="Calibri"/>
        </w:rPr>
      </w:pPr>
      <w:r>
        <w:rPr>
          <w:rFonts w:asciiTheme="minorHAnsi" w:hAnsiTheme="minorHAnsi" w:cs="Calibri"/>
        </w:rPr>
        <w:t xml:space="preserve">An element of this need is likely to be satisfied through new development and the </w:t>
      </w:r>
      <w:r w:rsidR="002B3FC9">
        <w:rPr>
          <w:rFonts w:asciiTheme="minorHAnsi" w:hAnsiTheme="minorHAnsi" w:cs="Calibri"/>
        </w:rPr>
        <w:t>L</w:t>
      </w:r>
      <w:r>
        <w:rPr>
          <w:rFonts w:asciiTheme="minorHAnsi" w:hAnsiTheme="minorHAnsi" w:cs="Calibri"/>
        </w:rPr>
        <w:t xml:space="preserve">ocal </w:t>
      </w:r>
      <w:r w:rsidR="002B3FC9">
        <w:rPr>
          <w:rFonts w:asciiTheme="minorHAnsi" w:hAnsiTheme="minorHAnsi" w:cs="Calibri"/>
        </w:rPr>
        <w:t>P</w:t>
      </w:r>
      <w:r>
        <w:rPr>
          <w:rFonts w:asciiTheme="minorHAnsi" w:hAnsiTheme="minorHAnsi" w:cs="Calibri"/>
        </w:rPr>
        <w:t>lan establishes a target of 30% of new dwellings to be affordable</w:t>
      </w:r>
      <w:r w:rsidR="002B3FC9">
        <w:rPr>
          <w:rFonts w:asciiTheme="minorHAnsi" w:hAnsiTheme="minorHAnsi" w:cs="Calibri"/>
        </w:rPr>
        <w:t>;</w:t>
      </w:r>
      <w:r>
        <w:rPr>
          <w:rFonts w:asciiTheme="minorHAnsi" w:hAnsiTheme="minorHAnsi" w:cs="Calibri"/>
        </w:rPr>
        <w:t xml:space="preserve"> this is reasonable and proportionate and reflects the </w:t>
      </w:r>
      <w:r w:rsidR="000264FC">
        <w:rPr>
          <w:rFonts w:asciiTheme="minorHAnsi" w:hAnsiTheme="minorHAnsi" w:cs="Calibri"/>
        </w:rPr>
        <w:t xml:space="preserve">general </w:t>
      </w:r>
      <w:r>
        <w:rPr>
          <w:rFonts w:asciiTheme="minorHAnsi" w:hAnsiTheme="minorHAnsi" w:cs="Calibri"/>
        </w:rPr>
        <w:t xml:space="preserve">economic viability of delivery. </w:t>
      </w:r>
    </w:p>
    <w:p w14:paraId="32898C0F" w14:textId="77777777" w:rsidR="001F27D2" w:rsidRPr="006A2591" w:rsidRDefault="001F27D2" w:rsidP="001F27D2">
      <w:pPr>
        <w:rPr>
          <w:rFonts w:asciiTheme="minorHAnsi" w:hAnsiTheme="minorHAnsi" w:cs="Calibri"/>
        </w:rPr>
      </w:pPr>
      <w:r w:rsidRPr="006A2591">
        <w:rPr>
          <w:rFonts w:asciiTheme="minorHAnsi" w:hAnsiTheme="minorHAnsi" w:cs="Calibri"/>
        </w:rPr>
        <w:t>The income required to fund various affordable and low cost home ownership options are explored.</w:t>
      </w:r>
      <w:r>
        <w:rPr>
          <w:rFonts w:asciiTheme="minorHAnsi" w:hAnsiTheme="minorHAnsi" w:cs="Calibri"/>
        </w:rPr>
        <w:t xml:space="preserve"> </w:t>
      </w:r>
      <w:r w:rsidRPr="006A2591">
        <w:rPr>
          <w:rFonts w:asciiTheme="minorHAnsi" w:hAnsiTheme="minorHAnsi" w:cs="Calibri"/>
        </w:rPr>
        <w:t xml:space="preserve">Entry level prices for market housing would require a household income of around £34,700 if buying (assuming a 10% deposit) and £22,900 if renting, but these amounts vary by housing market area. </w:t>
      </w:r>
    </w:p>
    <w:p w14:paraId="61CEF463" w14:textId="1820B1F1" w:rsidR="001F27D2" w:rsidRPr="002B2A7F" w:rsidRDefault="001F27D2" w:rsidP="001F27D2">
      <w:pPr>
        <w:pStyle w:val="Reporttext"/>
        <w:numPr>
          <w:ilvl w:val="0"/>
          <w:numId w:val="0"/>
        </w:numPr>
      </w:pPr>
      <w:r w:rsidRPr="006A2591">
        <w:lastRenderedPageBreak/>
        <w:t xml:space="preserve">The current local plan target is for 242 dwellings and based on analysis of the current profile of residents and the dwellings they occupy. </w:t>
      </w:r>
      <w:r w:rsidRPr="002B2A7F">
        <w:t xml:space="preserve">Assuming a 70% market and 30% affordable split, </w:t>
      </w:r>
      <w:r>
        <w:t xml:space="preserve">over the </w:t>
      </w:r>
      <w:r w:rsidR="00A6478E">
        <w:t>P</w:t>
      </w:r>
      <w:r>
        <w:t xml:space="preserve">lan </w:t>
      </w:r>
      <w:r w:rsidR="00A6478E">
        <w:t>P</w:t>
      </w:r>
      <w:r>
        <w:t xml:space="preserve">eriod </w:t>
      </w:r>
      <w:r w:rsidRPr="002B2A7F">
        <w:t>a range of dwelling types and sizes is required with a particular emphasis on the delivery of three bedroom market houses and bungalows (or level-access accommodation); and a particular affordable need for 2-bedroom flats, bungalows and 3- bedroom houses</w:t>
      </w:r>
      <w:r>
        <w:t>.</w:t>
      </w:r>
    </w:p>
    <w:p w14:paraId="5B826B1B" w14:textId="77777777" w:rsidR="001F27D2" w:rsidRDefault="001F27D2" w:rsidP="001F27D2">
      <w:pPr>
        <w:rPr>
          <w:rFonts w:asciiTheme="minorHAnsi" w:hAnsiTheme="minorHAnsi" w:cs="Calibri"/>
        </w:rPr>
      </w:pPr>
    </w:p>
    <w:p w14:paraId="3553CF4A" w14:textId="77777777" w:rsidR="001F27D2" w:rsidRPr="002B2A7F" w:rsidRDefault="001F27D2" w:rsidP="001F27D2">
      <w:pPr>
        <w:pStyle w:val="Heading2"/>
        <w:ind w:left="720"/>
        <w:rPr>
          <w:rFonts w:asciiTheme="minorHAnsi" w:hAnsiTheme="minorHAnsi" w:cs="Calibri"/>
        </w:rPr>
      </w:pPr>
      <w:bookmarkStart w:id="82" w:name="_Toc531265787"/>
      <w:bookmarkStart w:id="83" w:name="_Toc532812381"/>
      <w:r>
        <w:rPr>
          <w:rFonts w:asciiTheme="minorHAnsi" w:hAnsiTheme="minorHAnsi" w:cs="Calibri"/>
        </w:rPr>
        <w:t>Older person, adapted and specialist need</w:t>
      </w:r>
      <w:bookmarkEnd w:id="82"/>
      <w:bookmarkEnd w:id="83"/>
    </w:p>
    <w:p w14:paraId="6B44139C" w14:textId="20293045" w:rsidR="001F27D2" w:rsidRPr="002B2A7F" w:rsidRDefault="001F27D2" w:rsidP="001F27D2">
      <w:pPr>
        <w:pStyle w:val="Reporttext"/>
        <w:numPr>
          <w:ilvl w:val="0"/>
          <w:numId w:val="0"/>
        </w:numPr>
        <w:rPr>
          <w:lang w:val="en-US"/>
        </w:rPr>
      </w:pPr>
      <w:r w:rsidRPr="002B2A7F">
        <w:t xml:space="preserve">There is evidence to support a programme of accommodation delivery to help meet the needs of older people and those with disabilities. Although the vast majority of older people want to remain in their own home with support when needed, there is a need to diversify options available to older people wanting to move to more appropriate </w:t>
      </w:r>
      <w:r>
        <w:t>accommodation</w:t>
      </w:r>
      <w:r w:rsidRPr="002B2A7F">
        <w:t xml:space="preserve">. </w:t>
      </w:r>
      <w:r w:rsidRPr="002B2A7F">
        <w:rPr>
          <w:lang w:val="en-US"/>
        </w:rPr>
        <w:t xml:space="preserve">Currently there are around 764 units of specialist older person accommodation including around 253 units of residential care (C2) dwellings. Analysis of demographic change would suggest a need for an additional </w:t>
      </w:r>
      <w:r w:rsidRPr="002B2A7F">
        <w:t>248 additional specialist older persons</w:t>
      </w:r>
      <w:r w:rsidR="002B3FC9">
        <w:t>’</w:t>
      </w:r>
      <w:r w:rsidRPr="002B2A7F">
        <w:t xml:space="preserve"> accommodation (C3) and 123 additional units of residential care provision (C2) over the </w:t>
      </w:r>
      <w:r w:rsidR="00A6478E">
        <w:t>P</w:t>
      </w:r>
      <w:r w:rsidRPr="002B2A7F">
        <w:t xml:space="preserve">lan </w:t>
      </w:r>
      <w:r w:rsidR="00A6478E">
        <w:t>P</w:t>
      </w:r>
      <w:r w:rsidRPr="002B2A7F">
        <w:t>eriod to 2032.</w:t>
      </w:r>
    </w:p>
    <w:p w14:paraId="2DB13DAF" w14:textId="5A19B128" w:rsidR="001F27D2" w:rsidRPr="002B2A7F" w:rsidRDefault="001F27D2" w:rsidP="001F27D2">
      <w:pPr>
        <w:pStyle w:val="Reporttext"/>
        <w:numPr>
          <w:ilvl w:val="0"/>
          <w:numId w:val="0"/>
        </w:numPr>
        <w:rPr>
          <w:lang w:val="en-US"/>
        </w:rPr>
      </w:pPr>
      <w:r w:rsidRPr="002B2A7F">
        <w:rPr>
          <w:lang w:val="en-US"/>
        </w:rPr>
        <w:t xml:space="preserve">A key conclusion is that there needs to be a broader housing offer for older people across the </w:t>
      </w:r>
      <w:r>
        <w:rPr>
          <w:lang w:val="en-US"/>
        </w:rPr>
        <w:t xml:space="preserve">district and the study </w:t>
      </w:r>
      <w:r w:rsidRPr="002B2A7F">
        <w:rPr>
          <w:lang w:val="en-US"/>
        </w:rPr>
        <w:t xml:space="preserve">has provided evidence of scale and range of dwellings needed. </w:t>
      </w:r>
    </w:p>
    <w:p w14:paraId="03983FB7" w14:textId="676EA5B6" w:rsidR="001F27D2" w:rsidRDefault="001F27D2" w:rsidP="001F27D2">
      <w:pPr>
        <w:pStyle w:val="Reporttext"/>
        <w:numPr>
          <w:ilvl w:val="0"/>
          <w:numId w:val="0"/>
        </w:numPr>
        <w:rPr>
          <w:rFonts w:ascii="Calibri" w:hAnsi="Calibri"/>
        </w:rPr>
      </w:pPr>
      <w:r w:rsidRPr="002B2A7F">
        <w:t xml:space="preserve">A range of information has been assembled from various sources </w:t>
      </w:r>
      <w:r w:rsidRPr="002B2A7F">
        <w:rPr>
          <w:lang w:val="en-US"/>
        </w:rPr>
        <w:t xml:space="preserve">which helps to scope out the likely level of disability across the </w:t>
      </w:r>
      <w:r w:rsidR="002B3FC9">
        <w:rPr>
          <w:lang w:val="en-US"/>
        </w:rPr>
        <w:t>D</w:t>
      </w:r>
      <w:r w:rsidRPr="002B2A7F">
        <w:rPr>
          <w:lang w:val="en-US"/>
        </w:rPr>
        <w:t xml:space="preserve">istrict’s population. Although it is a challenge to quantify the precise accommodation and support requirements, the study has helped to scope out where needs are arising. </w:t>
      </w:r>
      <w:r>
        <w:rPr>
          <w:lang w:val="en-US"/>
        </w:rPr>
        <w:t xml:space="preserve">This includes </w:t>
      </w:r>
      <w:r>
        <w:rPr>
          <w:rFonts w:ascii="Calibri" w:hAnsi="Calibri"/>
        </w:rPr>
        <w:t>more supported accommodation for homeless households, those with mental health or drug/alcohol issues, families fleeing domestic abuse, ex-offenders, older and young people</w:t>
      </w:r>
      <w:r w:rsidR="002B3FC9">
        <w:rPr>
          <w:rFonts w:ascii="Calibri" w:hAnsi="Calibri"/>
        </w:rPr>
        <w:t>.</w:t>
      </w:r>
    </w:p>
    <w:p w14:paraId="0B745D62" w14:textId="6F681FA3" w:rsidR="00A93972" w:rsidRPr="00A93972" w:rsidRDefault="001F27D2" w:rsidP="00A93972">
      <w:pPr>
        <w:pStyle w:val="Reporttext"/>
        <w:numPr>
          <w:ilvl w:val="0"/>
          <w:numId w:val="0"/>
        </w:numPr>
        <w:rPr>
          <w:shd w:val="clear" w:color="auto" w:fill="FFFFFF"/>
        </w:rPr>
      </w:pPr>
      <w:r w:rsidRPr="002B2A7F">
        <w:t xml:space="preserve">The study also recommends that </w:t>
      </w:r>
      <w:r w:rsidR="00A93972" w:rsidRPr="009C2718">
        <w:rPr>
          <w:shd w:val="clear" w:color="auto" w:fill="FFFFFF"/>
        </w:rPr>
        <w:t>at least 1%</w:t>
      </w:r>
      <w:r w:rsidR="00A93972" w:rsidRPr="009C2718">
        <w:rPr>
          <w:rStyle w:val="FootnoteReference"/>
          <w:shd w:val="clear" w:color="auto" w:fill="FFFFFF"/>
        </w:rPr>
        <w:footnoteReference w:id="4"/>
      </w:r>
      <w:r w:rsidR="00A93972" w:rsidRPr="009C2718">
        <w:rPr>
          <w:shd w:val="clear" w:color="auto" w:fill="FFFFFF"/>
        </w:rPr>
        <w:t xml:space="preserve"> of dwellings are built to M4(3) wheelchair adapted standard and this figure should be monitored given the aging demographic of the district. Additionally at least 20% of new build should be developed to support households requiring adaptations</w:t>
      </w:r>
      <w:r w:rsidR="00A93972" w:rsidRPr="009C2718">
        <w:rPr>
          <w:rStyle w:val="FootnoteReference"/>
          <w:shd w:val="clear" w:color="auto" w:fill="FFFFFF"/>
        </w:rPr>
        <w:footnoteReference w:id="5"/>
      </w:r>
      <w:r w:rsidR="00A93972" w:rsidRPr="009C2718">
        <w:rPr>
          <w:shd w:val="clear" w:color="auto" w:fill="FFFFFF"/>
        </w:rPr>
        <w:t xml:space="preserve"> being M4(2) accessible and adaptable homes and the Council should also consider increasing this to all remaining dwellings subject to economic viability testing. These recommendations also assume that there will be ongoing adaptation of existing dwellings to support those with additional needs. </w:t>
      </w:r>
    </w:p>
    <w:p w14:paraId="6CCCE4D9" w14:textId="77777777" w:rsidR="00A93972" w:rsidRPr="006A2591" w:rsidRDefault="00A93972" w:rsidP="001F27D2">
      <w:pPr>
        <w:pStyle w:val="Reporttext"/>
        <w:numPr>
          <w:ilvl w:val="0"/>
          <w:numId w:val="0"/>
        </w:numPr>
        <w:rPr>
          <w:lang w:val="en-US"/>
        </w:rPr>
      </w:pPr>
    </w:p>
    <w:p w14:paraId="2626714B" w14:textId="77777777" w:rsidR="001F27D2" w:rsidRPr="002B2A7F" w:rsidRDefault="001F27D2" w:rsidP="001F27D2">
      <w:pPr>
        <w:rPr>
          <w:rFonts w:asciiTheme="minorHAnsi" w:hAnsiTheme="minorHAnsi" w:cs="Calibri"/>
          <w:highlight w:val="yellow"/>
        </w:rPr>
      </w:pPr>
      <w:r w:rsidRPr="002B2A7F">
        <w:rPr>
          <w:rFonts w:asciiTheme="minorHAnsi" w:hAnsiTheme="minorHAnsi" w:cs="Calibri"/>
          <w:highlight w:val="yellow"/>
        </w:rPr>
        <w:br w:type="page"/>
      </w:r>
    </w:p>
    <w:p w14:paraId="2BD50299" w14:textId="77777777" w:rsidR="001F27D2" w:rsidRPr="002B2A7F" w:rsidRDefault="001F27D2" w:rsidP="001F27D2">
      <w:pPr>
        <w:pStyle w:val="Heading1"/>
        <w:spacing w:before="0"/>
        <w:jc w:val="left"/>
        <w:rPr>
          <w:rFonts w:asciiTheme="minorHAnsi" w:hAnsiTheme="minorHAnsi"/>
        </w:rPr>
      </w:pPr>
      <w:bookmarkStart w:id="84" w:name="_Toc524935558"/>
      <w:bookmarkStart w:id="85" w:name="_Toc531122850"/>
      <w:bookmarkStart w:id="86" w:name="_Toc532812382"/>
      <w:bookmarkStart w:id="87" w:name="_Toc225941488"/>
      <w:bookmarkStart w:id="88" w:name="_Toc399864320"/>
      <w:bookmarkStart w:id="89" w:name="_Toc430084548"/>
      <w:bookmarkStart w:id="90" w:name="_Toc430782003"/>
      <w:r w:rsidRPr="002B2A7F">
        <w:rPr>
          <w:rFonts w:asciiTheme="minorHAnsi" w:hAnsiTheme="minorHAnsi"/>
        </w:rPr>
        <w:lastRenderedPageBreak/>
        <w:t>Introduction</w:t>
      </w:r>
      <w:bookmarkEnd w:id="84"/>
      <w:bookmarkEnd w:id="85"/>
      <w:bookmarkEnd w:id="86"/>
    </w:p>
    <w:p w14:paraId="6CBBB351" w14:textId="77777777" w:rsidR="001F27D2" w:rsidRPr="002B2A7F" w:rsidRDefault="001F27D2" w:rsidP="001F27D2">
      <w:pPr>
        <w:pStyle w:val="Heading2"/>
        <w:rPr>
          <w:rFonts w:asciiTheme="minorHAnsi" w:hAnsiTheme="minorHAnsi"/>
        </w:rPr>
      </w:pPr>
      <w:bookmarkStart w:id="91" w:name="_Toc395193532"/>
      <w:bookmarkStart w:id="92" w:name="_Toc524935559"/>
      <w:bookmarkStart w:id="93" w:name="_Toc531122851"/>
      <w:bookmarkStart w:id="94" w:name="_Toc532812383"/>
      <w:r w:rsidRPr="002B2A7F">
        <w:rPr>
          <w:rFonts w:asciiTheme="minorHAnsi" w:hAnsiTheme="minorHAnsi"/>
        </w:rPr>
        <w:t>Background and objectives</w:t>
      </w:r>
      <w:bookmarkEnd w:id="87"/>
      <w:bookmarkEnd w:id="88"/>
      <w:bookmarkEnd w:id="89"/>
      <w:bookmarkEnd w:id="90"/>
      <w:bookmarkEnd w:id="91"/>
      <w:bookmarkEnd w:id="92"/>
      <w:bookmarkEnd w:id="93"/>
      <w:bookmarkEnd w:id="94"/>
    </w:p>
    <w:p w14:paraId="77DB11D3" w14:textId="77777777" w:rsidR="001F27D2" w:rsidRPr="002B2A7F" w:rsidRDefault="001F27D2" w:rsidP="001F27D2">
      <w:pPr>
        <w:pStyle w:val="Reporttext"/>
      </w:pPr>
      <w:r w:rsidRPr="002B2A7F">
        <w:t xml:space="preserve">The Eden District Housing Needs Study 2018 has been commissioned by Eden District Council (‘the </w:t>
      </w:r>
      <w:r w:rsidRPr="001F27D2">
        <w:t>Council’</w:t>
      </w:r>
      <w:r w:rsidRPr="002B2A7F">
        <w:t xml:space="preserve">) to provide an up-to-date evidence base to inform the development of the Council’s Local Plan and other strategies. </w:t>
      </w:r>
    </w:p>
    <w:p w14:paraId="2A47BEF8" w14:textId="77777777" w:rsidR="001F27D2" w:rsidRPr="002B2A7F" w:rsidRDefault="001F27D2" w:rsidP="001F27D2">
      <w:pPr>
        <w:pStyle w:val="Reporttext"/>
      </w:pPr>
      <w:r w:rsidRPr="002B2A7F">
        <w:t xml:space="preserve">The study supports the requirements of the revised National Planning Policy Framework (NPPF, July 2018) and updated Planning Practice Guidance (PPG), </w:t>
      </w:r>
      <w:r w:rsidRPr="002B2A7F">
        <w:rPr>
          <w:i/>
        </w:rPr>
        <w:t>Housing need assessment</w:t>
      </w:r>
      <w:r w:rsidRPr="002B2A7F">
        <w:t xml:space="preserve"> (September 2018) including the standard method for assessing housing need.</w:t>
      </w:r>
    </w:p>
    <w:p w14:paraId="1D75F88D" w14:textId="3CCEBA6E" w:rsidR="001F27D2" w:rsidRPr="002B2A7F" w:rsidRDefault="001F27D2" w:rsidP="001F27D2">
      <w:pPr>
        <w:pStyle w:val="Reporttext"/>
      </w:pPr>
      <w:r w:rsidRPr="002B2A7F">
        <w:t xml:space="preserve">This final </w:t>
      </w:r>
      <w:r w:rsidR="002B3FC9">
        <w:t>H</w:t>
      </w:r>
      <w:r w:rsidRPr="002B2A7F">
        <w:t xml:space="preserve">ousing </w:t>
      </w:r>
      <w:r w:rsidR="002B3FC9">
        <w:t>N</w:t>
      </w:r>
      <w:r w:rsidRPr="002B2A7F">
        <w:t xml:space="preserve">eeds </w:t>
      </w:r>
      <w:r w:rsidR="002B3FC9">
        <w:t>S</w:t>
      </w:r>
      <w:r w:rsidRPr="002B2A7F">
        <w:t>tudy include</w:t>
      </w:r>
      <w:r w:rsidR="002B3FC9">
        <w:t>s</w:t>
      </w:r>
      <w:r w:rsidRPr="002B2A7F">
        <w:t xml:space="preserve"> a review of the housing market,</w:t>
      </w:r>
      <w:r w:rsidR="002B3FC9">
        <w:t xml:space="preserve"> definition of local housing market areas,</w:t>
      </w:r>
      <w:r w:rsidRPr="002B2A7F">
        <w:t xml:space="preserve"> an assessment of future need, the identification of the housing needs of specific groups and a consideration of the requirement for affordable housing.</w:t>
      </w:r>
    </w:p>
    <w:p w14:paraId="51CD0580" w14:textId="420B0CD5" w:rsidR="001F27D2" w:rsidRPr="002B2A7F" w:rsidRDefault="001F27D2" w:rsidP="001F27D2">
      <w:pPr>
        <w:pStyle w:val="Reporttext"/>
      </w:pPr>
      <w:r w:rsidRPr="002B2A7F">
        <w:t xml:space="preserve">Collectively, the overall evidence base will satisfy the requirements of </w:t>
      </w:r>
      <w:r w:rsidR="002B3FC9">
        <w:t>G</w:t>
      </w:r>
      <w:r w:rsidRPr="002B2A7F">
        <w:t>overnment policy and guidance, as set out within NPPF and PPG.</w:t>
      </w:r>
    </w:p>
    <w:p w14:paraId="4158D5E4" w14:textId="77777777" w:rsidR="001F27D2" w:rsidRPr="002B2A7F" w:rsidRDefault="001F27D2" w:rsidP="001F27D2">
      <w:pPr>
        <w:pStyle w:val="Reporttext"/>
        <w:numPr>
          <w:ilvl w:val="0"/>
          <w:numId w:val="0"/>
        </w:numPr>
        <w:ind w:left="709"/>
      </w:pPr>
    </w:p>
    <w:p w14:paraId="0812763B" w14:textId="77777777" w:rsidR="001F27D2" w:rsidRPr="002B2A7F" w:rsidRDefault="001F27D2" w:rsidP="001F27D2">
      <w:pPr>
        <w:pStyle w:val="Heading2"/>
        <w:rPr>
          <w:rFonts w:asciiTheme="minorHAnsi" w:hAnsiTheme="minorHAnsi" w:cs="Calibri"/>
        </w:rPr>
      </w:pPr>
      <w:bookmarkStart w:id="95" w:name="_Toc395193533"/>
      <w:bookmarkStart w:id="96" w:name="_Toc524935560"/>
      <w:bookmarkStart w:id="97" w:name="_Toc531122852"/>
      <w:bookmarkStart w:id="98" w:name="_Toc532812384"/>
      <w:r w:rsidRPr="002B2A7F">
        <w:rPr>
          <w:rFonts w:asciiTheme="minorHAnsi" w:hAnsiTheme="minorHAnsi" w:cs="Calibri"/>
        </w:rPr>
        <w:t>Government policy and guidance</w:t>
      </w:r>
      <w:bookmarkEnd w:id="95"/>
      <w:bookmarkEnd w:id="96"/>
      <w:bookmarkEnd w:id="97"/>
      <w:bookmarkEnd w:id="98"/>
    </w:p>
    <w:p w14:paraId="474E6636" w14:textId="13E32CC1" w:rsidR="001F27D2" w:rsidRPr="002B2A7F" w:rsidRDefault="001F27D2" w:rsidP="001F27D2">
      <w:pPr>
        <w:pStyle w:val="Reporttext"/>
      </w:pPr>
      <w:r w:rsidRPr="002B2A7F">
        <w:t xml:space="preserve">The </w:t>
      </w:r>
      <w:r w:rsidR="002B3FC9">
        <w:t>R</w:t>
      </w:r>
      <w:r w:rsidRPr="002B2A7F">
        <w:t xml:space="preserve">evised National Planning Policy Framework (NPPF) was published in July 2018, following the </w:t>
      </w:r>
      <w:r w:rsidR="002B3FC9">
        <w:t>G</w:t>
      </w:r>
      <w:r w:rsidRPr="002B2A7F">
        <w:t xml:space="preserve">overnment’s consideration of the consultation on the Draft Revised NPPF (March 2018). </w:t>
      </w:r>
    </w:p>
    <w:p w14:paraId="25B408F9" w14:textId="247E067B" w:rsidR="001F27D2" w:rsidRPr="002B2A7F" w:rsidRDefault="001F27D2" w:rsidP="001F27D2">
      <w:pPr>
        <w:pStyle w:val="Reporttext"/>
      </w:pPr>
      <w:r w:rsidRPr="002B2A7F">
        <w:t xml:space="preserve">The NPPF 2018 sets out the </w:t>
      </w:r>
      <w:r w:rsidR="002B3FC9">
        <w:t>G</w:t>
      </w:r>
      <w:r w:rsidRPr="002B2A7F">
        <w:t xml:space="preserve">overnment’s planning policies for England and how these are expected to be applied. Paragraph 11 of the NPPF states that plans and decisions should apply a </w:t>
      </w:r>
      <w:r w:rsidRPr="002B2A7F">
        <w:rPr>
          <w:i/>
        </w:rPr>
        <w:t>‘presumption in favour of sustainable development’</w:t>
      </w:r>
      <w:r w:rsidRPr="002B2A7F">
        <w:t xml:space="preserve">. As part of this, in relation to plan-making, it sets out that this means that </w:t>
      </w:r>
      <w:r w:rsidRPr="002B2A7F">
        <w:rPr>
          <w:i/>
        </w:rPr>
        <w:t>‘strategic policies should, as a minimum, provide for objectively assessed needs for housing…’</w:t>
      </w:r>
      <w:r w:rsidRPr="002B2A7F">
        <w:rPr>
          <w:rStyle w:val="FootnoteReference"/>
          <w:i/>
        </w:rPr>
        <w:footnoteReference w:id="6"/>
      </w:r>
    </w:p>
    <w:p w14:paraId="06C90CC1" w14:textId="77777777" w:rsidR="001F27D2" w:rsidRPr="002B2A7F" w:rsidRDefault="001F27D2" w:rsidP="001F27D2">
      <w:pPr>
        <w:pStyle w:val="Reporttext"/>
      </w:pPr>
      <w:r w:rsidRPr="002B2A7F">
        <w:t xml:space="preserve">Paragraph 59 provides an important context to the policy for housing delivery, as follows: </w:t>
      </w:r>
    </w:p>
    <w:p w14:paraId="69FB08D9" w14:textId="77777777" w:rsidR="001F27D2" w:rsidRPr="001F27D2" w:rsidRDefault="001F27D2" w:rsidP="001F27D2">
      <w:pPr>
        <w:pStyle w:val="Reporttext"/>
        <w:numPr>
          <w:ilvl w:val="0"/>
          <w:numId w:val="0"/>
        </w:numPr>
        <w:ind w:left="709"/>
        <w:rPr>
          <w:i/>
        </w:rPr>
      </w:pPr>
      <w:r w:rsidRPr="001F27D2">
        <w:rPr>
          <w:i/>
        </w:rPr>
        <w:t>‘To support the Government’s objective of significantly boosting the supply of homes, it is important that a sufficient amount and variety of land can come forward where it is needed, that the needs of groups with specific housing requirements are addressed and that land with permission is developed without unnecessary delay.’</w:t>
      </w:r>
    </w:p>
    <w:p w14:paraId="5E8F6AA3" w14:textId="77777777" w:rsidR="001F27D2" w:rsidRPr="002B2A7F" w:rsidRDefault="001F27D2" w:rsidP="001F27D2">
      <w:pPr>
        <w:pStyle w:val="Reporttext"/>
      </w:pPr>
      <w:r w:rsidRPr="002B2A7F">
        <w:t>It goes on to state (paragraph 60) that:</w:t>
      </w:r>
    </w:p>
    <w:p w14:paraId="3EFAC815" w14:textId="77777777" w:rsidR="001F27D2" w:rsidRPr="001F27D2" w:rsidRDefault="001F27D2" w:rsidP="001F27D2">
      <w:pPr>
        <w:pStyle w:val="Reporttext"/>
        <w:numPr>
          <w:ilvl w:val="0"/>
          <w:numId w:val="0"/>
        </w:numPr>
        <w:ind w:left="709"/>
        <w:rPr>
          <w:i/>
        </w:rPr>
      </w:pPr>
      <w:r w:rsidRPr="001F27D2">
        <w:rPr>
          <w:i/>
        </w:rPr>
        <w:t>‘To determine the minimum number of homes needed, strategic plans should be informed by a local housing need assessment, conducted using the standard method in national planning guidance – unless exceptional circumstances justify an alternative approach which also reflects current and future demographic trends and market signals. In addition to the local housing need figure, any needs that cannot be met within neighbouring areas should also be taken into account in establishing the amount of housing to be planned for.’</w:t>
      </w:r>
      <w:bookmarkStart w:id="99" w:name="_Toc397700361"/>
      <w:bookmarkStart w:id="100" w:name="_Toc399864321"/>
      <w:bookmarkStart w:id="101" w:name="_Toc428528457"/>
      <w:bookmarkStart w:id="102" w:name="_Toc430084549"/>
      <w:bookmarkStart w:id="103" w:name="_Toc430782004"/>
    </w:p>
    <w:bookmarkEnd w:id="99"/>
    <w:bookmarkEnd w:id="100"/>
    <w:bookmarkEnd w:id="101"/>
    <w:bookmarkEnd w:id="102"/>
    <w:bookmarkEnd w:id="103"/>
    <w:p w14:paraId="35DA9171" w14:textId="77777777" w:rsidR="001F27D2" w:rsidRPr="002B2A7F" w:rsidRDefault="001F27D2" w:rsidP="001F27D2">
      <w:pPr>
        <w:pStyle w:val="Reporttext"/>
      </w:pPr>
      <w:r w:rsidRPr="002B2A7F">
        <w:lastRenderedPageBreak/>
        <w:t>The NPPF 2018 (paragraph 65) requires that strategic policy-making authorities should establish a housing requirement figure for their area which shows the extent to which their identified housing need (and any needs that cannot be met within neighbouring areas) can be met over the Plan Period. It also states that, within this overall requirement, strategic policies should set out a housing requirement for designated neighbourhood areas which reflects the overall strategy for the pattern and scale of development and any relevant allocations.</w:t>
      </w:r>
    </w:p>
    <w:p w14:paraId="1D0A5E4A" w14:textId="77777777" w:rsidR="001F27D2" w:rsidRPr="002B2A7F" w:rsidRDefault="001F27D2" w:rsidP="001F27D2">
      <w:pPr>
        <w:pStyle w:val="Reporttext"/>
      </w:pPr>
      <w:r w:rsidRPr="002B2A7F">
        <w:t>The NPPF 2018 (paragraph 61) states that the size, type and tenure of housing need for different groups in the community should be assessed and reflected in planning policies. This is identified as including, but not limited to:</w:t>
      </w:r>
    </w:p>
    <w:p w14:paraId="31D0063D" w14:textId="77777777" w:rsidR="001F27D2" w:rsidRPr="002B2A7F" w:rsidRDefault="001F27D2" w:rsidP="001F27D2">
      <w:pPr>
        <w:pStyle w:val="bullet"/>
        <w:spacing w:before="0"/>
        <w:jc w:val="left"/>
        <w:rPr>
          <w:rFonts w:asciiTheme="minorHAnsi" w:hAnsiTheme="minorHAnsi"/>
        </w:rPr>
      </w:pPr>
      <w:r w:rsidRPr="002B2A7F">
        <w:rPr>
          <w:rFonts w:asciiTheme="minorHAnsi" w:hAnsiTheme="minorHAnsi" w:cstheme="minorHAnsi"/>
        </w:rPr>
        <w:t>those who require affordable housing,</w:t>
      </w:r>
    </w:p>
    <w:p w14:paraId="148C2555" w14:textId="77777777" w:rsidR="001F27D2" w:rsidRPr="002B2A7F" w:rsidRDefault="001F27D2" w:rsidP="001F27D2">
      <w:pPr>
        <w:pStyle w:val="bullet"/>
        <w:spacing w:before="0"/>
        <w:jc w:val="left"/>
        <w:rPr>
          <w:rFonts w:asciiTheme="minorHAnsi" w:hAnsiTheme="minorHAnsi"/>
        </w:rPr>
      </w:pPr>
      <w:r w:rsidRPr="002B2A7F">
        <w:rPr>
          <w:rFonts w:asciiTheme="minorHAnsi" w:hAnsiTheme="minorHAnsi" w:cstheme="minorHAnsi"/>
        </w:rPr>
        <w:t xml:space="preserve">families with children, </w:t>
      </w:r>
    </w:p>
    <w:p w14:paraId="5F80F92E" w14:textId="183D8AFD" w:rsidR="001F27D2" w:rsidRPr="002B2A7F" w:rsidRDefault="001F27D2" w:rsidP="001F27D2">
      <w:pPr>
        <w:pStyle w:val="bullet"/>
        <w:spacing w:before="0"/>
        <w:jc w:val="left"/>
        <w:rPr>
          <w:rFonts w:asciiTheme="minorHAnsi" w:hAnsiTheme="minorHAnsi"/>
        </w:rPr>
      </w:pPr>
      <w:r w:rsidRPr="002B2A7F">
        <w:rPr>
          <w:rFonts w:asciiTheme="minorHAnsi" w:hAnsiTheme="minorHAnsi" w:cstheme="minorHAnsi"/>
        </w:rPr>
        <w:t>older people</w:t>
      </w:r>
      <w:r w:rsidR="002B3FC9">
        <w:rPr>
          <w:rFonts w:asciiTheme="minorHAnsi" w:hAnsiTheme="minorHAnsi" w:cstheme="minorHAnsi"/>
        </w:rPr>
        <w:t>,</w:t>
      </w:r>
    </w:p>
    <w:p w14:paraId="71E4489A" w14:textId="0C09D378" w:rsidR="001F27D2" w:rsidRPr="002B2A7F" w:rsidRDefault="001F27D2" w:rsidP="001F27D2">
      <w:pPr>
        <w:pStyle w:val="bullet"/>
        <w:spacing w:before="0"/>
        <w:jc w:val="left"/>
        <w:rPr>
          <w:rFonts w:asciiTheme="minorHAnsi" w:hAnsiTheme="minorHAnsi"/>
        </w:rPr>
      </w:pPr>
      <w:r w:rsidRPr="002B2A7F">
        <w:rPr>
          <w:rFonts w:asciiTheme="minorHAnsi" w:hAnsiTheme="minorHAnsi" w:cstheme="minorHAnsi"/>
        </w:rPr>
        <w:t>students</w:t>
      </w:r>
      <w:r w:rsidR="002B3FC9">
        <w:rPr>
          <w:rFonts w:asciiTheme="minorHAnsi" w:hAnsiTheme="minorHAnsi" w:cstheme="minorHAnsi"/>
        </w:rPr>
        <w:t>,</w:t>
      </w:r>
    </w:p>
    <w:p w14:paraId="5DC2358D" w14:textId="77777777" w:rsidR="001F27D2" w:rsidRPr="002B2A7F" w:rsidRDefault="001F27D2" w:rsidP="001F27D2">
      <w:pPr>
        <w:pStyle w:val="bullet"/>
        <w:spacing w:before="0"/>
        <w:jc w:val="left"/>
        <w:rPr>
          <w:rFonts w:asciiTheme="minorHAnsi" w:hAnsiTheme="minorHAnsi"/>
        </w:rPr>
      </w:pPr>
      <w:r w:rsidRPr="002B2A7F">
        <w:rPr>
          <w:rFonts w:asciiTheme="minorHAnsi" w:hAnsiTheme="minorHAnsi" w:cstheme="minorHAnsi"/>
        </w:rPr>
        <w:t>people with disabilities,</w:t>
      </w:r>
    </w:p>
    <w:p w14:paraId="7E8D5AEE" w14:textId="77777777" w:rsidR="001F27D2" w:rsidRPr="002B2A7F" w:rsidRDefault="001F27D2" w:rsidP="001F27D2">
      <w:pPr>
        <w:pStyle w:val="bullet"/>
        <w:spacing w:before="0"/>
        <w:jc w:val="left"/>
        <w:rPr>
          <w:rFonts w:asciiTheme="minorHAnsi" w:hAnsiTheme="minorHAnsi"/>
        </w:rPr>
      </w:pPr>
      <w:r w:rsidRPr="002B2A7F">
        <w:rPr>
          <w:rFonts w:asciiTheme="minorHAnsi" w:hAnsiTheme="minorHAnsi" w:cstheme="minorHAnsi"/>
        </w:rPr>
        <w:t>service families,</w:t>
      </w:r>
    </w:p>
    <w:p w14:paraId="0FE64E35" w14:textId="1C8D4C7A" w:rsidR="001F27D2" w:rsidRPr="002B2A7F" w:rsidRDefault="002B3FC9" w:rsidP="001F27D2">
      <w:pPr>
        <w:pStyle w:val="bullet"/>
        <w:spacing w:before="0"/>
        <w:jc w:val="left"/>
        <w:rPr>
          <w:rFonts w:asciiTheme="minorHAnsi" w:hAnsiTheme="minorHAnsi"/>
        </w:rPr>
      </w:pPr>
      <w:r>
        <w:rPr>
          <w:rFonts w:asciiTheme="minorHAnsi" w:hAnsiTheme="minorHAnsi" w:cstheme="minorHAnsi"/>
        </w:rPr>
        <w:t>g</w:t>
      </w:r>
      <w:r w:rsidR="001F27D2" w:rsidRPr="002B2A7F">
        <w:rPr>
          <w:rFonts w:asciiTheme="minorHAnsi" w:hAnsiTheme="minorHAnsi" w:cstheme="minorHAnsi"/>
        </w:rPr>
        <w:t xml:space="preserve">ypsies and </w:t>
      </w:r>
      <w:r>
        <w:rPr>
          <w:rFonts w:asciiTheme="minorHAnsi" w:hAnsiTheme="minorHAnsi" w:cstheme="minorHAnsi"/>
        </w:rPr>
        <w:t>t</w:t>
      </w:r>
      <w:r w:rsidR="001F27D2" w:rsidRPr="002B2A7F">
        <w:rPr>
          <w:rFonts w:asciiTheme="minorHAnsi" w:hAnsiTheme="minorHAnsi" w:cstheme="minorHAnsi"/>
        </w:rPr>
        <w:t>ravellers</w:t>
      </w:r>
      <w:r>
        <w:rPr>
          <w:rFonts w:asciiTheme="minorHAnsi" w:hAnsiTheme="minorHAnsi" w:cstheme="minorHAnsi"/>
        </w:rPr>
        <w:t>,</w:t>
      </w:r>
    </w:p>
    <w:p w14:paraId="1152F08B" w14:textId="77777777" w:rsidR="001F27D2" w:rsidRPr="002B2A7F" w:rsidRDefault="001F27D2" w:rsidP="001F27D2">
      <w:pPr>
        <w:pStyle w:val="bullet"/>
        <w:spacing w:before="0"/>
        <w:jc w:val="left"/>
        <w:rPr>
          <w:rFonts w:asciiTheme="minorHAnsi" w:hAnsiTheme="minorHAnsi"/>
        </w:rPr>
      </w:pPr>
      <w:r w:rsidRPr="002B2A7F">
        <w:rPr>
          <w:rFonts w:asciiTheme="minorHAnsi" w:hAnsiTheme="minorHAnsi" w:cstheme="minorHAnsi"/>
        </w:rPr>
        <w:t>people who rent their homes, and</w:t>
      </w:r>
    </w:p>
    <w:p w14:paraId="35E2BB32" w14:textId="77777777" w:rsidR="001F27D2" w:rsidRPr="002B2A7F" w:rsidRDefault="001F27D2" w:rsidP="001F27D2">
      <w:pPr>
        <w:pStyle w:val="bullet"/>
        <w:spacing w:before="0"/>
        <w:jc w:val="left"/>
        <w:rPr>
          <w:rFonts w:asciiTheme="minorHAnsi" w:hAnsiTheme="minorHAnsi"/>
        </w:rPr>
      </w:pPr>
      <w:r w:rsidRPr="002B2A7F">
        <w:rPr>
          <w:rFonts w:asciiTheme="minorHAnsi" w:hAnsiTheme="minorHAnsi" w:cstheme="minorHAnsi"/>
        </w:rPr>
        <w:t>people wishing to commission or build their own homes.</w:t>
      </w:r>
    </w:p>
    <w:p w14:paraId="56343791" w14:textId="00564C4B" w:rsidR="001F27D2" w:rsidRPr="002B2A7F" w:rsidRDefault="001F27D2" w:rsidP="001F27D2">
      <w:pPr>
        <w:pStyle w:val="Reporttext"/>
      </w:pPr>
      <w:r w:rsidRPr="002B2A7F">
        <w:t>In addition, the NPPF 2018 sets out that</w:t>
      </w:r>
      <w:r w:rsidR="002B3FC9">
        <w:t>:</w:t>
      </w:r>
    </w:p>
    <w:p w14:paraId="2C449DAE" w14:textId="77777777" w:rsidR="001F27D2" w:rsidRPr="002B2A7F" w:rsidRDefault="001F27D2" w:rsidP="001F27D2">
      <w:pPr>
        <w:pStyle w:val="Reporttext"/>
        <w:numPr>
          <w:ilvl w:val="0"/>
          <w:numId w:val="0"/>
        </w:numPr>
        <w:ind w:left="709"/>
      </w:pPr>
      <w:r w:rsidRPr="002B2A7F">
        <w:t>‘Where a need for affordable housing is identified, planning policies should specify the type of affordable housing required…’</w:t>
      </w:r>
      <w:r w:rsidRPr="002B2A7F">
        <w:rPr>
          <w:rStyle w:val="FootnoteReference"/>
          <w:i/>
        </w:rPr>
        <w:footnoteReference w:id="7"/>
      </w:r>
    </w:p>
    <w:p w14:paraId="5F61D42E" w14:textId="3A1EA455" w:rsidR="001F27D2" w:rsidRPr="002B2A7F" w:rsidRDefault="001F27D2" w:rsidP="001F27D2">
      <w:pPr>
        <w:pStyle w:val="Reporttext"/>
      </w:pPr>
      <w:r w:rsidRPr="002B2A7F">
        <w:t xml:space="preserve">The Localism Act 2010 introduced the ‘Duty to Co-operate’ as a replacement for Regional Spatial Strategy and this requirement is also established in </w:t>
      </w:r>
      <w:r w:rsidR="00A6478E">
        <w:t>N</w:t>
      </w:r>
      <w:r w:rsidRPr="002B2A7F">
        <w:t xml:space="preserve">ational </w:t>
      </w:r>
      <w:r w:rsidR="00A6478E">
        <w:t>P</w:t>
      </w:r>
      <w:r w:rsidRPr="002B2A7F">
        <w:t xml:space="preserve">lanning </w:t>
      </w:r>
      <w:r w:rsidR="00A6478E">
        <w:t>P</w:t>
      </w:r>
      <w:r w:rsidRPr="002B2A7F">
        <w:t xml:space="preserve">olicy (NPPF 2018, paragraphs 24-27). Section 110 of the Localism Act requires local authorities to co-operate with other local authorities in maximising the effectiveness with which strategic matters within development plan documents are prepared. The provision of housing development is a strategic priority and the Council will have to ensure that they are legally compliant with the Localism Act at </w:t>
      </w:r>
      <w:r w:rsidR="00A6478E">
        <w:t>e</w:t>
      </w:r>
      <w:r w:rsidRPr="002B2A7F">
        <w:t>xamination. The Duty to Co-operate applies to all local planning authorities, working with neighbouring authorities and other bodies, including Local Enterprise Partnerships, on strategic priorities.</w:t>
      </w:r>
    </w:p>
    <w:p w14:paraId="4715DCDA" w14:textId="77777777" w:rsidR="001F27D2" w:rsidRPr="002B2A7F" w:rsidRDefault="001F27D2" w:rsidP="001F27D2">
      <w:pPr>
        <w:rPr>
          <w:rFonts w:asciiTheme="minorHAnsi" w:hAnsiTheme="minorHAnsi" w:cs="Calibri"/>
        </w:rPr>
      </w:pPr>
    </w:p>
    <w:p w14:paraId="2CC65F81" w14:textId="77777777" w:rsidR="001F27D2" w:rsidRPr="002B2A7F" w:rsidRDefault="001F27D2" w:rsidP="001F27D2">
      <w:pPr>
        <w:pStyle w:val="Heading2"/>
        <w:rPr>
          <w:rFonts w:asciiTheme="minorHAnsi" w:hAnsiTheme="minorHAnsi" w:cs="Calibri"/>
        </w:rPr>
      </w:pPr>
      <w:bookmarkStart w:id="104" w:name="_Toc397700362"/>
      <w:bookmarkStart w:id="105" w:name="_Toc399864322"/>
      <w:bookmarkStart w:id="106" w:name="_Toc428528458"/>
      <w:bookmarkStart w:id="107" w:name="_Toc430084550"/>
      <w:bookmarkStart w:id="108" w:name="_Toc430782005"/>
      <w:bookmarkStart w:id="109" w:name="_Toc395193534"/>
      <w:bookmarkStart w:id="110" w:name="_Toc524935561"/>
      <w:bookmarkStart w:id="111" w:name="_Toc531122853"/>
      <w:bookmarkStart w:id="112" w:name="_Toc532812385"/>
      <w:r w:rsidRPr="002B2A7F">
        <w:rPr>
          <w:rFonts w:asciiTheme="minorHAnsi" w:hAnsiTheme="minorHAnsi" w:cs="Calibri"/>
        </w:rPr>
        <w:t>Definitions</w:t>
      </w:r>
      <w:bookmarkEnd w:id="104"/>
      <w:bookmarkEnd w:id="105"/>
      <w:bookmarkEnd w:id="106"/>
      <w:bookmarkEnd w:id="107"/>
      <w:bookmarkEnd w:id="108"/>
      <w:bookmarkEnd w:id="109"/>
      <w:bookmarkEnd w:id="110"/>
      <w:bookmarkEnd w:id="111"/>
      <w:bookmarkEnd w:id="112"/>
    </w:p>
    <w:p w14:paraId="514A9634" w14:textId="77777777" w:rsidR="001F27D2" w:rsidRPr="002B2A7F" w:rsidRDefault="001F27D2" w:rsidP="001F27D2">
      <w:pPr>
        <w:pStyle w:val="Reporttext"/>
      </w:pPr>
      <w:r w:rsidRPr="002B2A7F">
        <w:t>Definitions relating to affordable housing have been updated in NPPF 2018 (Annex 2):</w:t>
      </w:r>
    </w:p>
    <w:p w14:paraId="35712787" w14:textId="77777777" w:rsidR="001F27D2" w:rsidRPr="002B2A7F" w:rsidRDefault="001F27D2" w:rsidP="001F27D2">
      <w:pPr>
        <w:pStyle w:val="Reporttext"/>
        <w:numPr>
          <w:ilvl w:val="0"/>
          <w:numId w:val="0"/>
        </w:numPr>
        <w:ind w:left="709"/>
      </w:pPr>
      <w:r w:rsidRPr="002B2A7F">
        <w:rPr>
          <w:b/>
        </w:rPr>
        <w:t>Affordable housing</w:t>
      </w:r>
      <w:r w:rsidRPr="002B2A7F">
        <w:t xml:space="preserve">: housing for sale or rent, for those whose needs are not met by the market (including housing that provides a subsidised route to home ownership and/or </w:t>
      </w:r>
      <w:r w:rsidRPr="002B2A7F">
        <w:lastRenderedPageBreak/>
        <w:t xml:space="preserve">is for essential local workers); and which complies with one or more of the following definitions: </w:t>
      </w:r>
    </w:p>
    <w:p w14:paraId="51062954" w14:textId="77777777" w:rsidR="001F27D2" w:rsidRPr="002B2A7F" w:rsidRDefault="001F27D2" w:rsidP="001F27D2">
      <w:pPr>
        <w:pStyle w:val="Reporttext"/>
        <w:numPr>
          <w:ilvl w:val="0"/>
          <w:numId w:val="0"/>
        </w:numPr>
        <w:ind w:left="1440" w:hanging="720"/>
      </w:pPr>
      <w:r w:rsidRPr="002B2A7F">
        <w:t xml:space="preserve">a) </w:t>
      </w:r>
      <w:r w:rsidRPr="002B2A7F">
        <w:tab/>
      </w:r>
      <w:r w:rsidRPr="002B2A7F">
        <w:rPr>
          <w:b/>
        </w:rPr>
        <w:t>Affordable housing for rent</w:t>
      </w:r>
      <w:r w:rsidRPr="002B2A7F">
        <w:t xml:space="preserve">: meets all of the following conditions: (a) the rent is set in accordance with the Government’s rent policy for Social Rent or Affordable Rent, or is at least 20% below local market rents (including service charges where applicable); (b) the landlord is a registered provider, except where it is included as part of a Build to Rent scheme (in which case the landlord need not be a registered provider); and (c) it includes provisions to remain at an affordable price for future eligible households, or for the subsidy to be recycled for alternative affordable housing provision. For Build to Rent schemes affordable housing for rent is expected to be the normal form of affordable housing provision (and, in this context, is known as Affordable Private Rent). </w:t>
      </w:r>
    </w:p>
    <w:p w14:paraId="746C59B3" w14:textId="5A1A6633" w:rsidR="001F27D2" w:rsidRPr="002B2A7F" w:rsidRDefault="001F27D2" w:rsidP="001F27D2">
      <w:pPr>
        <w:pStyle w:val="Reporttext"/>
        <w:numPr>
          <w:ilvl w:val="0"/>
          <w:numId w:val="0"/>
        </w:numPr>
        <w:ind w:left="1440" w:hanging="720"/>
      </w:pPr>
      <w:r w:rsidRPr="002B2A7F">
        <w:t xml:space="preserve">b) </w:t>
      </w:r>
      <w:r w:rsidRPr="002B2A7F">
        <w:tab/>
      </w:r>
      <w:r w:rsidRPr="002B2A7F">
        <w:rPr>
          <w:b/>
        </w:rPr>
        <w:t>Starter homes</w:t>
      </w:r>
      <w:r w:rsidRPr="002B2A7F">
        <w:t xml:space="preserve">: is as specified in </w:t>
      </w:r>
      <w:r w:rsidR="00A6478E">
        <w:t>s</w:t>
      </w:r>
      <w:r w:rsidRPr="002B2A7F">
        <w:t>ections 2 and 3 of the Housing and Planning Act 2016 and any secondary legislation made under these sections. The definition of a starter home should reflect the meaning set out in statute and any such secondary legislation at the time of plan-preparation or decision-making. Where secondary legislation has the effect of limiting a household’s eligibility to purchase a starter home to those with a particular maximum level of household income, those restrictions should be used.</w:t>
      </w:r>
    </w:p>
    <w:p w14:paraId="7BBA0E3A" w14:textId="77777777" w:rsidR="001F27D2" w:rsidRPr="002B2A7F" w:rsidRDefault="001F27D2" w:rsidP="001F27D2">
      <w:pPr>
        <w:pStyle w:val="Reporttext"/>
        <w:numPr>
          <w:ilvl w:val="0"/>
          <w:numId w:val="0"/>
        </w:numPr>
        <w:ind w:left="1440" w:hanging="720"/>
      </w:pPr>
      <w:r w:rsidRPr="002B2A7F">
        <w:t xml:space="preserve">c) </w:t>
      </w:r>
      <w:r w:rsidRPr="002B2A7F">
        <w:tab/>
      </w:r>
      <w:r w:rsidRPr="002B2A7F">
        <w:rPr>
          <w:b/>
        </w:rPr>
        <w:t>Discounted market sales housing</w:t>
      </w:r>
      <w:r w:rsidRPr="002B2A7F">
        <w:t xml:space="preserve">: is that sold at a discount of at least 20% below local market value. Eligibility is determined with regard to local incomes and local house prices. Provisions should be in place to ensure housing remains at a discount for future eligible households. </w:t>
      </w:r>
    </w:p>
    <w:p w14:paraId="2BC0BDFC" w14:textId="77777777" w:rsidR="001F27D2" w:rsidRPr="002B2A7F" w:rsidRDefault="001F27D2" w:rsidP="001F27D2">
      <w:pPr>
        <w:pStyle w:val="Reporttext"/>
        <w:numPr>
          <w:ilvl w:val="0"/>
          <w:numId w:val="0"/>
        </w:numPr>
        <w:ind w:left="1440" w:hanging="720"/>
      </w:pPr>
      <w:r w:rsidRPr="002B2A7F">
        <w:t xml:space="preserve">d) </w:t>
      </w:r>
      <w:r w:rsidRPr="002B2A7F">
        <w:tab/>
      </w:r>
      <w:r w:rsidRPr="002B2A7F">
        <w:rPr>
          <w:b/>
        </w:rPr>
        <w:t>Other affordable routes to home ownership</w:t>
      </w:r>
      <w:r w:rsidRPr="002B2A7F">
        <w:t xml:space="preserve">: is housing provided for sale that provides a route to ownership for those who could not achieve home ownership through the market. It includes shared ownership, relevant equity loans, other low cost homes for sale (at a price equivalent to at least 20% below local market value) and rent to buy (which includes a period of intermediate rent). Where public grant funding is provided, there should be provisions for the homes to remain at an affordable price for future eligible households, or for any receipts to be recycled for alternative affordable housing provision, or refunded to Government or the relevant authority specified in the funding agreement. </w:t>
      </w:r>
    </w:p>
    <w:p w14:paraId="1C452A37" w14:textId="77777777" w:rsidR="001F27D2" w:rsidRPr="002B2A7F" w:rsidRDefault="001F27D2" w:rsidP="001F27D2">
      <w:pPr>
        <w:pStyle w:val="Maintext"/>
        <w:numPr>
          <w:ilvl w:val="0"/>
          <w:numId w:val="0"/>
        </w:numPr>
        <w:rPr>
          <w:rFonts w:asciiTheme="minorHAnsi" w:hAnsiTheme="minorHAnsi" w:cs="Calibri"/>
        </w:rPr>
      </w:pPr>
    </w:p>
    <w:p w14:paraId="24714644" w14:textId="77777777" w:rsidR="001F27D2" w:rsidRPr="002B2A7F" w:rsidRDefault="001F27D2" w:rsidP="001F27D2">
      <w:pPr>
        <w:pStyle w:val="Heading2"/>
        <w:rPr>
          <w:rFonts w:asciiTheme="minorHAnsi" w:hAnsiTheme="minorHAnsi" w:cs="Calibri"/>
        </w:rPr>
      </w:pPr>
      <w:bookmarkStart w:id="113" w:name="_Toc225941493"/>
      <w:bookmarkStart w:id="114" w:name="_Toc399864323"/>
      <w:bookmarkStart w:id="115" w:name="_Toc428528459"/>
      <w:bookmarkStart w:id="116" w:name="_Toc430084551"/>
      <w:bookmarkStart w:id="117" w:name="_Toc430782006"/>
      <w:bookmarkStart w:id="118" w:name="_Toc395193535"/>
      <w:bookmarkStart w:id="119" w:name="_Toc524935562"/>
      <w:bookmarkStart w:id="120" w:name="_Toc531122854"/>
      <w:bookmarkStart w:id="121" w:name="_Toc532812386"/>
      <w:bookmarkStart w:id="122" w:name="_Toc180919689"/>
      <w:bookmarkStart w:id="123" w:name="_Toc180982867"/>
      <w:bookmarkStart w:id="124" w:name="_Toc184198245"/>
      <w:r w:rsidRPr="002B2A7F">
        <w:rPr>
          <w:rFonts w:asciiTheme="minorHAnsi" w:hAnsiTheme="minorHAnsi" w:cs="Calibri"/>
        </w:rPr>
        <w:t>Geography</w:t>
      </w:r>
      <w:bookmarkEnd w:id="113"/>
      <w:bookmarkEnd w:id="114"/>
      <w:bookmarkEnd w:id="115"/>
      <w:bookmarkEnd w:id="116"/>
      <w:bookmarkEnd w:id="117"/>
      <w:bookmarkEnd w:id="118"/>
      <w:bookmarkEnd w:id="119"/>
      <w:bookmarkEnd w:id="120"/>
      <w:bookmarkEnd w:id="121"/>
    </w:p>
    <w:p w14:paraId="28A160B7" w14:textId="3AE26380" w:rsidR="001F27D2" w:rsidRPr="002B2A7F" w:rsidRDefault="000D4745" w:rsidP="001F27D2">
      <w:pPr>
        <w:pStyle w:val="Reporttext"/>
      </w:pPr>
      <w:bookmarkStart w:id="125" w:name="OLE_LINK1"/>
      <w:bookmarkStart w:id="126" w:name="_Toc428528380"/>
      <w:bookmarkEnd w:id="122"/>
      <w:bookmarkEnd w:id="123"/>
      <w:bookmarkEnd w:id="124"/>
      <w:r>
        <w:t xml:space="preserve">Map 1.1 provides the geographical context of Eden District. </w:t>
      </w:r>
      <w:r w:rsidR="001F27D2" w:rsidRPr="002B2A7F">
        <w:t xml:space="preserve">Household survey data is available at Housing Market Area </w:t>
      </w:r>
      <w:r w:rsidR="00A6478E">
        <w:t>L</w:t>
      </w:r>
      <w:r w:rsidR="001F27D2" w:rsidRPr="002B2A7F">
        <w:t>evel as presented in Table 1.1</w:t>
      </w:r>
      <w:r w:rsidR="00976C8A">
        <w:t xml:space="preserve"> and Map 1.2</w:t>
      </w:r>
      <w:r w:rsidR="001F27D2" w:rsidRPr="002B2A7F">
        <w:t>. Table 1.1 also summarise</w:t>
      </w:r>
      <w:r w:rsidR="00A6478E">
        <w:t>s</w:t>
      </w:r>
      <w:r w:rsidR="001F27D2" w:rsidRPr="002B2A7F">
        <w:t xml:space="preserve"> the key hubs presented in Policy LS1, (Locational Strategy) of the adopted 2018 Local Plan:</w:t>
      </w:r>
    </w:p>
    <w:p w14:paraId="5208274B" w14:textId="77777777" w:rsidR="001F27D2" w:rsidRPr="002B2A7F" w:rsidRDefault="001F27D2" w:rsidP="001F27D2">
      <w:pPr>
        <w:pStyle w:val="bullet"/>
        <w:spacing w:before="0"/>
        <w:jc w:val="left"/>
        <w:rPr>
          <w:rFonts w:asciiTheme="minorHAnsi" w:hAnsiTheme="minorHAnsi"/>
        </w:rPr>
      </w:pPr>
      <w:r w:rsidRPr="002B2A7F">
        <w:rPr>
          <w:rFonts w:asciiTheme="minorHAnsi" w:hAnsiTheme="minorHAnsi"/>
        </w:rPr>
        <w:t>Main Town – Penrith;</w:t>
      </w:r>
    </w:p>
    <w:p w14:paraId="1DD847C8" w14:textId="77777777" w:rsidR="001F27D2" w:rsidRPr="002B2A7F" w:rsidRDefault="001F27D2" w:rsidP="001F27D2">
      <w:pPr>
        <w:pStyle w:val="bullet"/>
        <w:spacing w:before="0"/>
        <w:jc w:val="left"/>
        <w:rPr>
          <w:rFonts w:asciiTheme="minorHAnsi" w:hAnsiTheme="minorHAnsi"/>
        </w:rPr>
      </w:pPr>
      <w:r w:rsidRPr="002B2A7F">
        <w:rPr>
          <w:rFonts w:asciiTheme="minorHAnsi" w:hAnsiTheme="minorHAnsi"/>
        </w:rPr>
        <w:t>Market Towns – Alston, Appleby and Kirkby Stephen;</w:t>
      </w:r>
    </w:p>
    <w:p w14:paraId="0D468DD7" w14:textId="77777777" w:rsidR="001F27D2" w:rsidRPr="002B2A7F" w:rsidRDefault="001F27D2" w:rsidP="001F27D2">
      <w:pPr>
        <w:pStyle w:val="bullet"/>
        <w:spacing w:before="0"/>
        <w:jc w:val="left"/>
        <w:rPr>
          <w:rFonts w:asciiTheme="minorHAnsi" w:hAnsiTheme="minorHAnsi"/>
        </w:rPr>
      </w:pPr>
      <w:r w:rsidRPr="002B2A7F">
        <w:rPr>
          <w:rFonts w:asciiTheme="minorHAnsi" w:hAnsiTheme="minorHAnsi"/>
        </w:rPr>
        <w:t xml:space="preserve">Key Hubs – 13 key hubs of Armathwaite, Brough and Church Brough, Culgaith, Greystone, High and Low Hesket, Kirkby Thore, Langwathby, Lazonby, Nenthead, Plumpton, Shap, Stainton, Tebay; </w:t>
      </w:r>
    </w:p>
    <w:p w14:paraId="66BC1DD6" w14:textId="77777777" w:rsidR="001F27D2" w:rsidRPr="002B2A7F" w:rsidRDefault="001F27D2" w:rsidP="001F27D2">
      <w:pPr>
        <w:pStyle w:val="bullet"/>
        <w:spacing w:before="0"/>
        <w:jc w:val="left"/>
        <w:rPr>
          <w:rFonts w:asciiTheme="minorHAnsi" w:hAnsiTheme="minorHAnsi"/>
        </w:rPr>
      </w:pPr>
      <w:r w:rsidRPr="002B2A7F">
        <w:rPr>
          <w:rFonts w:asciiTheme="minorHAnsi" w:hAnsiTheme="minorHAnsi"/>
        </w:rPr>
        <w:lastRenderedPageBreak/>
        <w:t>Smaller Villages and Hamlets; and</w:t>
      </w:r>
    </w:p>
    <w:p w14:paraId="59D18570" w14:textId="77777777" w:rsidR="001F27D2" w:rsidRPr="002B2A7F" w:rsidRDefault="001F27D2" w:rsidP="001F27D2">
      <w:pPr>
        <w:pStyle w:val="bullet"/>
        <w:spacing w:before="0"/>
        <w:jc w:val="left"/>
        <w:rPr>
          <w:rFonts w:asciiTheme="minorHAnsi" w:hAnsiTheme="minorHAnsi"/>
        </w:rPr>
      </w:pPr>
      <w:r w:rsidRPr="002B2A7F">
        <w:rPr>
          <w:rFonts w:asciiTheme="minorHAnsi" w:hAnsiTheme="minorHAnsi"/>
        </w:rPr>
        <w:t>Other Rural Areas.</w:t>
      </w:r>
    </w:p>
    <w:p w14:paraId="6C3DABD7" w14:textId="77777777" w:rsidR="000D4745" w:rsidRDefault="000D4745" w:rsidP="001F27D2">
      <w:pPr>
        <w:pStyle w:val="Reporttext"/>
        <w:numPr>
          <w:ilvl w:val="0"/>
          <w:numId w:val="0"/>
        </w:numPr>
      </w:pPr>
    </w:p>
    <w:p w14:paraId="55F90CB4" w14:textId="5F2A1392" w:rsidR="001F27D2" w:rsidRDefault="000D4745" w:rsidP="000D4745">
      <w:pPr>
        <w:pStyle w:val="Mapheading0"/>
      </w:pPr>
      <w:bookmarkStart w:id="127" w:name="_Toc532812460"/>
      <w:r>
        <w:t>Map 1.1</w:t>
      </w:r>
      <w:r>
        <w:tab/>
        <w:t>Eden District in context</w:t>
      </w:r>
      <w:bookmarkEnd w:id="127"/>
    </w:p>
    <w:p w14:paraId="02C2269F" w14:textId="1DA72111" w:rsidR="000D4745" w:rsidRDefault="000D4745" w:rsidP="003106AD">
      <w:r>
        <w:rPr>
          <w:noProof/>
          <w:lang w:eastAsia="en-GB"/>
        </w:rPr>
        <w:drawing>
          <wp:inline distT="0" distB="0" distL="0" distR="0" wp14:anchorId="2FAC5322" wp14:editId="3739681D">
            <wp:extent cx="5835650" cy="3932851"/>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den_context.png"/>
                    <pic:cNvPicPr/>
                  </pic:nvPicPr>
                  <pic:blipFill rotWithShape="1">
                    <a:blip r:embed="rId14">
                      <a:extLst>
                        <a:ext uri="{28A0092B-C50C-407E-A947-70E740481C1C}">
                          <a14:useLocalDpi xmlns:a14="http://schemas.microsoft.com/office/drawing/2010/main" val="0"/>
                        </a:ext>
                      </a:extLst>
                    </a:blip>
                    <a:srcRect l="3394" t="4932" r="4320" b="7056"/>
                    <a:stretch/>
                  </pic:blipFill>
                  <pic:spPr bwMode="auto">
                    <a:xfrm>
                      <a:off x="0" y="0"/>
                      <a:ext cx="5835650" cy="3932851"/>
                    </a:xfrm>
                    <a:prstGeom prst="rect">
                      <a:avLst/>
                    </a:prstGeom>
                    <a:ln>
                      <a:noFill/>
                    </a:ln>
                    <a:extLst>
                      <a:ext uri="{53640926-AAD7-44D8-BBD7-CCE9431645EC}">
                        <a14:shadowObscured xmlns:a14="http://schemas.microsoft.com/office/drawing/2010/main"/>
                      </a:ext>
                    </a:extLst>
                  </pic:spPr>
                </pic:pic>
              </a:graphicData>
            </a:graphic>
          </wp:inline>
        </w:drawing>
      </w:r>
    </w:p>
    <w:p w14:paraId="6B2AA1B1" w14:textId="77777777" w:rsidR="000D4745" w:rsidRPr="002B2A7F" w:rsidRDefault="000D4745" w:rsidP="001F27D2">
      <w:pPr>
        <w:pStyle w:val="Reporttext"/>
        <w:numPr>
          <w:ilvl w:val="0"/>
          <w:numId w:val="0"/>
        </w:numPr>
      </w:pPr>
    </w:p>
    <w:tbl>
      <w:tblPr>
        <w:tblStyle w:val="TableGrid"/>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1501"/>
        <w:gridCol w:w="1630"/>
        <w:gridCol w:w="1263"/>
        <w:gridCol w:w="1522"/>
        <w:gridCol w:w="3264"/>
      </w:tblGrid>
      <w:tr w:rsidR="001F27D2" w:rsidRPr="001F27D2" w14:paraId="333A6822" w14:textId="77777777" w:rsidTr="001F27D2">
        <w:tc>
          <w:tcPr>
            <w:tcW w:w="5000" w:type="pct"/>
            <w:gridSpan w:val="5"/>
            <w:shd w:val="clear" w:color="auto" w:fill="009999"/>
          </w:tcPr>
          <w:p w14:paraId="4E692843" w14:textId="77777777" w:rsidR="001F27D2" w:rsidRPr="001F27D2" w:rsidRDefault="001F27D2" w:rsidP="001F27D2">
            <w:pPr>
              <w:pStyle w:val="Tableheading1"/>
            </w:pPr>
            <w:bookmarkStart w:id="128" w:name="_Toc531122927"/>
            <w:bookmarkStart w:id="129" w:name="_Toc532812464"/>
            <w:r w:rsidRPr="001F27D2">
              <w:t>Table 1.1</w:t>
            </w:r>
            <w:r w:rsidRPr="001F27D2">
              <w:tab/>
              <w:t>Housing Market Area Geography</w:t>
            </w:r>
            <w:bookmarkEnd w:id="128"/>
            <w:bookmarkEnd w:id="129"/>
          </w:p>
        </w:tc>
      </w:tr>
      <w:tr w:rsidR="001F27D2" w:rsidRPr="001F27D2" w14:paraId="09F27067" w14:textId="77777777" w:rsidTr="001F27D2">
        <w:tc>
          <w:tcPr>
            <w:tcW w:w="817" w:type="pct"/>
            <w:shd w:val="clear" w:color="auto" w:fill="009999"/>
            <w:vAlign w:val="bottom"/>
          </w:tcPr>
          <w:p w14:paraId="62B9B95D" w14:textId="77777777" w:rsidR="001F27D2" w:rsidRPr="001F27D2" w:rsidRDefault="001F27D2" w:rsidP="001F27D2">
            <w:pPr>
              <w:pStyle w:val="Reporttext"/>
              <w:numPr>
                <w:ilvl w:val="0"/>
                <w:numId w:val="0"/>
              </w:numPr>
              <w:spacing w:after="0"/>
              <w:rPr>
                <w:rFonts w:ascii="Calibri" w:hAnsi="Calibri"/>
                <w:b/>
                <w:color w:val="FFFFFF" w:themeColor="background1"/>
                <w:sz w:val="22"/>
                <w:szCs w:val="22"/>
              </w:rPr>
            </w:pPr>
            <w:r w:rsidRPr="001F27D2">
              <w:rPr>
                <w:rFonts w:ascii="Calibri" w:hAnsi="Calibri"/>
                <w:b/>
                <w:color w:val="FFFFFF" w:themeColor="background1"/>
                <w:sz w:val="22"/>
                <w:szCs w:val="22"/>
              </w:rPr>
              <w:t>Housing Market Area</w:t>
            </w:r>
          </w:p>
        </w:tc>
        <w:tc>
          <w:tcPr>
            <w:tcW w:w="888" w:type="pct"/>
            <w:shd w:val="clear" w:color="auto" w:fill="009999"/>
            <w:vAlign w:val="bottom"/>
          </w:tcPr>
          <w:p w14:paraId="0A091CE6" w14:textId="77777777" w:rsidR="001F27D2" w:rsidRPr="001F27D2" w:rsidRDefault="001F27D2" w:rsidP="001F27D2">
            <w:pPr>
              <w:pStyle w:val="Reporttext"/>
              <w:numPr>
                <w:ilvl w:val="0"/>
                <w:numId w:val="0"/>
              </w:numPr>
              <w:spacing w:after="0"/>
              <w:rPr>
                <w:rFonts w:ascii="Calibri" w:hAnsi="Calibri"/>
                <w:b/>
                <w:color w:val="FFFFFF" w:themeColor="background1"/>
                <w:sz w:val="22"/>
                <w:szCs w:val="22"/>
              </w:rPr>
            </w:pPr>
            <w:r w:rsidRPr="001F27D2">
              <w:rPr>
                <w:rFonts w:ascii="Calibri" w:hAnsi="Calibri"/>
                <w:b/>
                <w:color w:val="FFFFFF" w:themeColor="background1"/>
                <w:sz w:val="22"/>
                <w:szCs w:val="22"/>
              </w:rPr>
              <w:t>Description</w:t>
            </w:r>
          </w:p>
        </w:tc>
        <w:tc>
          <w:tcPr>
            <w:tcW w:w="688" w:type="pct"/>
            <w:shd w:val="clear" w:color="auto" w:fill="009999"/>
            <w:vAlign w:val="bottom"/>
          </w:tcPr>
          <w:p w14:paraId="1AA65D8D" w14:textId="77777777" w:rsidR="001F27D2" w:rsidRPr="001F27D2" w:rsidRDefault="001F27D2" w:rsidP="001F27D2">
            <w:pPr>
              <w:pStyle w:val="Reporttext"/>
              <w:numPr>
                <w:ilvl w:val="0"/>
                <w:numId w:val="0"/>
              </w:numPr>
              <w:spacing w:after="0"/>
              <w:rPr>
                <w:rFonts w:ascii="Calibri" w:hAnsi="Calibri"/>
                <w:b/>
                <w:color w:val="FFFFFF" w:themeColor="background1"/>
                <w:sz w:val="22"/>
                <w:szCs w:val="22"/>
              </w:rPr>
            </w:pPr>
            <w:r w:rsidRPr="001F27D2">
              <w:rPr>
                <w:rFonts w:ascii="Calibri" w:hAnsi="Calibri"/>
                <w:b/>
                <w:color w:val="FFFFFF" w:themeColor="background1"/>
                <w:sz w:val="22"/>
                <w:szCs w:val="22"/>
              </w:rPr>
              <w:t>Main Town</w:t>
            </w:r>
          </w:p>
        </w:tc>
        <w:tc>
          <w:tcPr>
            <w:tcW w:w="829" w:type="pct"/>
            <w:shd w:val="clear" w:color="auto" w:fill="009999"/>
            <w:vAlign w:val="bottom"/>
          </w:tcPr>
          <w:p w14:paraId="7B5FB453" w14:textId="77777777" w:rsidR="001F27D2" w:rsidRPr="001F27D2" w:rsidRDefault="001F27D2" w:rsidP="001F27D2">
            <w:pPr>
              <w:pStyle w:val="Reporttext"/>
              <w:numPr>
                <w:ilvl w:val="0"/>
                <w:numId w:val="0"/>
              </w:numPr>
              <w:spacing w:after="0"/>
              <w:rPr>
                <w:rFonts w:ascii="Calibri" w:hAnsi="Calibri"/>
                <w:b/>
                <w:color w:val="FFFFFF" w:themeColor="background1"/>
                <w:sz w:val="22"/>
                <w:szCs w:val="22"/>
              </w:rPr>
            </w:pPr>
            <w:r w:rsidRPr="001F27D2">
              <w:rPr>
                <w:rFonts w:ascii="Calibri" w:hAnsi="Calibri"/>
                <w:b/>
                <w:color w:val="FFFFFF" w:themeColor="background1"/>
                <w:sz w:val="22"/>
                <w:szCs w:val="22"/>
              </w:rPr>
              <w:t>Market Towns</w:t>
            </w:r>
          </w:p>
        </w:tc>
        <w:tc>
          <w:tcPr>
            <w:tcW w:w="1778" w:type="pct"/>
            <w:shd w:val="clear" w:color="auto" w:fill="009999"/>
            <w:vAlign w:val="bottom"/>
          </w:tcPr>
          <w:p w14:paraId="2195C6A5" w14:textId="77777777" w:rsidR="001F27D2" w:rsidRPr="001F27D2" w:rsidRDefault="001F27D2" w:rsidP="001F27D2">
            <w:pPr>
              <w:pStyle w:val="Reporttext"/>
              <w:numPr>
                <w:ilvl w:val="0"/>
                <w:numId w:val="0"/>
              </w:numPr>
              <w:spacing w:after="0"/>
              <w:rPr>
                <w:rFonts w:ascii="Calibri" w:hAnsi="Calibri"/>
                <w:b/>
                <w:color w:val="FFFFFF" w:themeColor="background1"/>
                <w:sz w:val="22"/>
                <w:szCs w:val="22"/>
              </w:rPr>
            </w:pPr>
            <w:r w:rsidRPr="001F27D2">
              <w:rPr>
                <w:rFonts w:ascii="Calibri" w:hAnsi="Calibri"/>
                <w:b/>
                <w:color w:val="FFFFFF" w:themeColor="background1"/>
                <w:sz w:val="22"/>
                <w:szCs w:val="22"/>
              </w:rPr>
              <w:t>Key Hubs</w:t>
            </w:r>
          </w:p>
        </w:tc>
      </w:tr>
      <w:tr w:rsidR="001F27D2" w:rsidRPr="001F27D2" w14:paraId="700E10F1" w14:textId="77777777" w:rsidTr="001F27D2">
        <w:tc>
          <w:tcPr>
            <w:tcW w:w="817" w:type="pct"/>
          </w:tcPr>
          <w:p w14:paraId="34CEC555" w14:textId="77777777" w:rsidR="001F27D2" w:rsidRPr="001F27D2" w:rsidRDefault="001F27D2" w:rsidP="001F27D2">
            <w:pPr>
              <w:pStyle w:val="Reporttext"/>
              <w:numPr>
                <w:ilvl w:val="0"/>
                <w:numId w:val="0"/>
              </w:numPr>
              <w:spacing w:after="0"/>
              <w:rPr>
                <w:rFonts w:ascii="Calibri" w:hAnsi="Calibri"/>
                <w:sz w:val="22"/>
                <w:szCs w:val="22"/>
              </w:rPr>
            </w:pPr>
            <w:r w:rsidRPr="001F27D2">
              <w:rPr>
                <w:rFonts w:ascii="Calibri" w:hAnsi="Calibri"/>
                <w:sz w:val="22"/>
                <w:szCs w:val="22"/>
              </w:rPr>
              <w:t>HMA 1A</w:t>
            </w:r>
          </w:p>
        </w:tc>
        <w:tc>
          <w:tcPr>
            <w:tcW w:w="888" w:type="pct"/>
          </w:tcPr>
          <w:p w14:paraId="7B752445" w14:textId="77777777" w:rsidR="001F27D2" w:rsidRPr="001F27D2" w:rsidRDefault="001F27D2" w:rsidP="001F27D2">
            <w:pPr>
              <w:pStyle w:val="Reporttext"/>
              <w:numPr>
                <w:ilvl w:val="0"/>
                <w:numId w:val="0"/>
              </w:numPr>
              <w:spacing w:after="0"/>
              <w:rPr>
                <w:rFonts w:ascii="Calibri" w:hAnsi="Calibri"/>
                <w:sz w:val="22"/>
                <w:szCs w:val="22"/>
              </w:rPr>
            </w:pPr>
            <w:r w:rsidRPr="001F27D2">
              <w:rPr>
                <w:rFonts w:ascii="Calibri" w:hAnsi="Calibri"/>
                <w:sz w:val="22"/>
                <w:szCs w:val="22"/>
              </w:rPr>
              <w:t>Penrith Urban</w:t>
            </w:r>
          </w:p>
        </w:tc>
        <w:tc>
          <w:tcPr>
            <w:tcW w:w="688" w:type="pct"/>
          </w:tcPr>
          <w:p w14:paraId="57FD5577" w14:textId="77777777" w:rsidR="001F27D2" w:rsidRPr="001F27D2" w:rsidRDefault="001F27D2" w:rsidP="001F27D2">
            <w:pPr>
              <w:pStyle w:val="Reporttext"/>
              <w:numPr>
                <w:ilvl w:val="0"/>
                <w:numId w:val="0"/>
              </w:numPr>
              <w:spacing w:after="0"/>
              <w:rPr>
                <w:rFonts w:ascii="Calibri" w:hAnsi="Calibri"/>
                <w:sz w:val="22"/>
                <w:szCs w:val="22"/>
              </w:rPr>
            </w:pPr>
            <w:r w:rsidRPr="001F27D2">
              <w:rPr>
                <w:rFonts w:ascii="Calibri" w:hAnsi="Calibri"/>
                <w:sz w:val="22"/>
                <w:szCs w:val="22"/>
              </w:rPr>
              <w:t>Penrith</w:t>
            </w:r>
          </w:p>
        </w:tc>
        <w:tc>
          <w:tcPr>
            <w:tcW w:w="829" w:type="pct"/>
          </w:tcPr>
          <w:p w14:paraId="2CC48D60" w14:textId="77777777" w:rsidR="001F27D2" w:rsidRPr="001F27D2" w:rsidRDefault="001F27D2" w:rsidP="001F27D2">
            <w:pPr>
              <w:pStyle w:val="Reporttext"/>
              <w:numPr>
                <w:ilvl w:val="0"/>
                <w:numId w:val="0"/>
              </w:numPr>
              <w:spacing w:after="0"/>
              <w:rPr>
                <w:rFonts w:ascii="Calibri" w:hAnsi="Calibri"/>
                <w:sz w:val="22"/>
                <w:szCs w:val="22"/>
              </w:rPr>
            </w:pPr>
          </w:p>
        </w:tc>
        <w:tc>
          <w:tcPr>
            <w:tcW w:w="1778" w:type="pct"/>
          </w:tcPr>
          <w:p w14:paraId="0B7058DF" w14:textId="77777777" w:rsidR="001F27D2" w:rsidRPr="001F27D2" w:rsidRDefault="001F27D2" w:rsidP="001F27D2">
            <w:pPr>
              <w:pStyle w:val="Reporttext"/>
              <w:numPr>
                <w:ilvl w:val="0"/>
                <w:numId w:val="0"/>
              </w:numPr>
              <w:spacing w:after="0"/>
              <w:rPr>
                <w:rFonts w:ascii="Calibri" w:hAnsi="Calibri"/>
                <w:sz w:val="22"/>
                <w:szCs w:val="22"/>
              </w:rPr>
            </w:pPr>
          </w:p>
        </w:tc>
      </w:tr>
      <w:tr w:rsidR="001F27D2" w:rsidRPr="001F27D2" w14:paraId="466D1EE5" w14:textId="77777777" w:rsidTr="001F27D2">
        <w:tc>
          <w:tcPr>
            <w:tcW w:w="817" w:type="pct"/>
          </w:tcPr>
          <w:p w14:paraId="66ACD4A6" w14:textId="77777777" w:rsidR="001F27D2" w:rsidRPr="001F27D2" w:rsidRDefault="001F27D2" w:rsidP="001F27D2">
            <w:pPr>
              <w:pStyle w:val="Reporttext"/>
              <w:numPr>
                <w:ilvl w:val="0"/>
                <w:numId w:val="0"/>
              </w:numPr>
              <w:spacing w:after="0"/>
              <w:rPr>
                <w:rFonts w:ascii="Calibri" w:hAnsi="Calibri"/>
                <w:sz w:val="22"/>
                <w:szCs w:val="22"/>
              </w:rPr>
            </w:pPr>
            <w:r w:rsidRPr="001F27D2">
              <w:rPr>
                <w:rFonts w:ascii="Calibri" w:hAnsi="Calibri"/>
                <w:sz w:val="22"/>
                <w:szCs w:val="22"/>
              </w:rPr>
              <w:t>HMA 1B</w:t>
            </w:r>
          </w:p>
        </w:tc>
        <w:tc>
          <w:tcPr>
            <w:tcW w:w="888" w:type="pct"/>
          </w:tcPr>
          <w:p w14:paraId="0F66E21D" w14:textId="77777777" w:rsidR="001F27D2" w:rsidRPr="001F27D2" w:rsidRDefault="001F27D2" w:rsidP="001F27D2">
            <w:pPr>
              <w:pStyle w:val="Reporttext"/>
              <w:numPr>
                <w:ilvl w:val="0"/>
                <w:numId w:val="0"/>
              </w:numPr>
              <w:spacing w:after="0"/>
              <w:rPr>
                <w:rFonts w:ascii="Calibri" w:hAnsi="Calibri"/>
                <w:sz w:val="22"/>
                <w:szCs w:val="22"/>
              </w:rPr>
            </w:pPr>
            <w:r w:rsidRPr="001F27D2">
              <w:rPr>
                <w:rFonts w:ascii="Calibri" w:hAnsi="Calibri"/>
                <w:sz w:val="22"/>
                <w:szCs w:val="22"/>
              </w:rPr>
              <w:t>Penrith Rural</w:t>
            </w:r>
          </w:p>
        </w:tc>
        <w:tc>
          <w:tcPr>
            <w:tcW w:w="688" w:type="pct"/>
          </w:tcPr>
          <w:p w14:paraId="78FD2509" w14:textId="77777777" w:rsidR="001F27D2" w:rsidRPr="001F27D2" w:rsidRDefault="001F27D2" w:rsidP="001F27D2">
            <w:pPr>
              <w:pStyle w:val="Reporttext"/>
              <w:numPr>
                <w:ilvl w:val="0"/>
                <w:numId w:val="0"/>
              </w:numPr>
              <w:spacing w:after="0"/>
              <w:rPr>
                <w:rFonts w:ascii="Calibri" w:hAnsi="Calibri"/>
                <w:sz w:val="22"/>
                <w:szCs w:val="22"/>
              </w:rPr>
            </w:pPr>
          </w:p>
        </w:tc>
        <w:tc>
          <w:tcPr>
            <w:tcW w:w="829" w:type="pct"/>
          </w:tcPr>
          <w:p w14:paraId="2282B472" w14:textId="77777777" w:rsidR="001F27D2" w:rsidRPr="001F27D2" w:rsidRDefault="001F27D2" w:rsidP="001F27D2">
            <w:pPr>
              <w:pStyle w:val="Reporttext"/>
              <w:numPr>
                <w:ilvl w:val="0"/>
                <w:numId w:val="0"/>
              </w:numPr>
              <w:spacing w:after="0"/>
              <w:rPr>
                <w:rFonts w:ascii="Calibri" w:hAnsi="Calibri"/>
                <w:sz w:val="22"/>
                <w:szCs w:val="22"/>
              </w:rPr>
            </w:pPr>
          </w:p>
        </w:tc>
        <w:tc>
          <w:tcPr>
            <w:tcW w:w="1778" w:type="pct"/>
          </w:tcPr>
          <w:p w14:paraId="0B513BBB" w14:textId="15311040" w:rsidR="001F27D2" w:rsidRPr="001F27D2" w:rsidRDefault="001F27D2" w:rsidP="001F27D2">
            <w:pPr>
              <w:pStyle w:val="Reporttext"/>
              <w:numPr>
                <w:ilvl w:val="0"/>
                <w:numId w:val="0"/>
              </w:numPr>
              <w:spacing w:after="0"/>
              <w:rPr>
                <w:rFonts w:ascii="Calibri" w:hAnsi="Calibri"/>
                <w:sz w:val="22"/>
                <w:szCs w:val="22"/>
              </w:rPr>
            </w:pPr>
            <w:r w:rsidRPr="001F27D2">
              <w:rPr>
                <w:rFonts w:ascii="Calibri" w:hAnsi="Calibri"/>
                <w:sz w:val="22"/>
                <w:szCs w:val="22"/>
              </w:rPr>
              <w:t>Armathwaite</w:t>
            </w:r>
            <w:r w:rsidR="00A6478E">
              <w:rPr>
                <w:rFonts w:ascii="Calibri" w:hAnsi="Calibri"/>
                <w:sz w:val="22"/>
                <w:szCs w:val="22"/>
              </w:rPr>
              <w:t xml:space="preserve">, </w:t>
            </w:r>
            <w:r w:rsidRPr="001F27D2">
              <w:rPr>
                <w:rFonts w:ascii="Calibri" w:hAnsi="Calibri"/>
                <w:sz w:val="22"/>
                <w:szCs w:val="22"/>
              </w:rPr>
              <w:t>High/Low Hesket, Kirkby Thore, Langwathby, Lazonby</w:t>
            </w:r>
          </w:p>
        </w:tc>
      </w:tr>
      <w:tr w:rsidR="001F27D2" w:rsidRPr="001F27D2" w14:paraId="5892F6E2" w14:textId="77777777" w:rsidTr="001F27D2">
        <w:tc>
          <w:tcPr>
            <w:tcW w:w="817" w:type="pct"/>
          </w:tcPr>
          <w:p w14:paraId="6347063D" w14:textId="77777777" w:rsidR="001F27D2" w:rsidRPr="001F27D2" w:rsidRDefault="001F27D2" w:rsidP="001F27D2">
            <w:pPr>
              <w:pStyle w:val="Reporttext"/>
              <w:numPr>
                <w:ilvl w:val="0"/>
                <w:numId w:val="0"/>
              </w:numPr>
              <w:spacing w:after="0"/>
              <w:rPr>
                <w:rFonts w:ascii="Calibri" w:hAnsi="Calibri"/>
                <w:sz w:val="22"/>
                <w:szCs w:val="22"/>
              </w:rPr>
            </w:pPr>
            <w:r w:rsidRPr="001F27D2">
              <w:rPr>
                <w:rFonts w:ascii="Calibri" w:hAnsi="Calibri"/>
                <w:sz w:val="22"/>
                <w:szCs w:val="22"/>
              </w:rPr>
              <w:t>HMA2</w:t>
            </w:r>
          </w:p>
        </w:tc>
        <w:tc>
          <w:tcPr>
            <w:tcW w:w="888" w:type="pct"/>
          </w:tcPr>
          <w:p w14:paraId="36C74434" w14:textId="77777777" w:rsidR="001F27D2" w:rsidRPr="001F27D2" w:rsidRDefault="001F27D2" w:rsidP="001F27D2">
            <w:pPr>
              <w:pStyle w:val="Reporttext"/>
              <w:numPr>
                <w:ilvl w:val="0"/>
                <w:numId w:val="0"/>
              </w:numPr>
              <w:spacing w:after="0"/>
              <w:rPr>
                <w:rFonts w:ascii="Calibri" w:hAnsi="Calibri"/>
                <w:sz w:val="22"/>
                <w:szCs w:val="22"/>
              </w:rPr>
            </w:pPr>
            <w:r w:rsidRPr="001F27D2">
              <w:rPr>
                <w:rFonts w:ascii="Calibri" w:hAnsi="Calibri"/>
                <w:sz w:val="22"/>
                <w:szCs w:val="22"/>
              </w:rPr>
              <w:t>Appleby</w:t>
            </w:r>
          </w:p>
        </w:tc>
        <w:tc>
          <w:tcPr>
            <w:tcW w:w="688" w:type="pct"/>
          </w:tcPr>
          <w:p w14:paraId="159043E7" w14:textId="77777777" w:rsidR="001F27D2" w:rsidRPr="001F27D2" w:rsidRDefault="001F27D2" w:rsidP="001F27D2">
            <w:pPr>
              <w:pStyle w:val="Reporttext"/>
              <w:numPr>
                <w:ilvl w:val="0"/>
                <w:numId w:val="0"/>
              </w:numPr>
              <w:spacing w:after="0"/>
              <w:rPr>
                <w:rFonts w:ascii="Calibri" w:hAnsi="Calibri"/>
                <w:sz w:val="22"/>
                <w:szCs w:val="22"/>
              </w:rPr>
            </w:pPr>
          </w:p>
        </w:tc>
        <w:tc>
          <w:tcPr>
            <w:tcW w:w="829" w:type="pct"/>
          </w:tcPr>
          <w:p w14:paraId="5A89B38F" w14:textId="77777777" w:rsidR="001F27D2" w:rsidRPr="001F27D2" w:rsidRDefault="001F27D2" w:rsidP="001F27D2">
            <w:pPr>
              <w:pStyle w:val="Reporttext"/>
              <w:numPr>
                <w:ilvl w:val="0"/>
                <w:numId w:val="0"/>
              </w:numPr>
              <w:spacing w:after="0"/>
              <w:rPr>
                <w:rFonts w:ascii="Calibri" w:hAnsi="Calibri"/>
                <w:sz w:val="22"/>
                <w:szCs w:val="22"/>
              </w:rPr>
            </w:pPr>
            <w:r w:rsidRPr="001F27D2">
              <w:rPr>
                <w:rFonts w:ascii="Calibri" w:hAnsi="Calibri"/>
                <w:sz w:val="22"/>
                <w:szCs w:val="22"/>
              </w:rPr>
              <w:t>Appleby</w:t>
            </w:r>
          </w:p>
        </w:tc>
        <w:tc>
          <w:tcPr>
            <w:tcW w:w="1778" w:type="pct"/>
          </w:tcPr>
          <w:p w14:paraId="6FBA4917" w14:textId="77777777" w:rsidR="001F27D2" w:rsidRPr="001F27D2" w:rsidRDefault="001F27D2" w:rsidP="001F27D2">
            <w:pPr>
              <w:pStyle w:val="Reporttext"/>
              <w:numPr>
                <w:ilvl w:val="0"/>
                <w:numId w:val="0"/>
              </w:numPr>
              <w:spacing w:after="0"/>
              <w:rPr>
                <w:rFonts w:ascii="Calibri" w:hAnsi="Calibri"/>
                <w:sz w:val="22"/>
                <w:szCs w:val="22"/>
              </w:rPr>
            </w:pPr>
          </w:p>
        </w:tc>
      </w:tr>
      <w:tr w:rsidR="001F27D2" w:rsidRPr="001F27D2" w14:paraId="0BD610E2" w14:textId="77777777" w:rsidTr="001F27D2">
        <w:tc>
          <w:tcPr>
            <w:tcW w:w="817" w:type="pct"/>
          </w:tcPr>
          <w:p w14:paraId="19161BF0" w14:textId="77777777" w:rsidR="001F27D2" w:rsidRPr="001F27D2" w:rsidRDefault="001F27D2" w:rsidP="001F27D2">
            <w:pPr>
              <w:pStyle w:val="Reporttext"/>
              <w:numPr>
                <w:ilvl w:val="0"/>
                <w:numId w:val="0"/>
              </w:numPr>
              <w:spacing w:after="0"/>
              <w:rPr>
                <w:rFonts w:ascii="Calibri" w:hAnsi="Calibri"/>
                <w:sz w:val="22"/>
                <w:szCs w:val="22"/>
              </w:rPr>
            </w:pPr>
            <w:r w:rsidRPr="001F27D2">
              <w:rPr>
                <w:rFonts w:ascii="Calibri" w:hAnsi="Calibri"/>
                <w:sz w:val="22"/>
                <w:szCs w:val="22"/>
              </w:rPr>
              <w:t>HMA3</w:t>
            </w:r>
          </w:p>
        </w:tc>
        <w:tc>
          <w:tcPr>
            <w:tcW w:w="888" w:type="pct"/>
          </w:tcPr>
          <w:p w14:paraId="003A85E1" w14:textId="77777777" w:rsidR="001F27D2" w:rsidRPr="001F27D2" w:rsidRDefault="001F27D2" w:rsidP="001F27D2">
            <w:pPr>
              <w:pStyle w:val="Reporttext"/>
              <w:numPr>
                <w:ilvl w:val="0"/>
                <w:numId w:val="0"/>
              </w:numPr>
              <w:spacing w:after="0"/>
              <w:rPr>
                <w:rFonts w:ascii="Calibri" w:hAnsi="Calibri"/>
                <w:sz w:val="22"/>
                <w:szCs w:val="22"/>
              </w:rPr>
            </w:pPr>
            <w:r w:rsidRPr="001F27D2">
              <w:rPr>
                <w:rFonts w:ascii="Calibri" w:hAnsi="Calibri"/>
                <w:sz w:val="22"/>
                <w:szCs w:val="22"/>
              </w:rPr>
              <w:t>Kirkby Stephen</w:t>
            </w:r>
          </w:p>
        </w:tc>
        <w:tc>
          <w:tcPr>
            <w:tcW w:w="688" w:type="pct"/>
          </w:tcPr>
          <w:p w14:paraId="602ECB59" w14:textId="77777777" w:rsidR="001F27D2" w:rsidRPr="001F27D2" w:rsidRDefault="001F27D2" w:rsidP="001F27D2">
            <w:pPr>
              <w:pStyle w:val="Reporttext"/>
              <w:numPr>
                <w:ilvl w:val="0"/>
                <w:numId w:val="0"/>
              </w:numPr>
              <w:spacing w:after="0"/>
              <w:rPr>
                <w:rFonts w:ascii="Calibri" w:hAnsi="Calibri"/>
                <w:sz w:val="22"/>
                <w:szCs w:val="22"/>
              </w:rPr>
            </w:pPr>
          </w:p>
        </w:tc>
        <w:tc>
          <w:tcPr>
            <w:tcW w:w="829" w:type="pct"/>
          </w:tcPr>
          <w:p w14:paraId="7E3C0187" w14:textId="77777777" w:rsidR="001F27D2" w:rsidRPr="001F27D2" w:rsidRDefault="001F27D2" w:rsidP="001F27D2">
            <w:pPr>
              <w:pStyle w:val="Reporttext"/>
              <w:numPr>
                <w:ilvl w:val="0"/>
                <w:numId w:val="0"/>
              </w:numPr>
              <w:spacing w:after="0"/>
              <w:rPr>
                <w:rFonts w:ascii="Calibri" w:hAnsi="Calibri"/>
                <w:sz w:val="22"/>
                <w:szCs w:val="22"/>
              </w:rPr>
            </w:pPr>
            <w:r w:rsidRPr="001F27D2">
              <w:rPr>
                <w:rFonts w:ascii="Calibri" w:hAnsi="Calibri"/>
                <w:sz w:val="22"/>
                <w:szCs w:val="22"/>
              </w:rPr>
              <w:t>Kirkby Stephen</w:t>
            </w:r>
          </w:p>
        </w:tc>
        <w:tc>
          <w:tcPr>
            <w:tcW w:w="1778" w:type="pct"/>
          </w:tcPr>
          <w:p w14:paraId="5F138B5B" w14:textId="77777777" w:rsidR="001F27D2" w:rsidRPr="001F27D2" w:rsidRDefault="001F27D2" w:rsidP="001F27D2">
            <w:pPr>
              <w:pStyle w:val="Reporttext"/>
              <w:numPr>
                <w:ilvl w:val="0"/>
                <w:numId w:val="0"/>
              </w:numPr>
              <w:spacing w:after="0"/>
              <w:rPr>
                <w:rFonts w:ascii="Calibri" w:hAnsi="Calibri"/>
                <w:sz w:val="22"/>
                <w:szCs w:val="22"/>
              </w:rPr>
            </w:pPr>
            <w:r w:rsidRPr="001F27D2">
              <w:rPr>
                <w:rFonts w:ascii="Calibri" w:hAnsi="Calibri"/>
                <w:sz w:val="22"/>
                <w:szCs w:val="22"/>
              </w:rPr>
              <w:t>Brough and Church Brough, Kirkby Stephen</w:t>
            </w:r>
          </w:p>
        </w:tc>
      </w:tr>
      <w:tr w:rsidR="001F27D2" w:rsidRPr="001F27D2" w14:paraId="7593ACF4" w14:textId="77777777" w:rsidTr="001F27D2">
        <w:tc>
          <w:tcPr>
            <w:tcW w:w="817" w:type="pct"/>
          </w:tcPr>
          <w:p w14:paraId="2E525404" w14:textId="77777777" w:rsidR="001F27D2" w:rsidRPr="001F27D2" w:rsidRDefault="001F27D2" w:rsidP="001F27D2">
            <w:pPr>
              <w:pStyle w:val="Reporttext"/>
              <w:numPr>
                <w:ilvl w:val="0"/>
                <w:numId w:val="0"/>
              </w:numPr>
              <w:spacing w:after="0"/>
              <w:rPr>
                <w:rFonts w:ascii="Calibri" w:hAnsi="Calibri"/>
                <w:sz w:val="22"/>
                <w:szCs w:val="22"/>
              </w:rPr>
            </w:pPr>
            <w:r w:rsidRPr="001F27D2">
              <w:rPr>
                <w:rFonts w:ascii="Calibri" w:hAnsi="Calibri"/>
                <w:sz w:val="22"/>
                <w:szCs w:val="22"/>
              </w:rPr>
              <w:t>HMA4</w:t>
            </w:r>
          </w:p>
        </w:tc>
        <w:tc>
          <w:tcPr>
            <w:tcW w:w="888" w:type="pct"/>
          </w:tcPr>
          <w:p w14:paraId="276DF3D9" w14:textId="77777777" w:rsidR="001F27D2" w:rsidRPr="001F27D2" w:rsidRDefault="001F27D2" w:rsidP="001F27D2">
            <w:pPr>
              <w:pStyle w:val="Reporttext"/>
              <w:numPr>
                <w:ilvl w:val="0"/>
                <w:numId w:val="0"/>
              </w:numPr>
              <w:spacing w:after="0"/>
              <w:rPr>
                <w:rFonts w:ascii="Calibri" w:hAnsi="Calibri"/>
                <w:sz w:val="22"/>
                <w:szCs w:val="22"/>
              </w:rPr>
            </w:pPr>
            <w:r w:rsidRPr="001F27D2">
              <w:rPr>
                <w:rFonts w:ascii="Calibri" w:hAnsi="Calibri"/>
                <w:sz w:val="22"/>
                <w:szCs w:val="22"/>
              </w:rPr>
              <w:t>Alston</w:t>
            </w:r>
          </w:p>
        </w:tc>
        <w:tc>
          <w:tcPr>
            <w:tcW w:w="688" w:type="pct"/>
          </w:tcPr>
          <w:p w14:paraId="40308FDE" w14:textId="77777777" w:rsidR="001F27D2" w:rsidRPr="001F27D2" w:rsidRDefault="001F27D2" w:rsidP="001F27D2">
            <w:pPr>
              <w:pStyle w:val="Reporttext"/>
              <w:numPr>
                <w:ilvl w:val="0"/>
                <w:numId w:val="0"/>
              </w:numPr>
              <w:spacing w:after="0"/>
              <w:rPr>
                <w:rFonts w:ascii="Calibri" w:hAnsi="Calibri"/>
                <w:sz w:val="22"/>
                <w:szCs w:val="22"/>
              </w:rPr>
            </w:pPr>
          </w:p>
        </w:tc>
        <w:tc>
          <w:tcPr>
            <w:tcW w:w="829" w:type="pct"/>
          </w:tcPr>
          <w:p w14:paraId="220C0ECB" w14:textId="77777777" w:rsidR="001F27D2" w:rsidRPr="001F27D2" w:rsidRDefault="001F27D2" w:rsidP="001F27D2">
            <w:pPr>
              <w:pStyle w:val="Reporttext"/>
              <w:numPr>
                <w:ilvl w:val="0"/>
                <w:numId w:val="0"/>
              </w:numPr>
              <w:spacing w:after="0"/>
              <w:rPr>
                <w:rFonts w:ascii="Calibri" w:hAnsi="Calibri"/>
                <w:sz w:val="22"/>
                <w:szCs w:val="22"/>
              </w:rPr>
            </w:pPr>
            <w:r w:rsidRPr="001F27D2">
              <w:rPr>
                <w:rFonts w:ascii="Calibri" w:hAnsi="Calibri"/>
                <w:sz w:val="22"/>
                <w:szCs w:val="22"/>
              </w:rPr>
              <w:t>Alston</w:t>
            </w:r>
          </w:p>
        </w:tc>
        <w:tc>
          <w:tcPr>
            <w:tcW w:w="1778" w:type="pct"/>
          </w:tcPr>
          <w:p w14:paraId="43A03EBD" w14:textId="6233D835" w:rsidR="001F27D2" w:rsidRPr="001F27D2" w:rsidRDefault="001F27D2" w:rsidP="001F27D2">
            <w:pPr>
              <w:pStyle w:val="Reporttext"/>
              <w:numPr>
                <w:ilvl w:val="0"/>
                <w:numId w:val="0"/>
              </w:numPr>
              <w:spacing w:after="0"/>
              <w:rPr>
                <w:rFonts w:ascii="Calibri" w:hAnsi="Calibri"/>
                <w:sz w:val="22"/>
                <w:szCs w:val="22"/>
              </w:rPr>
            </w:pPr>
            <w:r w:rsidRPr="001F27D2">
              <w:rPr>
                <w:rFonts w:ascii="Calibri" w:hAnsi="Calibri"/>
                <w:sz w:val="22"/>
                <w:szCs w:val="22"/>
              </w:rPr>
              <w:t>Culga</w:t>
            </w:r>
            <w:r w:rsidR="00A6478E">
              <w:rPr>
                <w:rFonts w:ascii="Calibri" w:hAnsi="Calibri"/>
                <w:sz w:val="22"/>
                <w:szCs w:val="22"/>
              </w:rPr>
              <w:t>i</w:t>
            </w:r>
            <w:r w:rsidRPr="001F27D2">
              <w:rPr>
                <w:rFonts w:ascii="Calibri" w:hAnsi="Calibri"/>
                <w:sz w:val="22"/>
                <w:szCs w:val="22"/>
              </w:rPr>
              <w:t>th, Nenthead</w:t>
            </w:r>
          </w:p>
        </w:tc>
      </w:tr>
      <w:tr w:rsidR="001F27D2" w:rsidRPr="001F27D2" w14:paraId="2D54BF19" w14:textId="77777777" w:rsidTr="001F27D2">
        <w:tc>
          <w:tcPr>
            <w:tcW w:w="817" w:type="pct"/>
          </w:tcPr>
          <w:p w14:paraId="3D5EF3BE" w14:textId="77777777" w:rsidR="001F27D2" w:rsidRPr="001F27D2" w:rsidRDefault="001F27D2" w:rsidP="001F27D2">
            <w:pPr>
              <w:pStyle w:val="Reporttext"/>
              <w:numPr>
                <w:ilvl w:val="0"/>
                <w:numId w:val="0"/>
              </w:numPr>
              <w:spacing w:after="0"/>
              <w:rPr>
                <w:rFonts w:ascii="Calibri" w:hAnsi="Calibri"/>
                <w:sz w:val="22"/>
                <w:szCs w:val="22"/>
              </w:rPr>
            </w:pPr>
            <w:r w:rsidRPr="001F27D2">
              <w:rPr>
                <w:rFonts w:ascii="Calibri" w:hAnsi="Calibri"/>
                <w:sz w:val="22"/>
                <w:szCs w:val="22"/>
              </w:rPr>
              <w:t>HMA5</w:t>
            </w:r>
          </w:p>
        </w:tc>
        <w:tc>
          <w:tcPr>
            <w:tcW w:w="888" w:type="pct"/>
          </w:tcPr>
          <w:p w14:paraId="7EB99776" w14:textId="77777777" w:rsidR="001F27D2" w:rsidRPr="001F27D2" w:rsidRDefault="001F27D2" w:rsidP="001F27D2">
            <w:pPr>
              <w:pStyle w:val="Reporttext"/>
              <w:numPr>
                <w:ilvl w:val="0"/>
                <w:numId w:val="0"/>
              </w:numPr>
              <w:spacing w:after="0"/>
              <w:rPr>
                <w:rFonts w:ascii="Calibri" w:hAnsi="Calibri"/>
                <w:sz w:val="22"/>
                <w:szCs w:val="22"/>
              </w:rPr>
            </w:pPr>
            <w:r w:rsidRPr="001F27D2">
              <w:rPr>
                <w:rFonts w:ascii="Calibri" w:hAnsi="Calibri"/>
                <w:sz w:val="22"/>
                <w:szCs w:val="22"/>
              </w:rPr>
              <w:t>West of M6</w:t>
            </w:r>
          </w:p>
        </w:tc>
        <w:tc>
          <w:tcPr>
            <w:tcW w:w="688" w:type="pct"/>
          </w:tcPr>
          <w:p w14:paraId="30F48919" w14:textId="77777777" w:rsidR="001F27D2" w:rsidRPr="001F27D2" w:rsidRDefault="001F27D2" w:rsidP="001F27D2">
            <w:pPr>
              <w:pStyle w:val="Reporttext"/>
              <w:numPr>
                <w:ilvl w:val="0"/>
                <w:numId w:val="0"/>
              </w:numPr>
              <w:spacing w:after="0"/>
              <w:rPr>
                <w:rFonts w:ascii="Calibri" w:hAnsi="Calibri"/>
                <w:sz w:val="22"/>
                <w:szCs w:val="22"/>
              </w:rPr>
            </w:pPr>
          </w:p>
        </w:tc>
        <w:tc>
          <w:tcPr>
            <w:tcW w:w="829" w:type="pct"/>
          </w:tcPr>
          <w:p w14:paraId="303C480B" w14:textId="77777777" w:rsidR="001F27D2" w:rsidRPr="001F27D2" w:rsidRDefault="001F27D2" w:rsidP="001F27D2">
            <w:pPr>
              <w:pStyle w:val="Reporttext"/>
              <w:numPr>
                <w:ilvl w:val="0"/>
                <w:numId w:val="0"/>
              </w:numPr>
              <w:spacing w:after="0"/>
              <w:rPr>
                <w:rFonts w:ascii="Calibri" w:hAnsi="Calibri"/>
                <w:sz w:val="22"/>
                <w:szCs w:val="22"/>
              </w:rPr>
            </w:pPr>
          </w:p>
        </w:tc>
        <w:tc>
          <w:tcPr>
            <w:tcW w:w="1778" w:type="pct"/>
          </w:tcPr>
          <w:p w14:paraId="13A49E2C" w14:textId="22C316F2" w:rsidR="001F27D2" w:rsidRPr="001F27D2" w:rsidRDefault="001F27D2" w:rsidP="001F27D2">
            <w:pPr>
              <w:pStyle w:val="Reporttext"/>
              <w:numPr>
                <w:ilvl w:val="0"/>
                <w:numId w:val="0"/>
              </w:numPr>
              <w:spacing w:after="0"/>
              <w:rPr>
                <w:rFonts w:ascii="Calibri" w:hAnsi="Calibri"/>
                <w:sz w:val="22"/>
                <w:szCs w:val="22"/>
              </w:rPr>
            </w:pPr>
            <w:r w:rsidRPr="001F27D2">
              <w:rPr>
                <w:rFonts w:ascii="Calibri" w:hAnsi="Calibri"/>
                <w:sz w:val="22"/>
                <w:szCs w:val="22"/>
              </w:rPr>
              <w:t>Greysto</w:t>
            </w:r>
            <w:r w:rsidR="008C3FF1">
              <w:rPr>
                <w:rFonts w:ascii="Calibri" w:hAnsi="Calibri"/>
                <w:sz w:val="22"/>
                <w:szCs w:val="22"/>
              </w:rPr>
              <w:t>k</w:t>
            </w:r>
            <w:r w:rsidRPr="001F27D2">
              <w:rPr>
                <w:rFonts w:ascii="Calibri" w:hAnsi="Calibri"/>
                <w:sz w:val="22"/>
                <w:szCs w:val="22"/>
              </w:rPr>
              <w:t>e, Shap</w:t>
            </w:r>
          </w:p>
        </w:tc>
      </w:tr>
    </w:tbl>
    <w:p w14:paraId="2733F601" w14:textId="506AF808" w:rsidR="001F27D2" w:rsidRDefault="001F27D2" w:rsidP="001F27D2">
      <w:pPr>
        <w:pStyle w:val="Reporttext"/>
        <w:numPr>
          <w:ilvl w:val="0"/>
          <w:numId w:val="0"/>
        </w:numPr>
        <w:ind w:left="709"/>
      </w:pPr>
    </w:p>
    <w:p w14:paraId="32BA1BC1" w14:textId="28C79494" w:rsidR="00976C8A" w:rsidRDefault="00976C8A" w:rsidP="001F27D2">
      <w:pPr>
        <w:pStyle w:val="Reporttext"/>
        <w:numPr>
          <w:ilvl w:val="0"/>
          <w:numId w:val="0"/>
        </w:numPr>
        <w:ind w:left="709"/>
      </w:pPr>
    </w:p>
    <w:p w14:paraId="0B9BC6F6" w14:textId="722C92FF" w:rsidR="00976C8A" w:rsidRDefault="00976C8A" w:rsidP="001F27D2">
      <w:pPr>
        <w:pStyle w:val="Reporttext"/>
        <w:numPr>
          <w:ilvl w:val="0"/>
          <w:numId w:val="0"/>
        </w:numPr>
        <w:ind w:left="709"/>
      </w:pPr>
    </w:p>
    <w:p w14:paraId="3310335A" w14:textId="0F8EE122" w:rsidR="00976C8A" w:rsidRDefault="00976C8A" w:rsidP="001F27D2">
      <w:pPr>
        <w:pStyle w:val="Reporttext"/>
        <w:numPr>
          <w:ilvl w:val="0"/>
          <w:numId w:val="0"/>
        </w:numPr>
        <w:ind w:left="709"/>
      </w:pPr>
    </w:p>
    <w:p w14:paraId="775F9C3B" w14:textId="77777777" w:rsidR="00976C8A" w:rsidRDefault="00976C8A" w:rsidP="001F27D2">
      <w:pPr>
        <w:pStyle w:val="Reporttext"/>
        <w:numPr>
          <w:ilvl w:val="0"/>
          <w:numId w:val="0"/>
        </w:numPr>
        <w:ind w:left="709"/>
      </w:pPr>
    </w:p>
    <w:p w14:paraId="1E36D7AD" w14:textId="7612F5C2" w:rsidR="00976C8A" w:rsidRDefault="00976C8A" w:rsidP="00976C8A">
      <w:pPr>
        <w:pStyle w:val="Mapheading0"/>
      </w:pPr>
      <w:bookmarkStart w:id="130" w:name="_Toc532812461"/>
      <w:r>
        <w:lastRenderedPageBreak/>
        <w:t>Map 1.2</w:t>
      </w:r>
      <w:r>
        <w:tab/>
        <w:t>Eden District Housing Market Areas</w:t>
      </w:r>
      <w:bookmarkEnd w:id="130"/>
    </w:p>
    <w:p w14:paraId="70119D50" w14:textId="6873002E" w:rsidR="00976C8A" w:rsidRDefault="00976C8A" w:rsidP="001F27D2">
      <w:pPr>
        <w:pStyle w:val="Reporttext"/>
        <w:numPr>
          <w:ilvl w:val="0"/>
          <w:numId w:val="0"/>
        </w:numPr>
        <w:ind w:left="709"/>
      </w:pPr>
    </w:p>
    <w:p w14:paraId="1EDACF90" w14:textId="6D5B9888" w:rsidR="00976C8A" w:rsidRDefault="00976C8A" w:rsidP="003106AD">
      <w:r>
        <w:rPr>
          <w:noProof/>
          <w:lang w:eastAsia="en-GB"/>
        </w:rPr>
        <w:drawing>
          <wp:inline distT="0" distB="0" distL="0" distR="0" wp14:anchorId="6DF77BC9" wp14:editId="28A02549">
            <wp:extent cx="5835650" cy="441993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den_hma.png"/>
                    <pic:cNvPicPr/>
                  </pic:nvPicPr>
                  <pic:blipFill rotWithShape="1">
                    <a:blip r:embed="rId15">
                      <a:extLst>
                        <a:ext uri="{28A0092B-C50C-407E-A947-70E740481C1C}">
                          <a14:useLocalDpi xmlns:a14="http://schemas.microsoft.com/office/drawing/2010/main" val="0"/>
                        </a:ext>
                      </a:extLst>
                    </a:blip>
                    <a:srcRect l="3945" t="4803" r="12125" b="5246"/>
                    <a:stretch/>
                  </pic:blipFill>
                  <pic:spPr bwMode="auto">
                    <a:xfrm>
                      <a:off x="0" y="0"/>
                      <a:ext cx="5835650" cy="4419937"/>
                    </a:xfrm>
                    <a:prstGeom prst="rect">
                      <a:avLst/>
                    </a:prstGeom>
                    <a:ln>
                      <a:noFill/>
                    </a:ln>
                    <a:extLst>
                      <a:ext uri="{53640926-AAD7-44D8-BBD7-CCE9431645EC}">
                        <a14:shadowObscured xmlns:a14="http://schemas.microsoft.com/office/drawing/2010/main"/>
                      </a:ext>
                    </a:extLst>
                  </pic:spPr>
                </pic:pic>
              </a:graphicData>
            </a:graphic>
          </wp:inline>
        </w:drawing>
      </w:r>
    </w:p>
    <w:p w14:paraId="43BCFB68" w14:textId="77777777" w:rsidR="00976C8A" w:rsidRPr="002B2A7F" w:rsidRDefault="00976C8A" w:rsidP="001F27D2">
      <w:pPr>
        <w:pStyle w:val="Reporttext"/>
        <w:numPr>
          <w:ilvl w:val="0"/>
          <w:numId w:val="0"/>
        </w:numPr>
        <w:ind w:left="709"/>
      </w:pPr>
    </w:p>
    <w:p w14:paraId="44997A70" w14:textId="2E7E4C6F" w:rsidR="00804B09" w:rsidRPr="002B2A7F" w:rsidRDefault="00804B09" w:rsidP="00804B09">
      <w:pPr>
        <w:pStyle w:val="Reporttext"/>
        <w:rPr>
          <w:iCs/>
          <w:caps/>
        </w:rPr>
      </w:pPr>
      <w:bookmarkStart w:id="131" w:name="_Toc428528460"/>
      <w:bookmarkStart w:id="132" w:name="_Toc399864324"/>
      <w:bookmarkStart w:id="133" w:name="_Toc430084552"/>
      <w:bookmarkStart w:id="134" w:name="_Toc430782007"/>
      <w:bookmarkStart w:id="135" w:name="_Toc395193536"/>
      <w:bookmarkStart w:id="136" w:name="_Toc524935563"/>
      <w:bookmarkStart w:id="137" w:name="_Toc531122855"/>
      <w:bookmarkStart w:id="138" w:name="_Toc520496186"/>
      <w:bookmarkEnd w:id="125"/>
      <w:r>
        <w:t xml:space="preserve">Table A2 in Technical Appendix A provides a full breakdown of constituent wards and parishes in each Housing Market Area. </w:t>
      </w:r>
    </w:p>
    <w:p w14:paraId="435A69D4" w14:textId="77777777" w:rsidR="00804B09" w:rsidRDefault="00804B09" w:rsidP="003106AD"/>
    <w:p w14:paraId="0F7148A0" w14:textId="29D09E6C" w:rsidR="001F27D2" w:rsidRPr="002B2A7F" w:rsidRDefault="001F27D2" w:rsidP="001F27D2">
      <w:pPr>
        <w:pStyle w:val="Heading2"/>
        <w:rPr>
          <w:rFonts w:asciiTheme="minorHAnsi" w:hAnsiTheme="minorHAnsi"/>
        </w:rPr>
      </w:pPr>
      <w:bookmarkStart w:id="139" w:name="_Toc532812387"/>
      <w:r w:rsidRPr="002B2A7F">
        <w:rPr>
          <w:rFonts w:asciiTheme="minorHAnsi" w:hAnsiTheme="minorHAnsi"/>
        </w:rPr>
        <w:t>Research methodology</w:t>
      </w:r>
      <w:bookmarkEnd w:id="131"/>
      <w:bookmarkEnd w:id="132"/>
      <w:bookmarkEnd w:id="133"/>
      <w:bookmarkEnd w:id="134"/>
      <w:bookmarkEnd w:id="135"/>
      <w:bookmarkEnd w:id="136"/>
      <w:bookmarkEnd w:id="137"/>
      <w:bookmarkEnd w:id="139"/>
    </w:p>
    <w:p w14:paraId="07FBE7D0" w14:textId="77777777" w:rsidR="001F27D2" w:rsidRPr="002B2A7F" w:rsidRDefault="001F27D2" w:rsidP="001F27D2">
      <w:pPr>
        <w:pStyle w:val="Reporttext"/>
        <w:rPr>
          <w:iCs/>
          <w:caps/>
        </w:rPr>
      </w:pPr>
      <w:r w:rsidRPr="002B2A7F">
        <w:t>To deliver the Eden District HNS 2018, a multi-method approach has been adopted, which comprises:</w:t>
      </w:r>
    </w:p>
    <w:p w14:paraId="65F8C730" w14:textId="77777777" w:rsidR="001F27D2" w:rsidRPr="002B2A7F" w:rsidRDefault="001F27D2" w:rsidP="001F27D2">
      <w:pPr>
        <w:pStyle w:val="bullet"/>
        <w:spacing w:before="0"/>
        <w:jc w:val="left"/>
        <w:rPr>
          <w:rFonts w:asciiTheme="minorHAnsi" w:hAnsiTheme="minorHAnsi" w:cs="Calibri"/>
        </w:rPr>
      </w:pPr>
      <w:r w:rsidRPr="002B2A7F">
        <w:rPr>
          <w:rFonts w:asciiTheme="minorHAnsi" w:hAnsiTheme="minorHAnsi" w:cs="Calibri"/>
        </w:rPr>
        <w:t>A review of relevant secondary data including the 2011 Census, house price trends, 2016 ONS sub-national population projections and 2014 ONS household projections, CORE lettings data and DHCLG Statistics;</w:t>
      </w:r>
    </w:p>
    <w:p w14:paraId="13FE7839" w14:textId="48F0414B" w:rsidR="001F27D2" w:rsidRPr="002B2A7F" w:rsidRDefault="001F27D2" w:rsidP="001F27D2">
      <w:pPr>
        <w:pStyle w:val="bullet"/>
        <w:spacing w:before="0"/>
        <w:jc w:val="left"/>
        <w:rPr>
          <w:rFonts w:asciiTheme="minorHAnsi" w:hAnsiTheme="minorHAnsi" w:cs="Calibri"/>
        </w:rPr>
      </w:pPr>
      <w:r w:rsidRPr="002B2A7F">
        <w:rPr>
          <w:rFonts w:asciiTheme="minorHAnsi" w:hAnsiTheme="minorHAnsi" w:cs="Calibri"/>
        </w:rPr>
        <w:t xml:space="preserve">A comprehensive household survey with output available at Housing </w:t>
      </w:r>
      <w:r w:rsidR="00A6478E">
        <w:rPr>
          <w:rFonts w:asciiTheme="minorHAnsi" w:hAnsiTheme="minorHAnsi" w:cs="Calibri"/>
        </w:rPr>
        <w:t>M</w:t>
      </w:r>
      <w:r w:rsidRPr="002B2A7F">
        <w:rPr>
          <w:rFonts w:asciiTheme="minorHAnsi" w:hAnsiTheme="minorHAnsi" w:cs="Calibri"/>
        </w:rPr>
        <w:t>arket Area Level;</w:t>
      </w:r>
    </w:p>
    <w:p w14:paraId="2456D8E2" w14:textId="512D617B" w:rsidR="001F27D2" w:rsidRPr="002B2A7F" w:rsidRDefault="001F27D2" w:rsidP="001F27D2">
      <w:pPr>
        <w:pStyle w:val="bullet"/>
        <w:spacing w:before="0"/>
        <w:jc w:val="left"/>
        <w:rPr>
          <w:rFonts w:asciiTheme="minorHAnsi" w:hAnsiTheme="minorHAnsi" w:cs="Calibri"/>
        </w:rPr>
      </w:pPr>
      <w:r w:rsidRPr="002B2A7F">
        <w:rPr>
          <w:rFonts w:asciiTheme="minorHAnsi" w:hAnsiTheme="minorHAnsi" w:cs="Calibri"/>
        </w:rPr>
        <w:t>Stakeholder consultation;</w:t>
      </w:r>
      <w:r w:rsidR="00A6478E">
        <w:rPr>
          <w:rFonts w:asciiTheme="minorHAnsi" w:hAnsiTheme="minorHAnsi" w:cs="Calibri"/>
        </w:rPr>
        <w:t xml:space="preserve"> and</w:t>
      </w:r>
    </w:p>
    <w:p w14:paraId="32CB1617" w14:textId="65C81449" w:rsidR="001F27D2" w:rsidRPr="002B2A7F" w:rsidRDefault="001F27D2" w:rsidP="001F27D2">
      <w:pPr>
        <w:pStyle w:val="bullet"/>
        <w:spacing w:before="0"/>
        <w:jc w:val="left"/>
        <w:rPr>
          <w:rFonts w:asciiTheme="minorHAnsi" w:hAnsiTheme="minorHAnsi" w:cs="Calibri"/>
        </w:rPr>
      </w:pPr>
      <w:r w:rsidRPr="002B2A7F">
        <w:rPr>
          <w:rFonts w:asciiTheme="minorHAnsi" w:hAnsiTheme="minorHAnsi" w:cs="Calibri"/>
        </w:rPr>
        <w:t>Interviews with estate and letting agents operating within the District</w:t>
      </w:r>
      <w:r w:rsidR="00A6478E">
        <w:rPr>
          <w:rFonts w:asciiTheme="minorHAnsi" w:hAnsiTheme="minorHAnsi" w:cs="Calibri"/>
        </w:rPr>
        <w:t xml:space="preserve"> in order to inform housing market dynamics and define local housing market areas.</w:t>
      </w:r>
    </w:p>
    <w:p w14:paraId="341B4ED7" w14:textId="77777777" w:rsidR="001F27D2" w:rsidRPr="002B2A7F" w:rsidRDefault="001F27D2" w:rsidP="001F27D2">
      <w:pPr>
        <w:pStyle w:val="Reporttext"/>
        <w:rPr>
          <w:caps/>
        </w:rPr>
      </w:pPr>
      <w:r w:rsidRPr="002B2A7F">
        <w:t>Further information on the research methodology is presented at Appendix A</w:t>
      </w:r>
      <w:r w:rsidRPr="002B2A7F">
        <w:rPr>
          <w:caps/>
        </w:rPr>
        <w:t>.</w:t>
      </w:r>
    </w:p>
    <w:p w14:paraId="16AC69D2" w14:textId="77777777" w:rsidR="001F27D2" w:rsidRPr="002B2A7F" w:rsidRDefault="001F27D2" w:rsidP="001F27D2">
      <w:pPr>
        <w:rPr>
          <w:rFonts w:asciiTheme="minorHAnsi" w:hAnsiTheme="minorHAnsi" w:cs="Calibri"/>
        </w:rPr>
      </w:pPr>
    </w:p>
    <w:p w14:paraId="6F645D5A" w14:textId="77777777" w:rsidR="001F27D2" w:rsidRPr="002B2A7F" w:rsidRDefault="001F27D2" w:rsidP="001F27D2">
      <w:pPr>
        <w:pStyle w:val="Heading2"/>
        <w:rPr>
          <w:rFonts w:asciiTheme="minorHAnsi" w:hAnsiTheme="minorHAnsi" w:cs="Calibri"/>
        </w:rPr>
      </w:pPr>
      <w:bookmarkStart w:id="140" w:name="_Toc225941496"/>
      <w:bookmarkStart w:id="141" w:name="_Toc399864326"/>
      <w:bookmarkStart w:id="142" w:name="_Toc428528462"/>
      <w:bookmarkStart w:id="143" w:name="_Toc430084554"/>
      <w:bookmarkStart w:id="144" w:name="_Toc430782009"/>
      <w:bookmarkStart w:id="145" w:name="_Toc395193537"/>
      <w:bookmarkStart w:id="146" w:name="_Toc524935564"/>
      <w:bookmarkStart w:id="147" w:name="_Toc531122856"/>
      <w:bookmarkStart w:id="148" w:name="_Toc532812388"/>
      <w:r w:rsidRPr="002B2A7F">
        <w:rPr>
          <w:rFonts w:asciiTheme="minorHAnsi" w:hAnsiTheme="minorHAnsi" w:cs="Calibri"/>
        </w:rPr>
        <w:lastRenderedPageBreak/>
        <w:t>Report structure</w:t>
      </w:r>
      <w:bookmarkEnd w:id="140"/>
      <w:bookmarkEnd w:id="141"/>
      <w:bookmarkEnd w:id="142"/>
      <w:bookmarkEnd w:id="143"/>
      <w:bookmarkEnd w:id="144"/>
      <w:bookmarkEnd w:id="145"/>
      <w:bookmarkEnd w:id="146"/>
      <w:bookmarkEnd w:id="147"/>
      <w:bookmarkEnd w:id="148"/>
    </w:p>
    <w:p w14:paraId="785E2B25" w14:textId="0F25E3E4" w:rsidR="001F27D2" w:rsidRPr="002B2A7F" w:rsidRDefault="001F27D2" w:rsidP="001F27D2">
      <w:pPr>
        <w:pStyle w:val="Reporttext"/>
      </w:pPr>
      <w:r w:rsidRPr="002B2A7F">
        <w:t xml:space="preserve">This report of the Eden HNS 2018 is structured as follows:  </w:t>
      </w:r>
    </w:p>
    <w:p w14:paraId="4FAA288C" w14:textId="77777777" w:rsidR="001F27D2" w:rsidRPr="002B2A7F" w:rsidRDefault="001F27D2" w:rsidP="001F27D2">
      <w:pPr>
        <w:pStyle w:val="bullet"/>
        <w:spacing w:before="0"/>
        <w:jc w:val="left"/>
        <w:rPr>
          <w:rFonts w:asciiTheme="minorHAnsi" w:hAnsiTheme="minorHAnsi" w:cs="Calibri"/>
        </w:rPr>
      </w:pPr>
      <w:r w:rsidRPr="002B2A7F">
        <w:rPr>
          <w:rFonts w:asciiTheme="minorHAnsi" w:hAnsiTheme="minorHAnsi" w:cs="Calibri"/>
          <w:b/>
        </w:rPr>
        <w:t>Chapter 2</w:t>
      </w:r>
      <w:r w:rsidRPr="002B2A7F">
        <w:rPr>
          <w:rFonts w:asciiTheme="minorHAnsi" w:hAnsiTheme="minorHAnsi" w:cs="Calibri"/>
        </w:rPr>
        <w:t xml:space="preserve"> reviews the national and strategic policy context within which the research needs to be positioned; </w:t>
      </w:r>
    </w:p>
    <w:p w14:paraId="4DE2514F" w14:textId="2F07498A" w:rsidR="001F27D2" w:rsidRPr="002B2A7F" w:rsidRDefault="001F27D2" w:rsidP="001F27D2">
      <w:pPr>
        <w:pStyle w:val="bullet"/>
        <w:spacing w:before="0"/>
        <w:jc w:val="left"/>
        <w:rPr>
          <w:rFonts w:asciiTheme="minorHAnsi" w:hAnsiTheme="minorHAnsi" w:cs="Calibri"/>
        </w:rPr>
      </w:pPr>
      <w:r w:rsidRPr="002B2A7F">
        <w:rPr>
          <w:rFonts w:asciiTheme="minorHAnsi" w:hAnsiTheme="minorHAnsi" w:cs="Calibri"/>
          <w:b/>
        </w:rPr>
        <w:t>Chapter 3</w:t>
      </w:r>
      <w:r w:rsidRPr="002B2A7F">
        <w:rPr>
          <w:rFonts w:asciiTheme="minorHAnsi" w:hAnsiTheme="minorHAnsi" w:cs="Calibri"/>
        </w:rPr>
        <w:t xml:space="preserve"> considers the main features of the housing market dynamics, including house price and rental trends, migration and travel to work patterns</w:t>
      </w:r>
      <w:r w:rsidR="00A6478E">
        <w:rPr>
          <w:rFonts w:asciiTheme="minorHAnsi" w:hAnsiTheme="minorHAnsi" w:cs="Calibri"/>
        </w:rPr>
        <w:t xml:space="preserve"> and defines the local housing market areas</w:t>
      </w:r>
      <w:r w:rsidRPr="002B2A7F">
        <w:rPr>
          <w:rFonts w:asciiTheme="minorHAnsi" w:hAnsiTheme="minorHAnsi" w:cs="Calibri"/>
        </w:rPr>
        <w:t>;</w:t>
      </w:r>
    </w:p>
    <w:p w14:paraId="7E56245A" w14:textId="77777777" w:rsidR="001F27D2" w:rsidRPr="002B2A7F" w:rsidRDefault="001F27D2" w:rsidP="001F27D2">
      <w:pPr>
        <w:pStyle w:val="bullet"/>
        <w:spacing w:before="0"/>
        <w:jc w:val="left"/>
        <w:rPr>
          <w:rFonts w:asciiTheme="minorHAnsi" w:hAnsiTheme="minorHAnsi" w:cs="Calibri"/>
        </w:rPr>
      </w:pPr>
      <w:r w:rsidRPr="002B2A7F">
        <w:rPr>
          <w:rFonts w:asciiTheme="minorHAnsi" w:hAnsiTheme="minorHAnsi" w:cs="Calibri"/>
          <w:b/>
        </w:rPr>
        <w:t>Chapter 4</w:t>
      </w:r>
      <w:r w:rsidRPr="002B2A7F">
        <w:rPr>
          <w:rFonts w:asciiTheme="minorHAnsi" w:hAnsiTheme="minorHAnsi" w:cs="Calibri"/>
        </w:rPr>
        <w:t xml:space="preserve"> reviews the current housing market and provides a detailed analysis of the main tenures;</w:t>
      </w:r>
    </w:p>
    <w:p w14:paraId="49BD9D09" w14:textId="7420E8EE" w:rsidR="001F27D2" w:rsidRDefault="001F27D2" w:rsidP="001F27D2">
      <w:pPr>
        <w:pStyle w:val="bullet"/>
        <w:spacing w:before="0"/>
        <w:jc w:val="left"/>
        <w:rPr>
          <w:rFonts w:asciiTheme="minorHAnsi" w:hAnsiTheme="minorHAnsi" w:cs="Calibri"/>
        </w:rPr>
      </w:pPr>
      <w:r w:rsidRPr="002B2A7F">
        <w:rPr>
          <w:rFonts w:asciiTheme="minorHAnsi" w:hAnsiTheme="minorHAnsi" w:cs="Calibri"/>
          <w:b/>
        </w:rPr>
        <w:t>Chapter 5</w:t>
      </w:r>
      <w:r w:rsidRPr="002B2A7F">
        <w:rPr>
          <w:rFonts w:asciiTheme="minorHAnsi" w:hAnsiTheme="minorHAnsi" w:cs="Calibri"/>
        </w:rPr>
        <w:t xml:space="preserve"> considers the need for all types of housing, including affordable housing need and a consideration of household groups with particular housing requirements; </w:t>
      </w:r>
    </w:p>
    <w:p w14:paraId="2D94E3E7" w14:textId="13827CB0" w:rsidR="00A6478E" w:rsidRPr="002B2A7F" w:rsidRDefault="00A6478E" w:rsidP="001F27D2">
      <w:pPr>
        <w:pStyle w:val="bullet"/>
        <w:spacing w:before="0"/>
        <w:jc w:val="left"/>
        <w:rPr>
          <w:rFonts w:asciiTheme="minorHAnsi" w:hAnsiTheme="minorHAnsi" w:cs="Calibri"/>
        </w:rPr>
      </w:pPr>
      <w:r>
        <w:rPr>
          <w:rFonts w:asciiTheme="minorHAnsi" w:hAnsiTheme="minorHAnsi" w:cs="Calibri"/>
          <w:b/>
        </w:rPr>
        <w:t>Chapter 6</w:t>
      </w:r>
      <w:r>
        <w:rPr>
          <w:rFonts w:asciiTheme="minorHAnsi" w:hAnsiTheme="minorHAnsi" w:cs="Calibri"/>
          <w:bCs/>
        </w:rPr>
        <w:t xml:space="preserve"> </w:t>
      </w:r>
      <w:r w:rsidR="00595D46" w:rsidRPr="002B2A7F">
        <w:t>considers the needs of particular groups through primary and secondary data analysis and through discussions with key stakeholders</w:t>
      </w:r>
      <w:r w:rsidR="00595D46">
        <w:t>;</w:t>
      </w:r>
    </w:p>
    <w:p w14:paraId="0A3E445B" w14:textId="06E757D3" w:rsidR="001F27D2" w:rsidRPr="002B2A7F" w:rsidRDefault="001F27D2" w:rsidP="001F27D2">
      <w:pPr>
        <w:pStyle w:val="bullet"/>
        <w:spacing w:before="0"/>
        <w:jc w:val="left"/>
        <w:rPr>
          <w:rFonts w:asciiTheme="minorHAnsi" w:hAnsiTheme="minorHAnsi" w:cs="Calibri"/>
        </w:rPr>
      </w:pPr>
      <w:r w:rsidRPr="002B2A7F">
        <w:rPr>
          <w:rFonts w:asciiTheme="minorHAnsi" w:hAnsiTheme="minorHAnsi" w:cs="Calibri"/>
          <w:b/>
        </w:rPr>
        <w:t xml:space="preserve">Chapter </w:t>
      </w:r>
      <w:r w:rsidR="00A6478E">
        <w:rPr>
          <w:rFonts w:asciiTheme="minorHAnsi" w:hAnsiTheme="minorHAnsi" w:cs="Calibri"/>
          <w:b/>
        </w:rPr>
        <w:t>7</w:t>
      </w:r>
      <w:r w:rsidRPr="002B2A7F">
        <w:rPr>
          <w:rFonts w:asciiTheme="minorHAnsi" w:hAnsiTheme="minorHAnsi" w:cs="Calibri"/>
          <w:b/>
        </w:rPr>
        <w:t xml:space="preserve"> </w:t>
      </w:r>
      <w:r w:rsidRPr="002B2A7F">
        <w:rPr>
          <w:rFonts w:asciiTheme="minorHAnsi" w:hAnsiTheme="minorHAnsi" w:cs="Calibri"/>
        </w:rPr>
        <w:t>sets out an assessment of dwelling type and mix for future housing development within the District; and</w:t>
      </w:r>
    </w:p>
    <w:p w14:paraId="11D1019F" w14:textId="2E0CB91C" w:rsidR="001F27D2" w:rsidRPr="002B2A7F" w:rsidRDefault="001F27D2" w:rsidP="001F27D2">
      <w:pPr>
        <w:pStyle w:val="bullet"/>
        <w:spacing w:before="0"/>
        <w:jc w:val="left"/>
        <w:rPr>
          <w:rFonts w:asciiTheme="minorHAnsi" w:hAnsiTheme="minorHAnsi" w:cs="Calibri"/>
        </w:rPr>
      </w:pPr>
      <w:r w:rsidRPr="002B2A7F">
        <w:rPr>
          <w:rFonts w:asciiTheme="minorHAnsi" w:hAnsiTheme="minorHAnsi" w:cs="Calibri"/>
          <w:b/>
        </w:rPr>
        <w:t xml:space="preserve">Chapter </w:t>
      </w:r>
      <w:r w:rsidR="00A6478E">
        <w:rPr>
          <w:rFonts w:asciiTheme="minorHAnsi" w:hAnsiTheme="minorHAnsi" w:cs="Calibri"/>
          <w:b/>
        </w:rPr>
        <w:t>8</w:t>
      </w:r>
      <w:r w:rsidRPr="002B2A7F">
        <w:rPr>
          <w:rFonts w:asciiTheme="minorHAnsi" w:hAnsiTheme="minorHAnsi" w:cs="Calibri"/>
          <w:b/>
        </w:rPr>
        <w:t xml:space="preserve"> </w:t>
      </w:r>
      <w:r w:rsidRPr="002B2A7F">
        <w:rPr>
          <w:rFonts w:asciiTheme="minorHAnsi" w:hAnsiTheme="minorHAnsi" w:cs="Calibri"/>
        </w:rPr>
        <w:t>concludes the report with a summary of findings and a consideration of strategic issues.</w:t>
      </w:r>
    </w:p>
    <w:p w14:paraId="1A37EAD5" w14:textId="77777777" w:rsidR="001F27D2" w:rsidRPr="002B2A7F" w:rsidRDefault="001F27D2" w:rsidP="001F27D2">
      <w:pPr>
        <w:pStyle w:val="Reporttext"/>
      </w:pPr>
      <w:r w:rsidRPr="002B2A7F">
        <w:t>The report includes a substantial technical appendix, which provides detailed material that underpins the core outputs of the HNS. The technical appendix material includes:</w:t>
      </w:r>
    </w:p>
    <w:p w14:paraId="6E38BE73" w14:textId="7D6570A1" w:rsidR="001F27D2" w:rsidRPr="002B2A7F" w:rsidRDefault="00A6478E" w:rsidP="001F27D2">
      <w:pPr>
        <w:pStyle w:val="bullet"/>
        <w:spacing w:before="0"/>
        <w:jc w:val="left"/>
        <w:rPr>
          <w:rFonts w:asciiTheme="minorHAnsi" w:hAnsiTheme="minorHAnsi" w:cs="Calibri"/>
        </w:rPr>
      </w:pPr>
      <w:r>
        <w:rPr>
          <w:rFonts w:asciiTheme="minorHAnsi" w:hAnsiTheme="minorHAnsi" w:cs="Calibri"/>
        </w:rPr>
        <w:t>Research</w:t>
      </w:r>
      <w:r w:rsidR="001F27D2" w:rsidRPr="002B2A7F">
        <w:rPr>
          <w:rFonts w:asciiTheme="minorHAnsi" w:hAnsiTheme="minorHAnsi" w:cs="Calibri"/>
        </w:rPr>
        <w:t xml:space="preserve"> methodology (Appendix A);</w:t>
      </w:r>
    </w:p>
    <w:p w14:paraId="11EF3026" w14:textId="77777777" w:rsidR="001F27D2" w:rsidRPr="002B2A7F" w:rsidRDefault="001F27D2" w:rsidP="001F27D2">
      <w:pPr>
        <w:pStyle w:val="bullet"/>
        <w:spacing w:before="0"/>
        <w:jc w:val="left"/>
        <w:rPr>
          <w:rFonts w:asciiTheme="minorHAnsi" w:hAnsiTheme="minorHAnsi" w:cs="Calibri"/>
        </w:rPr>
      </w:pPr>
      <w:r w:rsidRPr="002B2A7F">
        <w:rPr>
          <w:rFonts w:asciiTheme="minorHAnsi" w:hAnsiTheme="minorHAnsi" w:cs="Calibri"/>
        </w:rPr>
        <w:t>Policy review (Appendix B);</w:t>
      </w:r>
    </w:p>
    <w:p w14:paraId="2016EAB6" w14:textId="3870565C" w:rsidR="001F27D2" w:rsidRDefault="001F27D2" w:rsidP="001F27D2">
      <w:pPr>
        <w:pStyle w:val="bullet"/>
        <w:spacing w:before="0"/>
        <w:jc w:val="left"/>
        <w:rPr>
          <w:rFonts w:asciiTheme="minorHAnsi" w:hAnsiTheme="minorHAnsi" w:cs="Calibri"/>
        </w:rPr>
      </w:pPr>
      <w:r w:rsidRPr="002B2A7F">
        <w:rPr>
          <w:rFonts w:asciiTheme="minorHAnsi" w:hAnsiTheme="minorHAnsi" w:cs="Calibri"/>
        </w:rPr>
        <w:t>Housing need calculations (Appendix C)</w:t>
      </w:r>
      <w:bookmarkStart w:id="149" w:name="_Toc225847840"/>
      <w:bookmarkStart w:id="150" w:name="_Toc225941497"/>
      <w:bookmarkStart w:id="151" w:name="_Toc225847841"/>
      <w:bookmarkStart w:id="152" w:name="_Toc225941498"/>
      <w:bookmarkStart w:id="153" w:name="_Toc225847851"/>
      <w:bookmarkStart w:id="154" w:name="_Toc225941508"/>
      <w:bookmarkEnd w:id="149"/>
      <w:bookmarkEnd w:id="150"/>
      <w:bookmarkEnd w:id="151"/>
      <w:bookmarkEnd w:id="152"/>
      <w:bookmarkEnd w:id="153"/>
      <w:bookmarkEnd w:id="154"/>
      <w:r w:rsidR="00CB4415">
        <w:rPr>
          <w:rFonts w:asciiTheme="minorHAnsi" w:hAnsiTheme="minorHAnsi" w:cs="Calibri"/>
        </w:rPr>
        <w:t>;</w:t>
      </w:r>
    </w:p>
    <w:p w14:paraId="2BBEC67A" w14:textId="2D5BB944" w:rsidR="00CB4415" w:rsidRPr="002B2A7F" w:rsidRDefault="00CB4415" w:rsidP="001F27D2">
      <w:pPr>
        <w:pStyle w:val="bullet"/>
        <w:spacing w:before="0"/>
        <w:jc w:val="left"/>
        <w:rPr>
          <w:rFonts w:asciiTheme="minorHAnsi" w:hAnsiTheme="minorHAnsi" w:cs="Calibri"/>
        </w:rPr>
      </w:pPr>
      <w:r>
        <w:rPr>
          <w:rFonts w:asciiTheme="minorHAnsi" w:hAnsiTheme="minorHAnsi" w:cs="Calibri"/>
        </w:rPr>
        <w:t>Stakeholder views (Appendix D).</w:t>
      </w:r>
    </w:p>
    <w:p w14:paraId="1E9A7723" w14:textId="77777777" w:rsidR="001F27D2" w:rsidRPr="002B2A7F" w:rsidRDefault="001F27D2" w:rsidP="001F27D2">
      <w:pPr>
        <w:pStyle w:val="bullet"/>
        <w:numPr>
          <w:ilvl w:val="0"/>
          <w:numId w:val="0"/>
        </w:numPr>
        <w:ind w:left="1069" w:hanging="360"/>
        <w:rPr>
          <w:rFonts w:asciiTheme="minorHAnsi" w:hAnsiTheme="minorHAnsi" w:cs="Calibri"/>
        </w:rPr>
      </w:pPr>
    </w:p>
    <w:p w14:paraId="26D94000" w14:textId="77777777" w:rsidR="001F27D2" w:rsidRPr="002B2A7F" w:rsidRDefault="001F27D2" w:rsidP="001F27D2">
      <w:pPr>
        <w:rPr>
          <w:rFonts w:asciiTheme="minorHAnsi" w:hAnsiTheme="minorHAnsi" w:cs="Calibri"/>
        </w:rPr>
      </w:pPr>
      <w:r w:rsidRPr="002B2A7F">
        <w:rPr>
          <w:rFonts w:asciiTheme="minorHAnsi" w:hAnsiTheme="minorHAnsi" w:cs="Calibri"/>
        </w:rPr>
        <w:br w:type="page"/>
      </w:r>
    </w:p>
    <w:p w14:paraId="77790202" w14:textId="77777777" w:rsidR="001F27D2" w:rsidRPr="002B2A7F" w:rsidRDefault="001F27D2" w:rsidP="001F27D2">
      <w:pPr>
        <w:pStyle w:val="Heading1"/>
        <w:spacing w:before="0"/>
        <w:jc w:val="left"/>
        <w:rPr>
          <w:rFonts w:asciiTheme="minorHAnsi" w:hAnsiTheme="minorHAnsi"/>
        </w:rPr>
      </w:pPr>
      <w:bookmarkStart w:id="155" w:name="_Toc177981221"/>
      <w:bookmarkStart w:id="156" w:name="_Toc179707418"/>
      <w:bookmarkStart w:id="157" w:name="_Toc179866243"/>
      <w:bookmarkStart w:id="158" w:name="_Toc179889247"/>
      <w:bookmarkStart w:id="159" w:name="_Toc179898441"/>
      <w:bookmarkStart w:id="160" w:name="_Toc180919692"/>
      <w:bookmarkStart w:id="161" w:name="_Toc180982870"/>
      <w:bookmarkStart w:id="162" w:name="_Toc184198248"/>
      <w:bookmarkStart w:id="163" w:name="_Toc211168718"/>
      <w:bookmarkStart w:id="164" w:name="_Toc212639306"/>
      <w:bookmarkStart w:id="165" w:name="_Toc214433409"/>
      <w:bookmarkStart w:id="166" w:name="_Toc326091197"/>
      <w:bookmarkStart w:id="167" w:name="_Toc397090856"/>
      <w:bookmarkStart w:id="168" w:name="_Toc428528463"/>
      <w:bookmarkStart w:id="169" w:name="_Toc430084556"/>
      <w:bookmarkStart w:id="170" w:name="_Toc430782010"/>
      <w:bookmarkStart w:id="171" w:name="_Toc399864327"/>
      <w:bookmarkStart w:id="172" w:name="_Toc395193538"/>
      <w:bookmarkStart w:id="173" w:name="_Toc524935565"/>
      <w:bookmarkStart w:id="174" w:name="_Toc531122857"/>
      <w:bookmarkStart w:id="175" w:name="_Toc532812389"/>
      <w:bookmarkStart w:id="176" w:name="_Toc122427224"/>
      <w:bookmarkStart w:id="177" w:name="_Toc171741150"/>
      <w:bookmarkStart w:id="178" w:name="_Toc171741220"/>
      <w:bookmarkEnd w:id="126"/>
      <w:bookmarkEnd w:id="138"/>
      <w:r w:rsidRPr="002B2A7F">
        <w:rPr>
          <w:rFonts w:asciiTheme="minorHAnsi" w:hAnsiTheme="minorHAnsi"/>
        </w:rPr>
        <w:lastRenderedPageBreak/>
        <w:t>Policy and strategic revie</w:t>
      </w:r>
      <w:bookmarkStart w:id="179" w:name="_Toc22594152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r w:rsidRPr="002B2A7F">
        <w:rPr>
          <w:rFonts w:asciiTheme="minorHAnsi" w:hAnsiTheme="minorHAnsi"/>
        </w:rPr>
        <w:t>w</w:t>
      </w:r>
      <w:bookmarkStart w:id="180" w:name="_Toc328213032"/>
      <w:bookmarkEnd w:id="172"/>
      <w:bookmarkEnd w:id="173"/>
      <w:bookmarkEnd w:id="174"/>
      <w:bookmarkEnd w:id="175"/>
    </w:p>
    <w:bookmarkEnd w:id="180"/>
    <w:p w14:paraId="784F07E6" w14:textId="77777777" w:rsidR="001F27D2" w:rsidRPr="002B2A7F" w:rsidRDefault="001F27D2" w:rsidP="001F27D2">
      <w:pPr>
        <w:pStyle w:val="Reporttext"/>
      </w:pPr>
      <w:r w:rsidRPr="002B2A7F">
        <w:t>The purpose of this chapter is to set out the policy and strategic context for housing delivery in Eden District.</w:t>
      </w:r>
    </w:p>
    <w:p w14:paraId="0AEF0875" w14:textId="77777777" w:rsidR="001F27D2" w:rsidRPr="002B2A7F" w:rsidRDefault="001F27D2" w:rsidP="001F27D2">
      <w:pPr>
        <w:rPr>
          <w:rFonts w:asciiTheme="minorHAnsi" w:hAnsiTheme="minorHAnsi"/>
        </w:rPr>
      </w:pPr>
    </w:p>
    <w:p w14:paraId="0F241466" w14:textId="77777777" w:rsidR="001F27D2" w:rsidRPr="002B2A7F" w:rsidRDefault="001F27D2" w:rsidP="001F27D2">
      <w:pPr>
        <w:pStyle w:val="Heading2"/>
        <w:rPr>
          <w:rFonts w:asciiTheme="minorHAnsi" w:hAnsiTheme="minorHAnsi" w:cs="Calibri"/>
        </w:rPr>
      </w:pPr>
      <w:bookmarkStart w:id="181" w:name="_Toc395193539"/>
      <w:bookmarkStart w:id="182" w:name="_Toc524935566"/>
      <w:bookmarkStart w:id="183" w:name="_Toc531122858"/>
      <w:bookmarkStart w:id="184" w:name="_Toc532812390"/>
      <w:r w:rsidRPr="002B2A7F">
        <w:rPr>
          <w:rFonts w:asciiTheme="minorHAnsi" w:hAnsiTheme="minorHAnsi" w:cs="Calibri"/>
        </w:rPr>
        <w:t>National context</w:t>
      </w:r>
      <w:bookmarkEnd w:id="181"/>
      <w:bookmarkEnd w:id="182"/>
      <w:bookmarkEnd w:id="183"/>
      <w:bookmarkEnd w:id="184"/>
    </w:p>
    <w:p w14:paraId="762F40C1" w14:textId="77777777" w:rsidR="001F27D2" w:rsidRPr="002B2A7F" w:rsidRDefault="001F27D2" w:rsidP="001F27D2">
      <w:pPr>
        <w:pStyle w:val="Reporttext"/>
      </w:pPr>
      <w:r w:rsidRPr="002B2A7F">
        <w:t>Under the Conservative and Liberal Democrat Coalition Government, the period 2010-2015 saw a radical and sustained programme of reform of welfare, housing and planning policy. This was set within the context of national austerity and an economic policy of deficit reduction and public spending cuts following a period of recession and financial turbulence. The reforms championed localism, decentralisation and economic growth.</w:t>
      </w:r>
    </w:p>
    <w:p w14:paraId="0DD412B2" w14:textId="77777777" w:rsidR="001F27D2" w:rsidRPr="002B2A7F" w:rsidRDefault="001F27D2" w:rsidP="001F27D2">
      <w:pPr>
        <w:pStyle w:val="Reporttext"/>
      </w:pPr>
      <w:r w:rsidRPr="002B2A7F">
        <w:t xml:space="preserve">This agenda continued to be pursued under the leadership of David Cameron following the election of a majority Conservative Government in May 2015. Further welfare reforms were accompanied by policies seeking to increase the rate of housebuilding and promoting home ownership as the tenure of choice. The Housing and Planning Act 2016 was intended to provide the legislative basis for a number of Conservative Manifesto commitments, including the flagship Starter Homes scheme. The Act also made provisions for other aspects of housing policy such as Pay to Stay, Right to Buy, high value sales and ending lifetime tenancies. </w:t>
      </w:r>
    </w:p>
    <w:p w14:paraId="1BDDDD68" w14:textId="77777777" w:rsidR="001F27D2" w:rsidRPr="002B2A7F" w:rsidRDefault="001F27D2" w:rsidP="001F27D2">
      <w:pPr>
        <w:pStyle w:val="Reporttext"/>
      </w:pPr>
      <w:r w:rsidRPr="002B2A7F">
        <w:t>The European Union Referendum of June 2016 resulted in significant changes in the political climate at a number of levels. Changes in Government leadership – with the appointment of Theresa May as Prime Minister – quickly led to discussions regarding the direction of housing and planning policy. Alongside significant delays (and in some cases abandonment) in the implementation of secondary legislation relating to aspects of the Housing and Planning Act 2016; conference speeches, ministerial statements and the Housing White Paper (February 2017) indicated a change in attitude towards housing policy. The 2016-17 Administration signalled a broader ‘multi-tenure’ housing strategy, including support for a range of tenures in addition to home ownership. The Neighbourhood Planning Act 2017 was passed with the intention of strengthening neighbourhood planning by ensuring that decision-makers take account of well-advanced neighbourhood development plans and giving these plans full legal weight at an earlier stage.</w:t>
      </w:r>
    </w:p>
    <w:p w14:paraId="29838EBD" w14:textId="77777777" w:rsidR="001F27D2" w:rsidRPr="002B2A7F" w:rsidRDefault="001F27D2" w:rsidP="001F27D2">
      <w:pPr>
        <w:pStyle w:val="Reporttext"/>
      </w:pPr>
      <w:r w:rsidRPr="002B2A7F">
        <w:t>The snap General Election of June 2017 created a new wave of political change and uncertainty, although the overall Government leadership remains under Conservative control and ministers are keen to keep housing as a key domestic policy priority.</w:t>
      </w:r>
    </w:p>
    <w:p w14:paraId="3707A5BA" w14:textId="77777777" w:rsidR="001F27D2" w:rsidRPr="002B2A7F" w:rsidRDefault="001F27D2" w:rsidP="001F27D2">
      <w:pPr>
        <w:pStyle w:val="Reporttext"/>
        <w:numPr>
          <w:ilvl w:val="0"/>
          <w:numId w:val="0"/>
        </w:numPr>
        <w:ind w:left="709"/>
      </w:pPr>
    </w:p>
    <w:p w14:paraId="3B6DABD5" w14:textId="77777777" w:rsidR="001F27D2" w:rsidRPr="002B2A7F" w:rsidRDefault="001F27D2" w:rsidP="001F27D2">
      <w:pPr>
        <w:pStyle w:val="Heading2"/>
        <w:rPr>
          <w:rFonts w:asciiTheme="minorHAnsi" w:hAnsiTheme="minorHAnsi" w:cs="Calibri"/>
        </w:rPr>
      </w:pPr>
      <w:bookmarkStart w:id="185" w:name="_Toc395193540"/>
      <w:bookmarkStart w:id="186" w:name="_Toc524935567"/>
      <w:bookmarkStart w:id="187" w:name="_Toc531122859"/>
      <w:bookmarkStart w:id="188" w:name="_Toc532812391"/>
      <w:r w:rsidRPr="002B2A7F">
        <w:rPr>
          <w:rFonts w:asciiTheme="minorHAnsi" w:hAnsiTheme="minorHAnsi" w:cs="Calibri"/>
        </w:rPr>
        <w:t>Strategic context</w:t>
      </w:r>
      <w:bookmarkEnd w:id="185"/>
      <w:bookmarkEnd w:id="186"/>
      <w:bookmarkEnd w:id="187"/>
      <w:bookmarkEnd w:id="188"/>
    </w:p>
    <w:p w14:paraId="7965ED5B" w14:textId="77777777" w:rsidR="001F27D2" w:rsidRPr="002B2A7F" w:rsidRDefault="001F27D2" w:rsidP="001F27D2">
      <w:pPr>
        <w:pStyle w:val="Reporttext"/>
      </w:pPr>
      <w:bookmarkStart w:id="189" w:name="_Toc211168726"/>
      <w:bookmarkStart w:id="190" w:name="_Toc212639310"/>
      <w:bookmarkStart w:id="191" w:name="_Toc225941523"/>
      <w:bookmarkStart w:id="192" w:name="_Toc328213036"/>
      <w:r w:rsidRPr="002B2A7F">
        <w:t xml:space="preserve">The local authority district of Eden lies within Cumbria, in North West England. </w:t>
      </w:r>
    </w:p>
    <w:p w14:paraId="564FBA3D" w14:textId="10E3B6C1" w:rsidR="001F27D2" w:rsidRPr="002B2A7F" w:rsidRDefault="001F27D2" w:rsidP="001F27D2">
      <w:pPr>
        <w:pStyle w:val="Reporttext"/>
      </w:pPr>
      <w:r w:rsidRPr="002B2A7F">
        <w:t>Eden District sits within the Cumbria Local Enterprise Partnership (LEP) area</w:t>
      </w:r>
      <w:r w:rsidRPr="002B2A7F">
        <w:rPr>
          <w:rStyle w:val="FootnoteReference"/>
        </w:rPr>
        <w:footnoteReference w:id="8"/>
      </w:r>
      <w:r w:rsidRPr="002B2A7F">
        <w:t xml:space="preserve">. The LEP is a business-led partnership between local authorities and the private sector. It provides a strategic lead on activities contributing to the county’s economic growth, determining </w:t>
      </w:r>
      <w:r w:rsidRPr="002B2A7F">
        <w:lastRenderedPageBreak/>
        <w:t xml:space="preserve">local economic priorities and bidding to </w:t>
      </w:r>
      <w:r w:rsidR="007C4ACF">
        <w:t>G</w:t>
      </w:r>
      <w:r w:rsidRPr="002B2A7F">
        <w:t xml:space="preserve">overnment for funding for projects that meet the strategic priorities and accelerate economic growth in the area. </w:t>
      </w:r>
    </w:p>
    <w:p w14:paraId="4BA88B81" w14:textId="77777777" w:rsidR="001F27D2" w:rsidRPr="002B2A7F" w:rsidRDefault="001F27D2" w:rsidP="001F27D2">
      <w:pPr>
        <w:pStyle w:val="Reporttext"/>
      </w:pPr>
      <w:r w:rsidRPr="002B2A7F">
        <w:t xml:space="preserve">The Cumbria Strategic Economic Plan 2014-2024, </w:t>
      </w:r>
      <w:r w:rsidRPr="002B2A7F">
        <w:rPr>
          <w:i/>
        </w:rPr>
        <w:t>‘The Four Pronged Attack’</w:t>
      </w:r>
      <w:r w:rsidRPr="002B2A7F">
        <w:t>, sets out four strategic priorities, with intervention through four economic drivers: a ‘four by four’ approach to deliver the maximum benefit for Cumbria</w:t>
      </w:r>
      <w:r w:rsidRPr="002B2A7F">
        <w:rPr>
          <w:rStyle w:val="FootnoteReference"/>
        </w:rPr>
        <w:footnoteReference w:id="9"/>
      </w:r>
      <w:r w:rsidRPr="002B2A7F">
        <w:t>. The four priority themes are:</w:t>
      </w:r>
    </w:p>
    <w:p w14:paraId="1BFCA96F" w14:textId="77777777" w:rsidR="001F27D2" w:rsidRPr="002B2A7F" w:rsidRDefault="001F27D2" w:rsidP="001F27D2">
      <w:pPr>
        <w:pStyle w:val="bullet"/>
        <w:spacing w:before="0"/>
        <w:jc w:val="left"/>
        <w:rPr>
          <w:rFonts w:asciiTheme="minorHAnsi" w:hAnsiTheme="minorHAnsi"/>
        </w:rPr>
      </w:pPr>
      <w:r w:rsidRPr="002B2A7F">
        <w:rPr>
          <w:rFonts w:asciiTheme="minorHAnsi" w:hAnsiTheme="minorHAnsi"/>
        </w:rPr>
        <w:t>Advanced manufacturing growth,</w:t>
      </w:r>
    </w:p>
    <w:p w14:paraId="46FCCB6F" w14:textId="77777777" w:rsidR="001F27D2" w:rsidRPr="002B2A7F" w:rsidRDefault="001F27D2" w:rsidP="001F27D2">
      <w:pPr>
        <w:pStyle w:val="bullet"/>
        <w:spacing w:before="0"/>
        <w:jc w:val="left"/>
        <w:rPr>
          <w:rFonts w:asciiTheme="minorHAnsi" w:hAnsiTheme="minorHAnsi"/>
        </w:rPr>
      </w:pPr>
      <w:r w:rsidRPr="002B2A7F">
        <w:rPr>
          <w:rFonts w:asciiTheme="minorHAnsi" w:hAnsiTheme="minorHAnsi"/>
        </w:rPr>
        <w:t>Nuclear and energy excellence,</w:t>
      </w:r>
    </w:p>
    <w:p w14:paraId="6B153F6F" w14:textId="77777777" w:rsidR="001F27D2" w:rsidRPr="002B2A7F" w:rsidRDefault="001F27D2" w:rsidP="001F27D2">
      <w:pPr>
        <w:pStyle w:val="bullet"/>
        <w:spacing w:before="0"/>
        <w:jc w:val="left"/>
        <w:rPr>
          <w:rFonts w:asciiTheme="minorHAnsi" w:hAnsiTheme="minorHAnsi"/>
        </w:rPr>
      </w:pPr>
      <w:r w:rsidRPr="002B2A7F">
        <w:rPr>
          <w:rFonts w:asciiTheme="minorHAnsi" w:hAnsiTheme="minorHAnsi"/>
        </w:rPr>
        <w:t>Vibrant rural and visitor economy, and</w:t>
      </w:r>
    </w:p>
    <w:p w14:paraId="292F648F" w14:textId="77777777" w:rsidR="001F27D2" w:rsidRPr="002B2A7F" w:rsidRDefault="001F27D2" w:rsidP="001F27D2">
      <w:pPr>
        <w:pStyle w:val="bullet"/>
        <w:spacing w:before="0"/>
        <w:jc w:val="left"/>
        <w:rPr>
          <w:rFonts w:asciiTheme="minorHAnsi" w:hAnsiTheme="minorHAnsi"/>
        </w:rPr>
      </w:pPr>
      <w:r w:rsidRPr="002B2A7F">
        <w:rPr>
          <w:rFonts w:asciiTheme="minorHAnsi" w:hAnsiTheme="minorHAnsi"/>
        </w:rPr>
        <w:t>Strategic connectivity of the M6 Corridor.</w:t>
      </w:r>
    </w:p>
    <w:p w14:paraId="1A3196B2" w14:textId="0AE6C3BD" w:rsidR="001F27D2" w:rsidRPr="002B2A7F" w:rsidRDefault="001F27D2" w:rsidP="001F27D2">
      <w:pPr>
        <w:pStyle w:val="Reporttext"/>
      </w:pPr>
      <w:r w:rsidRPr="002B2A7F">
        <w:t>The Strategic Plan sets out that intervention will be focused on four economic drivers:</w:t>
      </w:r>
    </w:p>
    <w:p w14:paraId="7B6EEED8" w14:textId="77777777" w:rsidR="001F27D2" w:rsidRPr="002B2A7F" w:rsidRDefault="001F27D2" w:rsidP="001F27D2">
      <w:pPr>
        <w:pStyle w:val="bullet"/>
        <w:spacing w:before="0"/>
        <w:jc w:val="left"/>
        <w:rPr>
          <w:rFonts w:asciiTheme="minorHAnsi" w:hAnsiTheme="minorHAnsi"/>
        </w:rPr>
      </w:pPr>
      <w:r w:rsidRPr="002B2A7F">
        <w:rPr>
          <w:rFonts w:asciiTheme="minorHAnsi" w:hAnsiTheme="minorHAnsi"/>
        </w:rPr>
        <w:t>Business support,</w:t>
      </w:r>
    </w:p>
    <w:p w14:paraId="69CDDFE8" w14:textId="77777777" w:rsidR="001F27D2" w:rsidRPr="002B2A7F" w:rsidRDefault="001F27D2" w:rsidP="001F27D2">
      <w:pPr>
        <w:pStyle w:val="bullet"/>
        <w:spacing w:before="0"/>
        <w:jc w:val="left"/>
        <w:rPr>
          <w:rFonts w:asciiTheme="minorHAnsi" w:hAnsiTheme="minorHAnsi"/>
        </w:rPr>
      </w:pPr>
      <w:r w:rsidRPr="002B2A7F">
        <w:rPr>
          <w:rFonts w:asciiTheme="minorHAnsi" w:hAnsiTheme="minorHAnsi"/>
        </w:rPr>
        <w:t>Skills development,</w:t>
      </w:r>
    </w:p>
    <w:p w14:paraId="1A13C8D6" w14:textId="77777777" w:rsidR="001F27D2" w:rsidRPr="002B2A7F" w:rsidRDefault="001F27D2" w:rsidP="001F27D2">
      <w:pPr>
        <w:pStyle w:val="bullet"/>
        <w:spacing w:before="0"/>
        <w:jc w:val="left"/>
        <w:rPr>
          <w:rFonts w:asciiTheme="minorHAnsi" w:hAnsiTheme="minorHAnsi"/>
        </w:rPr>
      </w:pPr>
      <w:r w:rsidRPr="002B2A7F">
        <w:rPr>
          <w:rFonts w:asciiTheme="minorHAnsi" w:hAnsiTheme="minorHAnsi"/>
        </w:rPr>
        <w:t>Infrastructure improvements, and</w:t>
      </w:r>
    </w:p>
    <w:p w14:paraId="040C6F65" w14:textId="77777777" w:rsidR="001F27D2" w:rsidRPr="002B2A7F" w:rsidRDefault="001F27D2" w:rsidP="001F27D2">
      <w:pPr>
        <w:pStyle w:val="bullet"/>
        <w:spacing w:before="0"/>
        <w:jc w:val="left"/>
        <w:rPr>
          <w:rFonts w:asciiTheme="minorHAnsi" w:hAnsiTheme="minorHAnsi"/>
        </w:rPr>
      </w:pPr>
      <w:r w:rsidRPr="002B2A7F">
        <w:rPr>
          <w:rFonts w:asciiTheme="minorHAnsi" w:hAnsiTheme="minorHAnsi"/>
        </w:rPr>
        <w:t>Environmental sustainability.</w:t>
      </w:r>
    </w:p>
    <w:p w14:paraId="6C1A2B43" w14:textId="782ECE77" w:rsidR="001F27D2" w:rsidRPr="002B2A7F" w:rsidRDefault="001F27D2" w:rsidP="001F27D2">
      <w:pPr>
        <w:pStyle w:val="Reporttext"/>
      </w:pPr>
      <w:r w:rsidRPr="002B2A7F">
        <w:t xml:space="preserve">The Cumbrian LEP is overseeing the delivery of 17 local Growth Deal programmes, with £60.3m of </w:t>
      </w:r>
      <w:r w:rsidR="007C4ACF">
        <w:t>G</w:t>
      </w:r>
      <w:r w:rsidRPr="002B2A7F">
        <w:t>overnment funding being invested in the county up to 2021.</w:t>
      </w:r>
    </w:p>
    <w:p w14:paraId="42FAA4AC" w14:textId="77777777" w:rsidR="001F27D2" w:rsidRPr="002B2A7F" w:rsidRDefault="001F27D2" w:rsidP="001F27D2">
      <w:pPr>
        <w:pStyle w:val="Reporttext"/>
        <w:numPr>
          <w:ilvl w:val="0"/>
          <w:numId w:val="0"/>
        </w:numPr>
      </w:pPr>
    </w:p>
    <w:p w14:paraId="248C33BA" w14:textId="77777777" w:rsidR="001F27D2" w:rsidRPr="002B2A7F" w:rsidRDefault="001F27D2" w:rsidP="001F27D2">
      <w:pPr>
        <w:pStyle w:val="Heading2"/>
        <w:rPr>
          <w:rFonts w:asciiTheme="minorHAnsi" w:hAnsiTheme="minorHAnsi" w:cs="Calibri"/>
        </w:rPr>
      </w:pPr>
      <w:bookmarkStart w:id="193" w:name="_Toc395193541"/>
      <w:bookmarkStart w:id="194" w:name="_Toc524935568"/>
      <w:bookmarkStart w:id="195" w:name="_Toc531122860"/>
      <w:bookmarkStart w:id="196" w:name="_Toc532812392"/>
      <w:r w:rsidRPr="002B2A7F">
        <w:rPr>
          <w:rFonts w:asciiTheme="minorHAnsi" w:hAnsiTheme="minorHAnsi" w:cs="Calibri"/>
        </w:rPr>
        <w:t>Local policy context</w:t>
      </w:r>
      <w:bookmarkEnd w:id="193"/>
      <w:bookmarkEnd w:id="194"/>
      <w:bookmarkEnd w:id="195"/>
      <w:bookmarkEnd w:id="196"/>
    </w:p>
    <w:p w14:paraId="31A926DC" w14:textId="77777777" w:rsidR="001F27D2" w:rsidRPr="002B2A7F" w:rsidRDefault="001F27D2" w:rsidP="001F27D2">
      <w:pPr>
        <w:pStyle w:val="Reporttext"/>
      </w:pPr>
      <w:r w:rsidRPr="002B2A7F">
        <w:t>At the county level, the Cumbria Housing Strategy and Investment Plan 2011-2015 was produced in partnership by the Cumbria Housing Executive Group, including representatives from the six district councils, the Lake District National Park, Cumbria County Council and others. The Housing Strategy sets out county-wide housing priorities. More recently, Cumbria County Council has prepared an Extra Care Housing and Supported Living Strategy 2016-2025, setting out a strong commitment to developing more of this form of accommodation in all of the districts in Cumbria.</w:t>
      </w:r>
    </w:p>
    <w:p w14:paraId="414499EB" w14:textId="77777777" w:rsidR="001F27D2" w:rsidRPr="002B2A7F" w:rsidRDefault="001F27D2" w:rsidP="001F27D2">
      <w:pPr>
        <w:pStyle w:val="Reporttext"/>
      </w:pPr>
      <w:r w:rsidRPr="002B2A7F">
        <w:t>The Eden District Council Plan 2015-2019</w:t>
      </w:r>
      <w:r w:rsidRPr="002B2A7F">
        <w:rPr>
          <w:rStyle w:val="FootnoteReference"/>
        </w:rPr>
        <w:footnoteReference w:id="10"/>
      </w:r>
      <w:r w:rsidRPr="002B2A7F">
        <w:t xml:space="preserve"> directs the work of the local authority and is used in decision-making and budget-setting over the period May 2015 to April 2019. The Plan contains the Council’s broad overarching (strategic) priorities and actions. The four priorities set out in the Plan are as follows:</w:t>
      </w:r>
    </w:p>
    <w:p w14:paraId="7FD19798" w14:textId="77777777" w:rsidR="001F27D2" w:rsidRPr="002B2A7F" w:rsidRDefault="001F27D2" w:rsidP="001F27D2">
      <w:pPr>
        <w:pStyle w:val="bullet"/>
        <w:spacing w:before="0"/>
        <w:jc w:val="left"/>
        <w:rPr>
          <w:rFonts w:asciiTheme="minorHAnsi" w:hAnsiTheme="minorHAnsi"/>
        </w:rPr>
      </w:pPr>
      <w:r w:rsidRPr="002B2A7F">
        <w:rPr>
          <w:rFonts w:asciiTheme="minorHAnsi" w:hAnsiTheme="minorHAnsi"/>
        </w:rPr>
        <w:t>Decent Homes for All,</w:t>
      </w:r>
    </w:p>
    <w:p w14:paraId="26B1B082" w14:textId="77777777" w:rsidR="001F27D2" w:rsidRPr="002B2A7F" w:rsidRDefault="001F27D2" w:rsidP="001F27D2">
      <w:pPr>
        <w:pStyle w:val="bullet"/>
        <w:spacing w:before="0"/>
        <w:jc w:val="left"/>
        <w:rPr>
          <w:rFonts w:asciiTheme="minorHAnsi" w:hAnsiTheme="minorHAnsi"/>
        </w:rPr>
      </w:pPr>
      <w:r w:rsidRPr="002B2A7F">
        <w:rPr>
          <w:rFonts w:asciiTheme="minorHAnsi" w:hAnsiTheme="minorHAnsi"/>
        </w:rPr>
        <w:t xml:space="preserve">Strong Economy, Rich Environment, </w:t>
      </w:r>
    </w:p>
    <w:p w14:paraId="09CD42AC" w14:textId="77777777" w:rsidR="001F27D2" w:rsidRPr="002B2A7F" w:rsidRDefault="001F27D2" w:rsidP="001F27D2">
      <w:pPr>
        <w:pStyle w:val="bullet"/>
        <w:spacing w:before="0"/>
        <w:jc w:val="left"/>
        <w:rPr>
          <w:rFonts w:asciiTheme="minorHAnsi" w:hAnsiTheme="minorHAnsi"/>
        </w:rPr>
      </w:pPr>
      <w:r w:rsidRPr="002B2A7F">
        <w:rPr>
          <w:rFonts w:asciiTheme="minorHAnsi" w:hAnsiTheme="minorHAnsi"/>
        </w:rPr>
        <w:t>Thriving Communities and</w:t>
      </w:r>
    </w:p>
    <w:p w14:paraId="228372FD" w14:textId="77777777" w:rsidR="001F27D2" w:rsidRPr="002B2A7F" w:rsidRDefault="001F27D2" w:rsidP="001F27D2">
      <w:pPr>
        <w:pStyle w:val="bullet"/>
        <w:spacing w:before="0"/>
        <w:jc w:val="left"/>
        <w:rPr>
          <w:rFonts w:asciiTheme="minorHAnsi" w:hAnsiTheme="minorHAnsi"/>
        </w:rPr>
      </w:pPr>
      <w:r w:rsidRPr="002B2A7F">
        <w:rPr>
          <w:rFonts w:asciiTheme="minorHAnsi" w:hAnsiTheme="minorHAnsi"/>
        </w:rPr>
        <w:t>Quality Council.</w:t>
      </w:r>
    </w:p>
    <w:p w14:paraId="27DF17B9" w14:textId="77777777" w:rsidR="001F27D2" w:rsidRPr="002B2A7F" w:rsidRDefault="001F27D2" w:rsidP="001F27D2">
      <w:pPr>
        <w:pStyle w:val="Reporttext"/>
        <w:numPr>
          <w:ilvl w:val="0"/>
          <w:numId w:val="0"/>
        </w:numPr>
        <w:ind w:left="709"/>
      </w:pPr>
    </w:p>
    <w:p w14:paraId="349DD672" w14:textId="77777777" w:rsidR="001F27D2" w:rsidRPr="002B2A7F" w:rsidRDefault="001F27D2" w:rsidP="001F27D2">
      <w:pPr>
        <w:pStyle w:val="Heading2"/>
        <w:rPr>
          <w:rFonts w:asciiTheme="minorHAnsi" w:hAnsiTheme="minorHAnsi"/>
        </w:rPr>
      </w:pPr>
      <w:bookmarkStart w:id="197" w:name="_Toc524935569"/>
      <w:bookmarkStart w:id="198" w:name="_Toc531122861"/>
      <w:bookmarkStart w:id="199" w:name="_Toc532812393"/>
      <w:r w:rsidRPr="002B2A7F">
        <w:rPr>
          <w:rFonts w:asciiTheme="minorHAnsi" w:hAnsiTheme="minorHAnsi"/>
        </w:rPr>
        <w:lastRenderedPageBreak/>
        <w:t>Planning policy context</w:t>
      </w:r>
      <w:bookmarkEnd w:id="197"/>
      <w:bookmarkEnd w:id="198"/>
      <w:bookmarkEnd w:id="199"/>
    </w:p>
    <w:p w14:paraId="26389CC5" w14:textId="77777777" w:rsidR="001F27D2" w:rsidRPr="002B2A7F" w:rsidRDefault="001F27D2" w:rsidP="001F27D2">
      <w:pPr>
        <w:pStyle w:val="Reporttext"/>
      </w:pPr>
      <w:r w:rsidRPr="002B2A7F">
        <w:t>The Core Strategy Development Plan Document (DPD) was adopted in March 2010 and sets out the vision, aims and strategy for spatial development in Eden District up to 2025.</w:t>
      </w:r>
    </w:p>
    <w:p w14:paraId="64E304BC" w14:textId="62844574" w:rsidR="001F27D2" w:rsidRPr="002B2A7F" w:rsidRDefault="001F27D2" w:rsidP="001F27D2">
      <w:pPr>
        <w:pStyle w:val="Reporttext"/>
      </w:pPr>
      <w:r w:rsidRPr="002B2A7F">
        <w:t xml:space="preserve">A new Eden Local Plan has been prepared by the Council, setting out planning policies for the period 2014 to 2032. Preferred </w:t>
      </w:r>
      <w:r w:rsidR="007C4ACF">
        <w:t>o</w:t>
      </w:r>
      <w:r w:rsidRPr="002B2A7F">
        <w:t xml:space="preserve">ptions were consulted upon in </w:t>
      </w:r>
      <w:r w:rsidR="007C4ACF">
        <w:t>s</w:t>
      </w:r>
      <w:r w:rsidRPr="002B2A7F">
        <w:t xml:space="preserve">ummer 2014 and the Submission Draft went to Government in December 2015. Examination was undertaken in 2016 and a number of </w:t>
      </w:r>
      <w:r w:rsidR="007C4ACF">
        <w:t>m</w:t>
      </w:r>
      <w:r w:rsidRPr="002B2A7F">
        <w:t xml:space="preserve">odifications were made and consulted upon. Adoption of the final Local Plan took place on 11 October 2018. </w:t>
      </w:r>
    </w:p>
    <w:p w14:paraId="743991F6" w14:textId="5985F043" w:rsidR="001F27D2" w:rsidRPr="002B2A7F" w:rsidRDefault="001F27D2" w:rsidP="001F27D2">
      <w:pPr>
        <w:pStyle w:val="Reporttext"/>
      </w:pPr>
      <w:r w:rsidRPr="002B2A7F">
        <w:t xml:space="preserve">Of particular relevance to this HNS, Policy LS1, </w:t>
      </w:r>
      <w:r w:rsidRPr="002B2A7F">
        <w:rPr>
          <w:i/>
        </w:rPr>
        <w:t>Locational Strategy</w:t>
      </w:r>
      <w:r w:rsidRPr="002B2A7F">
        <w:t xml:space="preserve">, sets out the settlement hierarchy, showing the areas that the Council expects to be the focus for residential, employment and commercial provision. In addition, Policy LS2, </w:t>
      </w:r>
      <w:r w:rsidRPr="002B2A7F">
        <w:rPr>
          <w:i/>
        </w:rPr>
        <w:t>Housing Targets and Distribution</w:t>
      </w:r>
      <w:r w:rsidRPr="002B2A7F">
        <w:t xml:space="preserve">, states that a minimum of 242 homes per year (a total of 4,356) will be built in Eden District over the 18 years between 2014/15 and 2031/32. The Policy sets out targets and proportions for the different settlement categories (as identified in Policy LS1). It also provides information on housing completions up to October 2017. </w:t>
      </w:r>
      <w:r w:rsidR="007D2E66">
        <w:t xml:space="preserve">It is worth noting that Eden District Council have a pending Supplementary Planning Document (SPD) due to be developed mid-2019. </w:t>
      </w:r>
    </w:p>
    <w:p w14:paraId="5FA17942" w14:textId="77777777" w:rsidR="001F27D2" w:rsidRPr="002B2A7F" w:rsidRDefault="001F27D2" w:rsidP="001F27D2">
      <w:pPr>
        <w:pStyle w:val="Reporttext"/>
        <w:numPr>
          <w:ilvl w:val="0"/>
          <w:numId w:val="0"/>
        </w:numPr>
      </w:pPr>
    </w:p>
    <w:p w14:paraId="50B5D296" w14:textId="77777777" w:rsidR="001F27D2" w:rsidRPr="002B2A7F" w:rsidRDefault="001F27D2" w:rsidP="001F27D2">
      <w:pPr>
        <w:pStyle w:val="Heading2"/>
        <w:rPr>
          <w:rFonts w:asciiTheme="minorHAnsi" w:hAnsiTheme="minorHAnsi" w:cs="Calibri"/>
        </w:rPr>
      </w:pPr>
      <w:bookmarkStart w:id="200" w:name="_Toc395193543"/>
      <w:bookmarkStart w:id="201" w:name="_Toc524935570"/>
      <w:bookmarkStart w:id="202" w:name="_Toc531122862"/>
      <w:bookmarkStart w:id="203" w:name="_Toc532812394"/>
      <w:r w:rsidRPr="002B2A7F">
        <w:rPr>
          <w:rFonts w:asciiTheme="minorHAnsi" w:hAnsiTheme="minorHAnsi" w:cs="Calibri"/>
        </w:rPr>
        <w:t>Concluding comments</w:t>
      </w:r>
      <w:bookmarkEnd w:id="189"/>
      <w:bookmarkEnd w:id="190"/>
      <w:bookmarkEnd w:id="191"/>
      <w:bookmarkEnd w:id="192"/>
      <w:bookmarkEnd w:id="200"/>
      <w:bookmarkEnd w:id="201"/>
      <w:bookmarkEnd w:id="202"/>
      <w:bookmarkEnd w:id="203"/>
    </w:p>
    <w:p w14:paraId="6A5C96C3" w14:textId="77777777" w:rsidR="001F27D2" w:rsidRPr="002B2A7F" w:rsidRDefault="001F27D2" w:rsidP="001F27D2">
      <w:pPr>
        <w:pStyle w:val="Reporttext"/>
      </w:pPr>
      <w:r w:rsidRPr="002B2A7F">
        <w:t>The main purpose of this chapter has been to consider the general policy and strategic context within which this research needs to be positioned. The Government has established its housing and planning priorities within the context of local decision-making and accountability, reduced capital expenditure on housing, fundamental changes to welfare, a changing role for social rented housing, and a need for future housing investment to support economic growth.</w:t>
      </w:r>
    </w:p>
    <w:p w14:paraId="7D10A19C" w14:textId="67BCBADD" w:rsidR="001F27D2" w:rsidRPr="002B2A7F" w:rsidRDefault="001F27D2" w:rsidP="001F27D2">
      <w:pPr>
        <w:pStyle w:val="Reporttext"/>
      </w:pPr>
      <w:r w:rsidRPr="002B2A7F">
        <w:t xml:space="preserve">The importance of having robust and up-to-date information to help inform decision making at local authority level is evermore essential. In a challenging economic climate and taking into account updated </w:t>
      </w:r>
      <w:r w:rsidR="007C4ACF">
        <w:t>N</w:t>
      </w:r>
      <w:r w:rsidRPr="002B2A7F">
        <w:t xml:space="preserve">ational </w:t>
      </w:r>
      <w:r w:rsidR="007C4ACF">
        <w:t>P</w:t>
      </w:r>
      <w:r w:rsidRPr="002B2A7F">
        <w:t xml:space="preserve">lanning </w:t>
      </w:r>
      <w:r w:rsidR="007C4ACF">
        <w:t>P</w:t>
      </w:r>
      <w:r w:rsidRPr="002B2A7F">
        <w:t>olicy, the HNS 2018 will provide the Council with an excellent range of material to inform the new Local Plan and shape local and sub-regional strategic housing priorities.</w:t>
      </w:r>
    </w:p>
    <w:p w14:paraId="0214D7A9" w14:textId="77777777" w:rsidR="001F27D2" w:rsidRPr="002B2A7F" w:rsidRDefault="001F27D2" w:rsidP="001F27D2">
      <w:pPr>
        <w:rPr>
          <w:rFonts w:asciiTheme="minorHAnsi" w:hAnsiTheme="minorHAnsi"/>
        </w:rPr>
      </w:pPr>
    </w:p>
    <w:p w14:paraId="74A216C7" w14:textId="77777777" w:rsidR="001F27D2" w:rsidRPr="002B2A7F" w:rsidRDefault="001F27D2" w:rsidP="001F27D2">
      <w:pPr>
        <w:rPr>
          <w:rFonts w:asciiTheme="minorHAnsi" w:hAnsiTheme="minorHAnsi"/>
        </w:rPr>
      </w:pPr>
      <w:r w:rsidRPr="002B2A7F">
        <w:rPr>
          <w:rFonts w:asciiTheme="minorHAnsi" w:hAnsiTheme="minorHAnsi"/>
        </w:rPr>
        <w:br w:type="page"/>
      </w:r>
    </w:p>
    <w:p w14:paraId="0950CCD4" w14:textId="77777777" w:rsidR="001F27D2" w:rsidRPr="002B2A7F" w:rsidRDefault="001F27D2" w:rsidP="001F27D2">
      <w:pPr>
        <w:pStyle w:val="Heading1"/>
        <w:spacing w:before="0"/>
        <w:jc w:val="left"/>
        <w:rPr>
          <w:rFonts w:asciiTheme="minorHAnsi" w:hAnsiTheme="minorHAnsi"/>
        </w:rPr>
      </w:pPr>
      <w:bookmarkStart w:id="204" w:name="_Toc395193544"/>
      <w:bookmarkStart w:id="205" w:name="_Toc524935571"/>
      <w:bookmarkStart w:id="206" w:name="_Toc531122863"/>
      <w:bookmarkStart w:id="207" w:name="_Toc532812395"/>
      <w:r w:rsidRPr="002B2A7F">
        <w:rPr>
          <w:rFonts w:asciiTheme="minorHAnsi" w:hAnsiTheme="minorHAnsi"/>
        </w:rPr>
        <w:lastRenderedPageBreak/>
        <w:t>Understanding housing market dynamics</w:t>
      </w:r>
      <w:bookmarkEnd w:id="204"/>
      <w:r w:rsidRPr="002B2A7F">
        <w:rPr>
          <w:rFonts w:asciiTheme="minorHAnsi" w:hAnsiTheme="minorHAnsi"/>
        </w:rPr>
        <w:t xml:space="preserve"> and drivers</w:t>
      </w:r>
      <w:bookmarkEnd w:id="205"/>
      <w:bookmarkEnd w:id="206"/>
      <w:bookmarkEnd w:id="207"/>
    </w:p>
    <w:p w14:paraId="41F2171D" w14:textId="77777777" w:rsidR="001F27D2" w:rsidRPr="002B2A7F" w:rsidRDefault="001F27D2" w:rsidP="001F27D2">
      <w:pPr>
        <w:pStyle w:val="Heading2"/>
        <w:rPr>
          <w:rFonts w:asciiTheme="minorHAnsi" w:hAnsiTheme="minorHAnsi" w:cs="Calibri"/>
        </w:rPr>
      </w:pPr>
      <w:bookmarkStart w:id="208" w:name="_Toc395193545"/>
      <w:bookmarkStart w:id="209" w:name="_Toc524935572"/>
      <w:bookmarkStart w:id="210" w:name="_Toc531122864"/>
      <w:bookmarkStart w:id="211" w:name="_Toc532812396"/>
      <w:r w:rsidRPr="002B2A7F">
        <w:rPr>
          <w:rFonts w:asciiTheme="minorHAnsi" w:hAnsiTheme="minorHAnsi" w:cs="Calibri"/>
        </w:rPr>
        <w:t>Introduction</w:t>
      </w:r>
      <w:bookmarkEnd w:id="208"/>
      <w:bookmarkEnd w:id="209"/>
      <w:bookmarkEnd w:id="210"/>
      <w:bookmarkEnd w:id="211"/>
    </w:p>
    <w:p w14:paraId="7F6D9277" w14:textId="17676E0B" w:rsidR="001F27D2" w:rsidRPr="002B2A7F" w:rsidRDefault="001F27D2" w:rsidP="001F27D2">
      <w:pPr>
        <w:pStyle w:val="Reporttext"/>
      </w:pPr>
      <w:r w:rsidRPr="002B2A7F">
        <w:t xml:space="preserve">The purpose of this chapter is to assess the geographical context of the housing market in Eden District </w:t>
      </w:r>
      <w:r w:rsidRPr="002B2A7F">
        <w:rPr>
          <w:iCs/>
        </w:rPr>
        <w:t xml:space="preserve">and its </w:t>
      </w:r>
      <w:r w:rsidRPr="002B2A7F">
        <w:t xml:space="preserve">inter-relationships with other areas. By reviewing house prices, migration and travel to work patterns, a picture of the dynamics of the market </w:t>
      </w:r>
      <w:r w:rsidRPr="002B2A7F">
        <w:rPr>
          <w:iCs/>
        </w:rPr>
        <w:t>emerges</w:t>
      </w:r>
      <w:r w:rsidRPr="002B2A7F">
        <w:t xml:space="preserve">. This chapter considers house price trends, relative affordability, household migration, travel-to-work patterns and dwelling completions data for Eden. Qualitative research has been used to more fully understand other factors that are driving the housing market and how they vary across Eden. Overall a clear overview of the housing market dynamics of the area emerges, providing the key evidence needed to determine the appropriate approach to assessing housing need. It also provides information crucial to a deeper understanding of Eden’s settlements </w:t>
      </w:r>
      <w:r w:rsidR="00253218">
        <w:t xml:space="preserve">and how they form distinct sub-markets </w:t>
      </w:r>
      <w:r w:rsidRPr="002B2A7F">
        <w:t xml:space="preserve">in later chapters and the economic and social market drivers that are present. </w:t>
      </w:r>
    </w:p>
    <w:p w14:paraId="2998E4C1" w14:textId="77777777" w:rsidR="001F27D2" w:rsidRPr="002B2A7F" w:rsidRDefault="001F27D2" w:rsidP="001F27D2">
      <w:pPr>
        <w:rPr>
          <w:rFonts w:asciiTheme="minorHAnsi" w:hAnsiTheme="minorHAnsi" w:cs="Calibri"/>
        </w:rPr>
      </w:pPr>
      <w:bookmarkStart w:id="212" w:name="_Toc428528472"/>
      <w:bookmarkStart w:id="213" w:name="_Toc430084565"/>
      <w:bookmarkStart w:id="214" w:name="_Toc430782019"/>
    </w:p>
    <w:p w14:paraId="698C8DF6" w14:textId="77777777" w:rsidR="001F27D2" w:rsidRPr="002B2A7F" w:rsidRDefault="001F27D2" w:rsidP="001F27D2">
      <w:pPr>
        <w:pStyle w:val="Heading2"/>
        <w:rPr>
          <w:rFonts w:asciiTheme="minorHAnsi" w:hAnsiTheme="minorHAnsi" w:cs="Calibri"/>
        </w:rPr>
      </w:pPr>
      <w:bookmarkStart w:id="215" w:name="_Toc395193546"/>
      <w:bookmarkStart w:id="216" w:name="_Toc524935573"/>
      <w:bookmarkStart w:id="217" w:name="_Toc531122865"/>
      <w:bookmarkStart w:id="218" w:name="_Toc532812397"/>
      <w:r w:rsidRPr="002B2A7F">
        <w:rPr>
          <w:rFonts w:asciiTheme="minorHAnsi" w:hAnsiTheme="minorHAnsi" w:cs="Calibri"/>
        </w:rPr>
        <w:t>House price</w:t>
      </w:r>
      <w:bookmarkEnd w:id="212"/>
      <w:bookmarkEnd w:id="213"/>
      <w:bookmarkEnd w:id="214"/>
      <w:r w:rsidRPr="002B2A7F">
        <w:rPr>
          <w:rFonts w:asciiTheme="minorHAnsi" w:hAnsiTheme="minorHAnsi" w:cs="Calibri"/>
        </w:rPr>
        <w:t xml:space="preserve"> trends</w:t>
      </w:r>
      <w:bookmarkEnd w:id="215"/>
      <w:bookmarkEnd w:id="216"/>
      <w:bookmarkEnd w:id="217"/>
      <w:bookmarkEnd w:id="218"/>
    </w:p>
    <w:p w14:paraId="502F0C01" w14:textId="26A03DD4" w:rsidR="001F27D2" w:rsidRPr="002B2A7F" w:rsidRDefault="001F27D2" w:rsidP="001F27D2">
      <w:pPr>
        <w:pStyle w:val="Reporttext"/>
      </w:pPr>
      <w:r w:rsidRPr="002B2A7F">
        <w:t xml:space="preserve">Figure 3.1 shows how median house prices in the </w:t>
      </w:r>
      <w:r w:rsidR="00FF066B">
        <w:t>D</w:t>
      </w:r>
      <w:r w:rsidRPr="002B2A7F">
        <w:t>istrict have changed over the period 200</w:t>
      </w:r>
      <w:r w:rsidR="002F0E68">
        <w:t>0</w:t>
      </w:r>
      <w:r w:rsidRPr="002B2A7F">
        <w:t xml:space="preserve"> to 2017, based on full-year Land Registry price paid data. This is compared with the North West region and England as a whole.</w:t>
      </w:r>
    </w:p>
    <w:p w14:paraId="37EC62F2" w14:textId="77777777" w:rsidR="001F27D2" w:rsidRPr="002B2A7F" w:rsidRDefault="001F27D2" w:rsidP="001F27D2">
      <w:pPr>
        <w:pStyle w:val="Reporttext"/>
      </w:pPr>
      <w:r w:rsidRPr="002B2A7F">
        <w:t>The pattern of median house price change has been consistently similar to that of the North West region albeit with Eden prices being significantly higher. The pattern of change is fairly flat over the ten years 2007 to 2017, with only minor upward change over the period.</w:t>
      </w:r>
    </w:p>
    <w:p w14:paraId="029CBCED" w14:textId="77777777" w:rsidR="001F27D2" w:rsidRPr="002B2A7F" w:rsidRDefault="001F27D2" w:rsidP="001F27D2">
      <w:pPr>
        <w:pStyle w:val="Reporttext"/>
      </w:pPr>
      <w:r w:rsidRPr="002B2A7F">
        <w:t xml:space="preserve">The pattern for England as a whole is different with a steady rise since 2009. </w:t>
      </w:r>
    </w:p>
    <w:p w14:paraId="0792D3AA" w14:textId="77777777" w:rsidR="001F27D2" w:rsidRPr="002B2A7F" w:rsidRDefault="001F27D2" w:rsidP="001F27D2">
      <w:pPr>
        <w:rPr>
          <w:rFonts w:asciiTheme="minorHAnsi" w:hAnsiTheme="minorHAnsi"/>
        </w:rPr>
      </w:pPr>
    </w:p>
    <w:p w14:paraId="26CEC300" w14:textId="77777777" w:rsidR="001F27D2" w:rsidRPr="002B2A7F" w:rsidRDefault="001F27D2" w:rsidP="001F27D2">
      <w:pPr>
        <w:rPr>
          <w:rFonts w:asciiTheme="minorHAnsi" w:hAnsiTheme="minorHAnsi"/>
        </w:rPr>
      </w:pPr>
    </w:p>
    <w:p w14:paraId="651BB136" w14:textId="53062B0C" w:rsidR="001F27D2" w:rsidRPr="002B2A7F" w:rsidRDefault="001F27D2" w:rsidP="001F27D2">
      <w:pPr>
        <w:tabs>
          <w:tab w:val="left" w:pos="5112"/>
        </w:tabs>
        <w:rPr>
          <w:rFonts w:asciiTheme="minorHAnsi" w:hAnsiTheme="minorHAnsi" w:cs="Calibri"/>
          <w:sz w:val="20"/>
          <w:szCs w:val="20"/>
        </w:rPr>
      </w:pPr>
    </w:p>
    <w:p w14:paraId="726A5921" w14:textId="2EAE5B9A" w:rsidR="001F27D2" w:rsidRPr="002B2A7F" w:rsidRDefault="001F27D2" w:rsidP="001F27D2">
      <w:pPr>
        <w:tabs>
          <w:tab w:val="left" w:pos="5112"/>
        </w:tabs>
        <w:rPr>
          <w:rFonts w:asciiTheme="minorHAnsi" w:hAnsiTheme="minorHAnsi"/>
        </w:rPr>
        <w:sectPr w:rsidR="001F27D2" w:rsidRPr="002B2A7F" w:rsidSect="002B41F6">
          <w:headerReference w:type="default" r:id="rId16"/>
          <w:footerReference w:type="default" r:id="rId17"/>
          <w:pgSz w:w="11906" w:h="16838" w:code="9"/>
          <w:pgMar w:top="1440" w:right="1276" w:bottom="1134" w:left="1440" w:header="709" w:footer="567" w:gutter="0"/>
          <w:cols w:space="708"/>
          <w:docGrid w:linePitch="360"/>
        </w:sectPr>
      </w:pPr>
    </w:p>
    <w:p w14:paraId="74EA3222" w14:textId="77777777" w:rsidR="001F27D2" w:rsidRPr="002B2A7F" w:rsidRDefault="001F27D2" w:rsidP="001F27D2">
      <w:pPr>
        <w:pStyle w:val="Figureheading0"/>
        <w:rPr>
          <w:rFonts w:asciiTheme="minorHAnsi" w:hAnsiTheme="minorHAnsi"/>
        </w:rPr>
      </w:pPr>
      <w:bookmarkStart w:id="219" w:name="_Toc399871715"/>
      <w:bookmarkStart w:id="220" w:name="_Toc428528359"/>
      <w:bookmarkStart w:id="221" w:name="_Toc430084676"/>
      <w:bookmarkStart w:id="222" w:name="_Toc430782174"/>
      <w:bookmarkStart w:id="223" w:name="_Toc520835925"/>
      <w:bookmarkStart w:id="224" w:name="_Toc524935618"/>
      <w:bookmarkStart w:id="225" w:name="_Toc532812524"/>
      <w:r w:rsidRPr="002B2A7F">
        <w:rPr>
          <w:rFonts w:asciiTheme="minorHAnsi" w:hAnsiTheme="minorHAnsi"/>
        </w:rPr>
        <w:lastRenderedPageBreak/>
        <w:t>Figure 3.1</w:t>
      </w:r>
      <w:r w:rsidRPr="002B2A7F">
        <w:rPr>
          <w:rFonts w:asciiTheme="minorHAnsi" w:hAnsiTheme="minorHAnsi"/>
        </w:rPr>
        <w:tab/>
        <w:t>Median house price trends 2000 to 2017: Eden, the North West region and England</w:t>
      </w:r>
      <w:bookmarkEnd w:id="219"/>
      <w:bookmarkEnd w:id="220"/>
      <w:bookmarkEnd w:id="221"/>
      <w:bookmarkEnd w:id="222"/>
      <w:bookmarkEnd w:id="223"/>
      <w:bookmarkEnd w:id="224"/>
      <w:bookmarkEnd w:id="225"/>
    </w:p>
    <w:p w14:paraId="579238F6" w14:textId="77777777" w:rsidR="001F27D2" w:rsidRPr="002B2A7F" w:rsidRDefault="001F27D2" w:rsidP="001F27D2">
      <w:pPr>
        <w:rPr>
          <w:rFonts w:asciiTheme="minorHAnsi" w:hAnsiTheme="minorHAnsi" w:cs="Calibri"/>
          <w:sz w:val="20"/>
          <w:szCs w:val="20"/>
        </w:rPr>
      </w:pPr>
      <w:r w:rsidRPr="002B2A7F">
        <w:rPr>
          <w:rFonts w:asciiTheme="minorHAnsi" w:hAnsiTheme="minorHAnsi"/>
          <w:noProof/>
          <w:lang w:eastAsia="en-GB"/>
        </w:rPr>
        <w:drawing>
          <wp:inline distT="0" distB="0" distL="0" distR="0" wp14:anchorId="6EA57F01" wp14:editId="5E064525">
            <wp:extent cx="8967630" cy="5064369"/>
            <wp:effectExtent l="0" t="0" r="11430" b="15875"/>
            <wp:docPr id="14" name="Chart 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B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2C3ADEC" w14:textId="77777777" w:rsidR="001F27D2" w:rsidRDefault="001F27D2" w:rsidP="001F27D2">
      <w:pPr>
        <w:pStyle w:val="Reporttext"/>
        <w:numPr>
          <w:ilvl w:val="0"/>
          <w:numId w:val="0"/>
        </w:numPr>
        <w:rPr>
          <w:sz w:val="20"/>
          <w:szCs w:val="20"/>
        </w:rPr>
      </w:pPr>
      <w:r w:rsidRPr="002B2A7F">
        <w:rPr>
          <w:sz w:val="20"/>
          <w:szCs w:val="20"/>
        </w:rPr>
        <w:t>Source: Data produced by Land Registry © Crown copyright</w:t>
      </w:r>
      <w:r>
        <w:rPr>
          <w:sz w:val="20"/>
          <w:szCs w:val="20"/>
        </w:rPr>
        <w:t xml:space="preserve"> and database right</w:t>
      </w:r>
      <w:r w:rsidRPr="002B2A7F">
        <w:rPr>
          <w:sz w:val="20"/>
          <w:szCs w:val="20"/>
        </w:rPr>
        <w:t xml:space="preserve"> 2018</w:t>
      </w:r>
      <w:r>
        <w:rPr>
          <w:sz w:val="20"/>
          <w:szCs w:val="20"/>
        </w:rPr>
        <w:t>.  This data is licensed under the Open Government Licence v3.0</w:t>
      </w:r>
    </w:p>
    <w:p w14:paraId="5D8D923B" w14:textId="77777777" w:rsidR="001F27D2" w:rsidRPr="002B2A7F" w:rsidRDefault="001F27D2" w:rsidP="001F27D2">
      <w:pPr>
        <w:pStyle w:val="Maintext"/>
        <w:numPr>
          <w:ilvl w:val="0"/>
          <w:numId w:val="0"/>
        </w:numPr>
        <w:rPr>
          <w:rFonts w:asciiTheme="minorHAnsi" w:hAnsiTheme="minorHAnsi" w:cs="Calibri"/>
          <w:sz w:val="20"/>
          <w:szCs w:val="20"/>
        </w:rPr>
        <w:sectPr w:rsidR="001F27D2" w:rsidRPr="002B2A7F" w:rsidSect="002B41F6">
          <w:headerReference w:type="default" r:id="rId19"/>
          <w:footerReference w:type="default" r:id="rId20"/>
          <w:footerReference w:type="first" r:id="rId21"/>
          <w:pgSz w:w="16838" w:h="11906" w:orient="landscape" w:code="9"/>
          <w:pgMar w:top="1440" w:right="1276" w:bottom="1134" w:left="1440" w:header="709" w:footer="567" w:gutter="0"/>
          <w:cols w:space="708"/>
          <w:docGrid w:linePitch="360"/>
        </w:sectPr>
      </w:pPr>
    </w:p>
    <w:p w14:paraId="1B2FC850" w14:textId="77777777" w:rsidR="001F27D2" w:rsidRPr="002B2A7F" w:rsidRDefault="001F27D2" w:rsidP="001F27D2">
      <w:pPr>
        <w:pStyle w:val="Reporttext"/>
      </w:pPr>
      <w:r w:rsidRPr="002B2A7F">
        <w:lastRenderedPageBreak/>
        <w:t xml:space="preserve">For Eden District overall, median prices increased from £71,000 in 2000 to £185,000 in 2007. Over the ten years from 2007 to 2017 prices fluctuated and reached £187,475 in 2017. </w:t>
      </w:r>
    </w:p>
    <w:p w14:paraId="1324679A" w14:textId="12DFF15A" w:rsidR="001F27D2" w:rsidRPr="002B2A7F" w:rsidRDefault="001F27D2" w:rsidP="001F27D2">
      <w:pPr>
        <w:pStyle w:val="Reporttext"/>
      </w:pPr>
      <w:r w:rsidRPr="002B2A7F">
        <w:t>Table 3.1 sets out comparative median house prices and house price change over this period for nearby local authorities along with regional and national data. This indicates that 201</w:t>
      </w:r>
      <w:r>
        <w:t>7</w:t>
      </w:r>
      <w:r w:rsidRPr="002B2A7F">
        <w:t xml:space="preserve"> median house prices </w:t>
      </w:r>
      <w:r w:rsidR="00674CE5">
        <w:t>in</w:t>
      </w:r>
      <w:r w:rsidRPr="002B2A7F">
        <w:t xml:space="preserve"> Eden were lower than England and neighbo</w:t>
      </w:r>
      <w:r>
        <w:t>u</w:t>
      </w:r>
      <w:r w:rsidRPr="002B2A7F">
        <w:t>ring South Lakeland and Richmondshire</w:t>
      </w:r>
      <w:r w:rsidR="00674CE5">
        <w:t>,</w:t>
      </w:r>
      <w:r w:rsidRPr="002B2A7F">
        <w:t xml:space="preserve"> but higher than other neighbouring areas and the North West. However, compared with these areas, Eden reported one of the lowest overall house price change 2007-2017.  </w:t>
      </w:r>
    </w:p>
    <w:p w14:paraId="76A73DCF" w14:textId="77777777" w:rsidR="001F27D2" w:rsidRPr="002B2A7F" w:rsidRDefault="001F27D2" w:rsidP="001F27D2">
      <w:pPr>
        <w:pStyle w:val="Reporttext"/>
        <w:numPr>
          <w:ilvl w:val="0"/>
          <w:numId w:val="0"/>
        </w:numPr>
        <w:ind w:left="709"/>
      </w:pPr>
    </w:p>
    <w:tbl>
      <w:tblPr>
        <w:tblW w:w="8602" w:type="dxa"/>
        <w:tblInd w:w="720"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3499"/>
        <w:gridCol w:w="1559"/>
        <w:gridCol w:w="1701"/>
        <w:gridCol w:w="1843"/>
      </w:tblGrid>
      <w:tr w:rsidR="001F27D2" w:rsidRPr="001F27D2" w14:paraId="23B7BF34" w14:textId="77777777" w:rsidTr="001F27D2">
        <w:trPr>
          <w:trHeight w:val="555"/>
        </w:trPr>
        <w:tc>
          <w:tcPr>
            <w:tcW w:w="8602" w:type="dxa"/>
            <w:gridSpan w:val="4"/>
            <w:shd w:val="clear" w:color="auto" w:fill="009999"/>
            <w:vAlign w:val="center"/>
            <w:hideMark/>
          </w:tcPr>
          <w:p w14:paraId="08FB1741" w14:textId="77777777" w:rsidR="001F27D2" w:rsidRPr="001F27D2" w:rsidRDefault="001F27D2" w:rsidP="001F27D2">
            <w:pPr>
              <w:pStyle w:val="Tableheading1"/>
            </w:pPr>
            <w:bookmarkStart w:id="226" w:name="_Toc531122928"/>
            <w:bookmarkStart w:id="227" w:name="_Toc532812465"/>
            <w:r w:rsidRPr="001F27D2">
              <w:t>Table 3.1</w:t>
            </w:r>
            <w:r w:rsidRPr="001F27D2">
              <w:tab/>
              <w:t>Comparative median house price change 2007-2017 with neighbouring Districts, the North West and England</w:t>
            </w:r>
            <w:bookmarkEnd w:id="226"/>
            <w:bookmarkEnd w:id="227"/>
          </w:p>
        </w:tc>
      </w:tr>
      <w:tr w:rsidR="001F27D2" w:rsidRPr="001F27D2" w14:paraId="7ECE7B01" w14:textId="77777777" w:rsidTr="001F27D2">
        <w:trPr>
          <w:trHeight w:val="80"/>
        </w:trPr>
        <w:tc>
          <w:tcPr>
            <w:tcW w:w="3499" w:type="dxa"/>
            <w:vMerge w:val="restart"/>
            <w:shd w:val="clear" w:color="auto" w:fill="009999"/>
            <w:noWrap/>
            <w:vAlign w:val="bottom"/>
            <w:hideMark/>
          </w:tcPr>
          <w:p w14:paraId="5B2EF645" w14:textId="77777777" w:rsidR="001F27D2" w:rsidRPr="001F27D2" w:rsidRDefault="001F27D2" w:rsidP="001F27D2">
            <w:pPr>
              <w:spacing w:before="0" w:after="0"/>
              <w:rPr>
                <w:rFonts w:cs="Calibri"/>
                <w:color w:val="FFFFFF"/>
                <w:sz w:val="22"/>
                <w:szCs w:val="22"/>
              </w:rPr>
            </w:pPr>
            <w:r w:rsidRPr="001F27D2">
              <w:rPr>
                <w:rFonts w:cs="Calibri"/>
                <w:color w:val="FFFFFF"/>
                <w:sz w:val="22"/>
                <w:szCs w:val="22"/>
              </w:rPr>
              <w:t>Location</w:t>
            </w:r>
          </w:p>
        </w:tc>
        <w:tc>
          <w:tcPr>
            <w:tcW w:w="3260" w:type="dxa"/>
            <w:gridSpan w:val="2"/>
            <w:shd w:val="clear" w:color="auto" w:fill="009999"/>
            <w:noWrap/>
            <w:vAlign w:val="center"/>
            <w:hideMark/>
          </w:tcPr>
          <w:p w14:paraId="33AAA0BD" w14:textId="77777777" w:rsidR="001F27D2" w:rsidRPr="001F27D2" w:rsidRDefault="001F27D2" w:rsidP="001F27D2">
            <w:pPr>
              <w:spacing w:before="0" w:after="0"/>
              <w:jc w:val="center"/>
              <w:rPr>
                <w:rFonts w:cs="Calibri"/>
                <w:b/>
                <w:color w:val="FFFFFF"/>
                <w:sz w:val="22"/>
                <w:szCs w:val="22"/>
              </w:rPr>
            </w:pPr>
            <w:r w:rsidRPr="001F27D2">
              <w:rPr>
                <w:rFonts w:cs="Calibri"/>
                <w:b/>
                <w:color w:val="FFFFFF"/>
                <w:sz w:val="22"/>
                <w:szCs w:val="22"/>
              </w:rPr>
              <w:t>Median price by year (£)</w:t>
            </w:r>
          </w:p>
        </w:tc>
        <w:tc>
          <w:tcPr>
            <w:tcW w:w="1843" w:type="dxa"/>
            <w:shd w:val="clear" w:color="auto" w:fill="009999"/>
            <w:noWrap/>
            <w:vAlign w:val="center"/>
            <w:hideMark/>
          </w:tcPr>
          <w:p w14:paraId="33E54D2D" w14:textId="77777777" w:rsidR="001F27D2" w:rsidRPr="001F27D2" w:rsidRDefault="001F27D2" w:rsidP="001F27D2">
            <w:pPr>
              <w:spacing w:before="0" w:after="0"/>
              <w:jc w:val="center"/>
              <w:rPr>
                <w:rFonts w:cs="Calibri"/>
                <w:b/>
                <w:color w:val="FFFFFF"/>
                <w:sz w:val="22"/>
                <w:szCs w:val="22"/>
              </w:rPr>
            </w:pPr>
            <w:r w:rsidRPr="001F27D2">
              <w:rPr>
                <w:rFonts w:cs="Calibri"/>
                <w:b/>
                <w:color w:val="FFFFFF"/>
                <w:sz w:val="22"/>
                <w:szCs w:val="22"/>
              </w:rPr>
              <w:t xml:space="preserve">% change </w:t>
            </w:r>
          </w:p>
        </w:tc>
      </w:tr>
      <w:tr w:rsidR="001F27D2" w:rsidRPr="001F27D2" w14:paraId="2432E28B" w14:textId="77777777" w:rsidTr="001F27D2">
        <w:trPr>
          <w:trHeight w:val="300"/>
        </w:trPr>
        <w:tc>
          <w:tcPr>
            <w:tcW w:w="3499" w:type="dxa"/>
            <w:vMerge/>
            <w:shd w:val="clear" w:color="auto" w:fill="009999"/>
            <w:vAlign w:val="center"/>
            <w:hideMark/>
          </w:tcPr>
          <w:p w14:paraId="5251D664" w14:textId="77777777" w:rsidR="001F27D2" w:rsidRPr="001F27D2" w:rsidRDefault="001F27D2" w:rsidP="001F27D2">
            <w:pPr>
              <w:spacing w:before="0" w:after="0"/>
              <w:rPr>
                <w:rFonts w:cs="Calibri"/>
                <w:color w:val="FFFFFF"/>
                <w:sz w:val="22"/>
                <w:szCs w:val="22"/>
              </w:rPr>
            </w:pPr>
          </w:p>
        </w:tc>
        <w:tc>
          <w:tcPr>
            <w:tcW w:w="1559" w:type="dxa"/>
            <w:shd w:val="clear" w:color="auto" w:fill="009999"/>
            <w:noWrap/>
            <w:vAlign w:val="center"/>
            <w:hideMark/>
          </w:tcPr>
          <w:p w14:paraId="289A8C14" w14:textId="77777777" w:rsidR="001F27D2" w:rsidRPr="001F27D2" w:rsidRDefault="001F27D2" w:rsidP="001F27D2">
            <w:pPr>
              <w:spacing w:before="0" w:after="0"/>
              <w:jc w:val="center"/>
              <w:rPr>
                <w:rFonts w:cs="Calibri"/>
                <w:color w:val="FFFFFF"/>
                <w:sz w:val="22"/>
                <w:szCs w:val="22"/>
              </w:rPr>
            </w:pPr>
            <w:r w:rsidRPr="001F27D2">
              <w:rPr>
                <w:rFonts w:cs="Calibri"/>
                <w:color w:val="FFFFFF"/>
                <w:sz w:val="22"/>
                <w:szCs w:val="22"/>
              </w:rPr>
              <w:t>2007</w:t>
            </w:r>
          </w:p>
        </w:tc>
        <w:tc>
          <w:tcPr>
            <w:tcW w:w="1701" w:type="dxa"/>
            <w:shd w:val="clear" w:color="auto" w:fill="009999"/>
            <w:noWrap/>
            <w:vAlign w:val="center"/>
            <w:hideMark/>
          </w:tcPr>
          <w:p w14:paraId="4BFC9542" w14:textId="77777777" w:rsidR="001F27D2" w:rsidRPr="001F27D2" w:rsidRDefault="001F27D2" w:rsidP="001F27D2">
            <w:pPr>
              <w:spacing w:before="0" w:after="0"/>
              <w:jc w:val="center"/>
              <w:rPr>
                <w:rFonts w:cs="Calibri"/>
                <w:color w:val="FFFFFF"/>
                <w:sz w:val="22"/>
                <w:szCs w:val="22"/>
              </w:rPr>
            </w:pPr>
            <w:r w:rsidRPr="001F27D2">
              <w:rPr>
                <w:rFonts w:cs="Calibri"/>
                <w:color w:val="FFFFFF"/>
                <w:sz w:val="22"/>
                <w:szCs w:val="22"/>
              </w:rPr>
              <w:t>2017</w:t>
            </w:r>
          </w:p>
        </w:tc>
        <w:tc>
          <w:tcPr>
            <w:tcW w:w="1843" w:type="dxa"/>
            <w:shd w:val="clear" w:color="auto" w:fill="009999"/>
            <w:noWrap/>
            <w:vAlign w:val="center"/>
            <w:hideMark/>
          </w:tcPr>
          <w:p w14:paraId="33F6F572" w14:textId="77777777" w:rsidR="001F27D2" w:rsidRPr="001F27D2" w:rsidRDefault="001F27D2" w:rsidP="001F27D2">
            <w:pPr>
              <w:spacing w:before="0" w:after="0"/>
              <w:jc w:val="center"/>
              <w:rPr>
                <w:rFonts w:cs="Calibri"/>
                <w:color w:val="FFFFFF"/>
                <w:sz w:val="22"/>
                <w:szCs w:val="22"/>
              </w:rPr>
            </w:pPr>
            <w:r w:rsidRPr="001F27D2">
              <w:rPr>
                <w:rFonts w:cs="Calibri"/>
                <w:color w:val="FFFFFF"/>
                <w:sz w:val="22"/>
                <w:szCs w:val="22"/>
              </w:rPr>
              <w:t>2007-2017</w:t>
            </w:r>
          </w:p>
        </w:tc>
      </w:tr>
      <w:tr w:rsidR="001F27D2" w:rsidRPr="001F27D2" w14:paraId="5508494D" w14:textId="77777777" w:rsidTr="001F27D2">
        <w:trPr>
          <w:trHeight w:val="300"/>
        </w:trPr>
        <w:tc>
          <w:tcPr>
            <w:tcW w:w="3499" w:type="dxa"/>
            <w:shd w:val="clear" w:color="auto" w:fill="auto"/>
            <w:noWrap/>
            <w:vAlign w:val="center"/>
          </w:tcPr>
          <w:p w14:paraId="4F29B6F3" w14:textId="77777777" w:rsidR="001F27D2" w:rsidRPr="001F27D2" w:rsidRDefault="001F27D2" w:rsidP="001F27D2">
            <w:pPr>
              <w:spacing w:before="0" w:after="0"/>
              <w:rPr>
                <w:rFonts w:cs="Calibri"/>
                <w:sz w:val="22"/>
                <w:szCs w:val="22"/>
              </w:rPr>
            </w:pPr>
            <w:r w:rsidRPr="001F27D2">
              <w:rPr>
                <w:rFonts w:cs="Calibri"/>
                <w:color w:val="000000"/>
                <w:sz w:val="22"/>
                <w:szCs w:val="22"/>
              </w:rPr>
              <w:t>South Lakeland</w:t>
            </w:r>
          </w:p>
        </w:tc>
        <w:tc>
          <w:tcPr>
            <w:tcW w:w="1559" w:type="dxa"/>
            <w:shd w:val="clear" w:color="auto" w:fill="auto"/>
            <w:noWrap/>
            <w:vAlign w:val="center"/>
          </w:tcPr>
          <w:p w14:paraId="0E5C7AEC" w14:textId="77777777" w:rsidR="001F27D2" w:rsidRPr="001F27D2" w:rsidRDefault="001F27D2" w:rsidP="001F27D2">
            <w:pPr>
              <w:spacing w:before="0" w:after="0"/>
              <w:jc w:val="center"/>
              <w:rPr>
                <w:rFonts w:cs="Calibri"/>
                <w:color w:val="000000"/>
                <w:sz w:val="22"/>
                <w:szCs w:val="22"/>
                <w:lang w:eastAsia="en-GB"/>
              </w:rPr>
            </w:pPr>
            <w:r w:rsidRPr="001F27D2">
              <w:rPr>
                <w:rFonts w:cs="Calibri"/>
                <w:bCs/>
                <w:color w:val="000000"/>
                <w:sz w:val="22"/>
                <w:szCs w:val="22"/>
              </w:rPr>
              <w:t>£205,000</w:t>
            </w:r>
          </w:p>
        </w:tc>
        <w:tc>
          <w:tcPr>
            <w:tcW w:w="1701" w:type="dxa"/>
            <w:shd w:val="clear" w:color="auto" w:fill="auto"/>
            <w:noWrap/>
            <w:vAlign w:val="center"/>
          </w:tcPr>
          <w:p w14:paraId="0CE45FC4" w14:textId="77777777" w:rsidR="001F27D2" w:rsidRPr="001F27D2" w:rsidRDefault="001F27D2" w:rsidP="001F27D2">
            <w:pPr>
              <w:spacing w:before="0" w:after="0"/>
              <w:jc w:val="center"/>
              <w:rPr>
                <w:rFonts w:cs="Calibri"/>
                <w:bCs/>
                <w:color w:val="000000"/>
                <w:sz w:val="22"/>
                <w:szCs w:val="22"/>
                <w:lang w:eastAsia="en-GB"/>
              </w:rPr>
            </w:pPr>
            <w:r w:rsidRPr="001F27D2">
              <w:rPr>
                <w:rFonts w:cs="Calibri"/>
                <w:bCs/>
                <w:color w:val="000000"/>
                <w:sz w:val="22"/>
                <w:szCs w:val="22"/>
              </w:rPr>
              <w:t>£230,000</w:t>
            </w:r>
          </w:p>
        </w:tc>
        <w:tc>
          <w:tcPr>
            <w:tcW w:w="1843" w:type="dxa"/>
            <w:shd w:val="clear" w:color="auto" w:fill="auto"/>
            <w:noWrap/>
            <w:vAlign w:val="bottom"/>
          </w:tcPr>
          <w:p w14:paraId="303AA63D"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12.2</w:t>
            </w:r>
          </w:p>
        </w:tc>
      </w:tr>
      <w:tr w:rsidR="001F27D2" w:rsidRPr="001F27D2" w14:paraId="2778E860" w14:textId="77777777" w:rsidTr="001F27D2">
        <w:trPr>
          <w:trHeight w:val="300"/>
        </w:trPr>
        <w:tc>
          <w:tcPr>
            <w:tcW w:w="3499" w:type="dxa"/>
            <w:shd w:val="clear" w:color="auto" w:fill="auto"/>
            <w:noWrap/>
            <w:vAlign w:val="center"/>
          </w:tcPr>
          <w:p w14:paraId="39F0F254" w14:textId="77777777" w:rsidR="001F27D2" w:rsidRPr="001F27D2" w:rsidRDefault="001F27D2" w:rsidP="001F27D2">
            <w:pPr>
              <w:spacing w:before="0" w:after="0"/>
              <w:rPr>
                <w:rFonts w:cs="Calibri"/>
                <w:sz w:val="22"/>
                <w:szCs w:val="22"/>
              </w:rPr>
            </w:pPr>
            <w:r w:rsidRPr="001F27D2">
              <w:rPr>
                <w:rFonts w:cs="Calibri"/>
                <w:color w:val="000000"/>
                <w:sz w:val="22"/>
                <w:szCs w:val="22"/>
              </w:rPr>
              <w:t>England</w:t>
            </w:r>
          </w:p>
        </w:tc>
        <w:tc>
          <w:tcPr>
            <w:tcW w:w="1559" w:type="dxa"/>
            <w:shd w:val="clear" w:color="auto" w:fill="auto"/>
            <w:noWrap/>
            <w:vAlign w:val="center"/>
          </w:tcPr>
          <w:p w14:paraId="6B8D54CF" w14:textId="77777777" w:rsidR="001F27D2" w:rsidRPr="001F27D2" w:rsidRDefault="001F27D2" w:rsidP="001F27D2">
            <w:pPr>
              <w:spacing w:before="0" w:after="0"/>
              <w:jc w:val="center"/>
              <w:rPr>
                <w:rFonts w:cs="Calibri"/>
                <w:bCs/>
                <w:color w:val="000000"/>
                <w:sz w:val="22"/>
                <w:szCs w:val="22"/>
                <w:lang w:eastAsia="en-GB"/>
              </w:rPr>
            </w:pPr>
            <w:r w:rsidRPr="001F27D2">
              <w:rPr>
                <w:rFonts w:cs="Calibri"/>
                <w:color w:val="000000"/>
                <w:sz w:val="22"/>
                <w:szCs w:val="22"/>
              </w:rPr>
              <w:t>£178,000</w:t>
            </w:r>
          </w:p>
        </w:tc>
        <w:tc>
          <w:tcPr>
            <w:tcW w:w="1701" w:type="dxa"/>
            <w:shd w:val="clear" w:color="auto" w:fill="auto"/>
            <w:noWrap/>
            <w:vAlign w:val="center"/>
          </w:tcPr>
          <w:p w14:paraId="27FB704D"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£230,000</w:t>
            </w:r>
          </w:p>
        </w:tc>
        <w:tc>
          <w:tcPr>
            <w:tcW w:w="1843" w:type="dxa"/>
            <w:shd w:val="clear" w:color="auto" w:fill="auto"/>
            <w:noWrap/>
            <w:vAlign w:val="bottom"/>
          </w:tcPr>
          <w:p w14:paraId="74101169"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29.2</w:t>
            </w:r>
          </w:p>
        </w:tc>
      </w:tr>
      <w:tr w:rsidR="001F27D2" w:rsidRPr="001F27D2" w14:paraId="4737A15A" w14:textId="77777777" w:rsidTr="001F27D2">
        <w:trPr>
          <w:trHeight w:val="300"/>
        </w:trPr>
        <w:tc>
          <w:tcPr>
            <w:tcW w:w="3499" w:type="dxa"/>
            <w:shd w:val="clear" w:color="auto" w:fill="auto"/>
            <w:noWrap/>
            <w:vAlign w:val="center"/>
          </w:tcPr>
          <w:p w14:paraId="64776ED5" w14:textId="77777777" w:rsidR="001F27D2" w:rsidRPr="001F27D2" w:rsidRDefault="001F27D2" w:rsidP="001F27D2">
            <w:pPr>
              <w:spacing w:before="0" w:after="0"/>
              <w:rPr>
                <w:rFonts w:cs="Calibri"/>
                <w:sz w:val="22"/>
                <w:szCs w:val="22"/>
              </w:rPr>
            </w:pPr>
            <w:r w:rsidRPr="001F27D2">
              <w:rPr>
                <w:rFonts w:cs="Calibri"/>
                <w:color w:val="000000"/>
                <w:sz w:val="22"/>
                <w:szCs w:val="22"/>
              </w:rPr>
              <w:t>Richmondshire</w:t>
            </w:r>
          </w:p>
        </w:tc>
        <w:tc>
          <w:tcPr>
            <w:tcW w:w="1559" w:type="dxa"/>
            <w:shd w:val="clear" w:color="auto" w:fill="auto"/>
            <w:noWrap/>
            <w:vAlign w:val="center"/>
          </w:tcPr>
          <w:p w14:paraId="54E3D7EA" w14:textId="77777777" w:rsidR="001F27D2" w:rsidRPr="001F27D2" w:rsidRDefault="001F27D2" w:rsidP="001F27D2">
            <w:pPr>
              <w:spacing w:before="0" w:after="0"/>
              <w:jc w:val="center"/>
              <w:rPr>
                <w:rFonts w:cs="Calibri"/>
                <w:bCs/>
                <w:color w:val="000000"/>
                <w:sz w:val="22"/>
                <w:szCs w:val="22"/>
                <w:lang w:eastAsia="en-GB"/>
              </w:rPr>
            </w:pPr>
            <w:r w:rsidRPr="001F27D2">
              <w:rPr>
                <w:rFonts w:cs="Calibri"/>
                <w:bCs/>
                <w:color w:val="000000"/>
                <w:sz w:val="22"/>
                <w:szCs w:val="22"/>
              </w:rPr>
              <w:t>£188,500</w:t>
            </w:r>
          </w:p>
        </w:tc>
        <w:tc>
          <w:tcPr>
            <w:tcW w:w="1701" w:type="dxa"/>
            <w:shd w:val="clear" w:color="auto" w:fill="auto"/>
            <w:noWrap/>
            <w:vAlign w:val="center"/>
          </w:tcPr>
          <w:p w14:paraId="43DF137C" w14:textId="77777777" w:rsidR="001F27D2" w:rsidRPr="001F27D2" w:rsidRDefault="001F27D2" w:rsidP="001F27D2">
            <w:pPr>
              <w:spacing w:before="0" w:after="0"/>
              <w:jc w:val="center"/>
              <w:rPr>
                <w:rFonts w:cs="Calibri"/>
                <w:bCs/>
                <w:color w:val="000000"/>
                <w:sz w:val="22"/>
                <w:szCs w:val="22"/>
                <w:lang w:eastAsia="en-GB"/>
              </w:rPr>
            </w:pPr>
            <w:r w:rsidRPr="001F27D2">
              <w:rPr>
                <w:rFonts w:cs="Calibri"/>
                <w:bCs/>
                <w:color w:val="000000"/>
                <w:sz w:val="22"/>
                <w:szCs w:val="22"/>
              </w:rPr>
              <w:t>£195,000</w:t>
            </w:r>
          </w:p>
        </w:tc>
        <w:tc>
          <w:tcPr>
            <w:tcW w:w="1843" w:type="dxa"/>
            <w:shd w:val="clear" w:color="auto" w:fill="auto"/>
            <w:noWrap/>
            <w:vAlign w:val="bottom"/>
          </w:tcPr>
          <w:p w14:paraId="5FFB4FF7"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3.4</w:t>
            </w:r>
          </w:p>
        </w:tc>
      </w:tr>
      <w:tr w:rsidR="001F27D2" w:rsidRPr="001F27D2" w14:paraId="48AE8F36" w14:textId="77777777" w:rsidTr="001F27D2">
        <w:trPr>
          <w:trHeight w:val="300"/>
        </w:trPr>
        <w:tc>
          <w:tcPr>
            <w:tcW w:w="3499" w:type="dxa"/>
            <w:shd w:val="clear" w:color="auto" w:fill="auto"/>
            <w:noWrap/>
            <w:vAlign w:val="center"/>
          </w:tcPr>
          <w:p w14:paraId="3C35E5BE" w14:textId="77777777" w:rsidR="001F27D2" w:rsidRPr="001F27D2" w:rsidRDefault="001F27D2" w:rsidP="001F27D2">
            <w:pPr>
              <w:spacing w:before="0" w:after="0"/>
              <w:rPr>
                <w:rFonts w:cs="Calibri"/>
                <w:sz w:val="22"/>
                <w:szCs w:val="22"/>
              </w:rPr>
            </w:pPr>
            <w:r w:rsidRPr="001F27D2">
              <w:rPr>
                <w:rFonts w:cs="Calibri"/>
                <w:color w:val="000000"/>
                <w:sz w:val="22"/>
                <w:szCs w:val="22"/>
              </w:rPr>
              <w:t>Eden</w:t>
            </w:r>
          </w:p>
        </w:tc>
        <w:tc>
          <w:tcPr>
            <w:tcW w:w="1559" w:type="dxa"/>
            <w:shd w:val="clear" w:color="auto" w:fill="auto"/>
            <w:noWrap/>
            <w:vAlign w:val="center"/>
          </w:tcPr>
          <w:p w14:paraId="7ABB8103" w14:textId="77777777" w:rsidR="001F27D2" w:rsidRPr="001F27D2" w:rsidRDefault="001F27D2" w:rsidP="001F27D2">
            <w:pPr>
              <w:spacing w:before="0" w:after="0"/>
              <w:jc w:val="center"/>
              <w:rPr>
                <w:rFonts w:cs="Calibri"/>
                <w:bCs/>
                <w:color w:val="000000"/>
                <w:sz w:val="22"/>
                <w:szCs w:val="22"/>
                <w:lang w:eastAsia="en-GB"/>
              </w:rPr>
            </w:pPr>
            <w:r w:rsidRPr="001F27D2">
              <w:rPr>
                <w:rFonts w:cs="Calibri"/>
                <w:color w:val="000000"/>
                <w:sz w:val="22"/>
                <w:szCs w:val="22"/>
              </w:rPr>
              <w:t>£185,000</w:t>
            </w:r>
          </w:p>
        </w:tc>
        <w:tc>
          <w:tcPr>
            <w:tcW w:w="1701" w:type="dxa"/>
            <w:shd w:val="clear" w:color="auto" w:fill="auto"/>
            <w:noWrap/>
            <w:vAlign w:val="center"/>
          </w:tcPr>
          <w:p w14:paraId="06514BE0" w14:textId="77777777" w:rsidR="001F27D2" w:rsidRPr="001F27D2" w:rsidRDefault="001F27D2" w:rsidP="001F27D2">
            <w:pPr>
              <w:spacing w:before="0" w:after="0"/>
              <w:jc w:val="center"/>
              <w:rPr>
                <w:rFonts w:cs="Calibri"/>
                <w:bCs/>
                <w:color w:val="000000"/>
                <w:sz w:val="22"/>
                <w:szCs w:val="22"/>
                <w:lang w:eastAsia="en-GB"/>
              </w:rPr>
            </w:pPr>
            <w:r w:rsidRPr="001F27D2">
              <w:rPr>
                <w:rFonts w:cs="Calibri"/>
                <w:color w:val="000000"/>
                <w:sz w:val="22"/>
                <w:szCs w:val="22"/>
              </w:rPr>
              <w:t>£187,475</w:t>
            </w:r>
          </w:p>
        </w:tc>
        <w:tc>
          <w:tcPr>
            <w:tcW w:w="1843" w:type="dxa"/>
            <w:shd w:val="clear" w:color="auto" w:fill="auto"/>
            <w:noWrap/>
            <w:vAlign w:val="bottom"/>
          </w:tcPr>
          <w:p w14:paraId="77D8868C"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1.3</w:t>
            </w:r>
          </w:p>
        </w:tc>
      </w:tr>
      <w:tr w:rsidR="001F27D2" w:rsidRPr="001F27D2" w14:paraId="3C14909D" w14:textId="77777777" w:rsidTr="001F27D2">
        <w:trPr>
          <w:trHeight w:val="300"/>
        </w:trPr>
        <w:tc>
          <w:tcPr>
            <w:tcW w:w="3499" w:type="dxa"/>
            <w:shd w:val="clear" w:color="auto" w:fill="auto"/>
            <w:noWrap/>
            <w:vAlign w:val="center"/>
          </w:tcPr>
          <w:p w14:paraId="6BB8E940" w14:textId="77777777" w:rsidR="001F27D2" w:rsidRPr="001F27D2" w:rsidRDefault="001F27D2" w:rsidP="001F27D2">
            <w:pPr>
              <w:spacing w:before="0" w:after="0"/>
              <w:rPr>
                <w:rFonts w:cs="Calibri"/>
                <w:color w:val="000000"/>
                <w:sz w:val="22"/>
                <w:szCs w:val="22"/>
              </w:rPr>
            </w:pPr>
            <w:r w:rsidRPr="001F27D2">
              <w:rPr>
                <w:rFonts w:cs="Calibri"/>
                <w:color w:val="000000"/>
                <w:sz w:val="22"/>
                <w:szCs w:val="22"/>
              </w:rPr>
              <w:t>Allerdale</w:t>
            </w:r>
          </w:p>
        </w:tc>
        <w:tc>
          <w:tcPr>
            <w:tcW w:w="1559" w:type="dxa"/>
            <w:shd w:val="clear" w:color="auto" w:fill="auto"/>
            <w:noWrap/>
            <w:vAlign w:val="center"/>
          </w:tcPr>
          <w:p w14:paraId="2FD925E6" w14:textId="77777777" w:rsidR="001F27D2" w:rsidRPr="001F27D2" w:rsidRDefault="001F27D2" w:rsidP="001F27D2">
            <w:pPr>
              <w:spacing w:before="0" w:after="0"/>
              <w:jc w:val="center"/>
              <w:rPr>
                <w:rFonts w:cs="Calibri"/>
                <w:bCs/>
                <w:color w:val="000000"/>
                <w:sz w:val="22"/>
                <w:szCs w:val="22"/>
              </w:rPr>
            </w:pPr>
            <w:r w:rsidRPr="001F27D2">
              <w:rPr>
                <w:rFonts w:cs="Calibri"/>
                <w:color w:val="000000"/>
                <w:sz w:val="22"/>
                <w:szCs w:val="22"/>
              </w:rPr>
              <w:t>£142,748</w:t>
            </w:r>
          </w:p>
        </w:tc>
        <w:tc>
          <w:tcPr>
            <w:tcW w:w="1701" w:type="dxa"/>
            <w:shd w:val="clear" w:color="auto" w:fill="auto"/>
            <w:noWrap/>
            <w:vAlign w:val="center"/>
          </w:tcPr>
          <w:p w14:paraId="388FC6E4" w14:textId="77777777" w:rsidR="001F27D2" w:rsidRPr="001F27D2" w:rsidRDefault="001F27D2" w:rsidP="001F27D2">
            <w:pPr>
              <w:spacing w:before="0" w:after="0"/>
              <w:jc w:val="center"/>
              <w:rPr>
                <w:rFonts w:cs="Calibri"/>
                <w:bCs/>
                <w:color w:val="000000"/>
                <w:sz w:val="22"/>
                <w:szCs w:val="22"/>
              </w:rPr>
            </w:pPr>
            <w:r w:rsidRPr="001F27D2">
              <w:rPr>
                <w:rFonts w:cs="Calibri"/>
                <w:bCs/>
                <w:color w:val="000000"/>
                <w:sz w:val="22"/>
                <w:szCs w:val="22"/>
              </w:rPr>
              <w:t>£159,000</w:t>
            </w:r>
          </w:p>
        </w:tc>
        <w:tc>
          <w:tcPr>
            <w:tcW w:w="1843" w:type="dxa"/>
            <w:shd w:val="clear" w:color="auto" w:fill="auto"/>
            <w:noWrap/>
            <w:vAlign w:val="bottom"/>
          </w:tcPr>
          <w:p w14:paraId="7ECDE69A"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11.4</w:t>
            </w:r>
          </w:p>
        </w:tc>
      </w:tr>
      <w:tr w:rsidR="001F27D2" w:rsidRPr="001F27D2" w14:paraId="5885A998" w14:textId="77777777" w:rsidTr="001F27D2">
        <w:trPr>
          <w:trHeight w:val="300"/>
        </w:trPr>
        <w:tc>
          <w:tcPr>
            <w:tcW w:w="3499" w:type="dxa"/>
            <w:shd w:val="clear" w:color="auto" w:fill="auto"/>
            <w:noWrap/>
            <w:vAlign w:val="center"/>
          </w:tcPr>
          <w:p w14:paraId="7BFCBBCF" w14:textId="77777777" w:rsidR="001F27D2" w:rsidRPr="001F27D2" w:rsidRDefault="001F27D2" w:rsidP="001F27D2">
            <w:pPr>
              <w:spacing w:before="0" w:after="0"/>
              <w:rPr>
                <w:rFonts w:cs="Calibri"/>
                <w:sz w:val="22"/>
                <w:szCs w:val="22"/>
              </w:rPr>
            </w:pPr>
            <w:r w:rsidRPr="001F27D2">
              <w:rPr>
                <w:rFonts w:cs="Calibri"/>
                <w:color w:val="000000"/>
                <w:sz w:val="22"/>
                <w:szCs w:val="22"/>
              </w:rPr>
              <w:t>Northumberland</w:t>
            </w:r>
          </w:p>
        </w:tc>
        <w:tc>
          <w:tcPr>
            <w:tcW w:w="1559" w:type="dxa"/>
            <w:shd w:val="clear" w:color="auto" w:fill="auto"/>
            <w:noWrap/>
            <w:vAlign w:val="center"/>
          </w:tcPr>
          <w:p w14:paraId="29BE002B" w14:textId="77777777" w:rsidR="001F27D2" w:rsidRPr="001F27D2" w:rsidRDefault="001F27D2" w:rsidP="001F27D2">
            <w:pPr>
              <w:spacing w:before="0" w:after="0"/>
              <w:jc w:val="center"/>
              <w:rPr>
                <w:rFonts w:cs="Calibri"/>
                <w:bCs/>
                <w:color w:val="000000"/>
                <w:sz w:val="22"/>
                <w:szCs w:val="22"/>
                <w:lang w:eastAsia="en-GB"/>
              </w:rPr>
            </w:pPr>
            <w:r w:rsidRPr="001F27D2">
              <w:rPr>
                <w:rFonts w:cs="Calibri"/>
                <w:bCs/>
                <w:color w:val="000000"/>
                <w:sz w:val="22"/>
                <w:szCs w:val="22"/>
              </w:rPr>
              <w:t>£139,950</w:t>
            </w:r>
          </w:p>
        </w:tc>
        <w:tc>
          <w:tcPr>
            <w:tcW w:w="1701" w:type="dxa"/>
            <w:shd w:val="clear" w:color="auto" w:fill="auto"/>
            <w:noWrap/>
            <w:vAlign w:val="center"/>
          </w:tcPr>
          <w:p w14:paraId="791930C8" w14:textId="77777777" w:rsidR="001F27D2" w:rsidRPr="001F27D2" w:rsidRDefault="001F27D2" w:rsidP="001F27D2">
            <w:pPr>
              <w:spacing w:before="0" w:after="0"/>
              <w:jc w:val="center"/>
              <w:rPr>
                <w:rFonts w:cs="Calibri"/>
                <w:bCs/>
                <w:color w:val="000000"/>
                <w:sz w:val="22"/>
                <w:szCs w:val="22"/>
                <w:lang w:eastAsia="en-GB"/>
              </w:rPr>
            </w:pPr>
            <w:r w:rsidRPr="001F27D2">
              <w:rPr>
                <w:rFonts w:cs="Calibri"/>
                <w:bCs/>
                <w:color w:val="000000"/>
                <w:sz w:val="22"/>
                <w:szCs w:val="22"/>
              </w:rPr>
              <w:t>£154,950</w:t>
            </w:r>
          </w:p>
        </w:tc>
        <w:tc>
          <w:tcPr>
            <w:tcW w:w="1843" w:type="dxa"/>
            <w:shd w:val="clear" w:color="auto" w:fill="auto"/>
            <w:noWrap/>
            <w:vAlign w:val="bottom"/>
          </w:tcPr>
          <w:p w14:paraId="56716D94"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10.7</w:t>
            </w:r>
          </w:p>
        </w:tc>
      </w:tr>
      <w:tr w:rsidR="001F27D2" w:rsidRPr="001F27D2" w14:paraId="674CD546" w14:textId="77777777" w:rsidTr="001F27D2">
        <w:trPr>
          <w:trHeight w:val="300"/>
        </w:trPr>
        <w:tc>
          <w:tcPr>
            <w:tcW w:w="3499" w:type="dxa"/>
            <w:shd w:val="clear" w:color="auto" w:fill="auto"/>
            <w:noWrap/>
            <w:vAlign w:val="center"/>
          </w:tcPr>
          <w:p w14:paraId="1AC81C77" w14:textId="77777777" w:rsidR="001F27D2" w:rsidRPr="001F27D2" w:rsidRDefault="001F27D2" w:rsidP="001F27D2">
            <w:pPr>
              <w:spacing w:before="0" w:after="0"/>
              <w:rPr>
                <w:rFonts w:cs="Calibri"/>
                <w:sz w:val="22"/>
                <w:szCs w:val="22"/>
              </w:rPr>
            </w:pPr>
            <w:r w:rsidRPr="001F27D2">
              <w:rPr>
                <w:rFonts w:cs="Calibri"/>
                <w:color w:val="000000"/>
                <w:sz w:val="22"/>
                <w:szCs w:val="22"/>
              </w:rPr>
              <w:t>North West</w:t>
            </w:r>
          </w:p>
        </w:tc>
        <w:tc>
          <w:tcPr>
            <w:tcW w:w="1559" w:type="dxa"/>
            <w:shd w:val="clear" w:color="auto" w:fill="auto"/>
            <w:noWrap/>
            <w:vAlign w:val="center"/>
          </w:tcPr>
          <w:p w14:paraId="09F8B875" w14:textId="77777777" w:rsidR="001F27D2" w:rsidRPr="001F27D2" w:rsidRDefault="001F27D2" w:rsidP="001F27D2">
            <w:pPr>
              <w:spacing w:before="0" w:after="0"/>
              <w:jc w:val="center"/>
              <w:rPr>
                <w:rFonts w:cs="Calibri"/>
                <w:bCs/>
                <w:color w:val="000000"/>
                <w:sz w:val="22"/>
                <w:szCs w:val="22"/>
                <w:lang w:eastAsia="en-GB"/>
              </w:rPr>
            </w:pPr>
            <w:r w:rsidRPr="001F27D2">
              <w:rPr>
                <w:rFonts w:cs="Calibri"/>
                <w:bCs/>
                <w:color w:val="000000"/>
                <w:sz w:val="22"/>
                <w:szCs w:val="22"/>
              </w:rPr>
              <w:t>£134,750</w:t>
            </w:r>
          </w:p>
        </w:tc>
        <w:tc>
          <w:tcPr>
            <w:tcW w:w="1701" w:type="dxa"/>
            <w:shd w:val="clear" w:color="auto" w:fill="auto"/>
            <w:noWrap/>
            <w:vAlign w:val="center"/>
          </w:tcPr>
          <w:p w14:paraId="25C90EF6" w14:textId="77777777" w:rsidR="001F27D2" w:rsidRPr="001F27D2" w:rsidRDefault="001F27D2" w:rsidP="001F27D2">
            <w:pPr>
              <w:spacing w:before="0" w:after="0"/>
              <w:jc w:val="center"/>
              <w:rPr>
                <w:rFonts w:cs="Calibri"/>
                <w:bCs/>
                <w:color w:val="000000"/>
                <w:sz w:val="22"/>
                <w:szCs w:val="22"/>
                <w:lang w:eastAsia="en-GB"/>
              </w:rPr>
            </w:pPr>
            <w:r w:rsidRPr="001F27D2">
              <w:rPr>
                <w:rFonts w:cs="Calibri"/>
                <w:color w:val="000000"/>
                <w:sz w:val="22"/>
                <w:szCs w:val="22"/>
              </w:rPr>
              <w:t>£143,000</w:t>
            </w:r>
          </w:p>
        </w:tc>
        <w:tc>
          <w:tcPr>
            <w:tcW w:w="1843" w:type="dxa"/>
            <w:shd w:val="clear" w:color="auto" w:fill="auto"/>
            <w:noWrap/>
            <w:vAlign w:val="bottom"/>
          </w:tcPr>
          <w:p w14:paraId="2D4FBE86"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6.1</w:t>
            </w:r>
          </w:p>
        </w:tc>
      </w:tr>
      <w:tr w:rsidR="001F27D2" w:rsidRPr="001F27D2" w14:paraId="0BFF0427" w14:textId="77777777" w:rsidTr="001F27D2">
        <w:trPr>
          <w:trHeight w:val="300"/>
        </w:trPr>
        <w:tc>
          <w:tcPr>
            <w:tcW w:w="3499" w:type="dxa"/>
            <w:shd w:val="clear" w:color="auto" w:fill="auto"/>
            <w:noWrap/>
            <w:vAlign w:val="center"/>
          </w:tcPr>
          <w:p w14:paraId="099EB9EC" w14:textId="77777777" w:rsidR="001F27D2" w:rsidRPr="001F27D2" w:rsidRDefault="001F27D2" w:rsidP="001F27D2">
            <w:pPr>
              <w:spacing w:before="0" w:after="0"/>
              <w:rPr>
                <w:rFonts w:cs="Calibri"/>
                <w:sz w:val="22"/>
                <w:szCs w:val="22"/>
              </w:rPr>
            </w:pPr>
            <w:r w:rsidRPr="001F27D2">
              <w:rPr>
                <w:rFonts w:cs="Calibri"/>
                <w:color w:val="000000"/>
                <w:sz w:val="22"/>
                <w:szCs w:val="22"/>
              </w:rPr>
              <w:t>Carlisle</w:t>
            </w:r>
          </w:p>
        </w:tc>
        <w:tc>
          <w:tcPr>
            <w:tcW w:w="1559" w:type="dxa"/>
            <w:shd w:val="clear" w:color="auto" w:fill="auto"/>
            <w:noWrap/>
            <w:vAlign w:val="center"/>
          </w:tcPr>
          <w:p w14:paraId="294F3DE5" w14:textId="77777777" w:rsidR="001F27D2" w:rsidRPr="001F27D2" w:rsidRDefault="001F27D2" w:rsidP="001F27D2">
            <w:pPr>
              <w:spacing w:before="0" w:after="0"/>
              <w:jc w:val="center"/>
              <w:rPr>
                <w:rFonts w:cs="Calibri"/>
                <w:bCs/>
                <w:color w:val="000000"/>
                <w:sz w:val="22"/>
                <w:szCs w:val="22"/>
                <w:lang w:eastAsia="en-GB"/>
              </w:rPr>
            </w:pPr>
            <w:r w:rsidRPr="001F27D2">
              <w:rPr>
                <w:rFonts w:cs="Calibri"/>
                <w:bCs/>
                <w:color w:val="000000"/>
                <w:sz w:val="22"/>
                <w:szCs w:val="22"/>
              </w:rPr>
              <w:t>£125,000</w:t>
            </w:r>
          </w:p>
        </w:tc>
        <w:tc>
          <w:tcPr>
            <w:tcW w:w="1701" w:type="dxa"/>
            <w:shd w:val="clear" w:color="auto" w:fill="auto"/>
            <w:noWrap/>
            <w:vAlign w:val="center"/>
          </w:tcPr>
          <w:p w14:paraId="600645A4" w14:textId="77777777" w:rsidR="001F27D2" w:rsidRPr="001F27D2" w:rsidRDefault="001F27D2" w:rsidP="001F27D2">
            <w:pPr>
              <w:spacing w:before="0" w:after="0"/>
              <w:jc w:val="center"/>
              <w:rPr>
                <w:rFonts w:cs="Calibri"/>
                <w:bCs/>
                <w:color w:val="000000"/>
                <w:sz w:val="22"/>
                <w:szCs w:val="22"/>
                <w:lang w:eastAsia="en-GB"/>
              </w:rPr>
            </w:pPr>
            <w:r w:rsidRPr="001F27D2">
              <w:rPr>
                <w:rFonts w:cs="Calibri"/>
                <w:bCs/>
                <w:color w:val="000000"/>
                <w:sz w:val="22"/>
                <w:szCs w:val="22"/>
              </w:rPr>
              <w:t>£138,000</w:t>
            </w:r>
          </w:p>
        </w:tc>
        <w:tc>
          <w:tcPr>
            <w:tcW w:w="1843" w:type="dxa"/>
            <w:shd w:val="clear" w:color="auto" w:fill="auto"/>
            <w:noWrap/>
            <w:vAlign w:val="bottom"/>
          </w:tcPr>
          <w:p w14:paraId="6BAAA168"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10.4</w:t>
            </w:r>
          </w:p>
        </w:tc>
      </w:tr>
      <w:tr w:rsidR="001F27D2" w:rsidRPr="001F27D2" w14:paraId="3542B032" w14:textId="77777777" w:rsidTr="001F27D2">
        <w:trPr>
          <w:trHeight w:val="300"/>
        </w:trPr>
        <w:tc>
          <w:tcPr>
            <w:tcW w:w="3499" w:type="dxa"/>
            <w:shd w:val="clear" w:color="auto" w:fill="auto"/>
            <w:noWrap/>
            <w:vAlign w:val="center"/>
          </w:tcPr>
          <w:p w14:paraId="514EF8E6" w14:textId="77777777" w:rsidR="001F27D2" w:rsidRPr="001F27D2" w:rsidRDefault="001F27D2" w:rsidP="001F27D2">
            <w:pPr>
              <w:spacing w:before="0" w:after="0"/>
              <w:rPr>
                <w:rFonts w:cs="Calibri"/>
                <w:sz w:val="22"/>
                <w:szCs w:val="22"/>
              </w:rPr>
            </w:pPr>
            <w:r w:rsidRPr="001F27D2">
              <w:rPr>
                <w:rFonts w:cs="Calibri"/>
                <w:color w:val="000000"/>
                <w:sz w:val="22"/>
                <w:szCs w:val="22"/>
              </w:rPr>
              <w:t>Copeland</w:t>
            </w:r>
          </w:p>
        </w:tc>
        <w:tc>
          <w:tcPr>
            <w:tcW w:w="1559" w:type="dxa"/>
            <w:shd w:val="clear" w:color="auto" w:fill="auto"/>
            <w:noWrap/>
            <w:vAlign w:val="center"/>
          </w:tcPr>
          <w:p w14:paraId="5DAF7A40" w14:textId="77777777" w:rsidR="001F27D2" w:rsidRPr="001F27D2" w:rsidRDefault="001F27D2" w:rsidP="001F27D2">
            <w:pPr>
              <w:spacing w:before="0" w:after="0"/>
              <w:jc w:val="center"/>
              <w:rPr>
                <w:rFonts w:cs="Calibri"/>
                <w:bCs/>
                <w:color w:val="000000"/>
                <w:sz w:val="22"/>
                <w:szCs w:val="22"/>
                <w:lang w:eastAsia="en-GB"/>
              </w:rPr>
            </w:pPr>
            <w:r w:rsidRPr="001F27D2">
              <w:rPr>
                <w:rFonts w:cs="Calibri"/>
                <w:bCs/>
                <w:color w:val="000000"/>
                <w:sz w:val="22"/>
                <w:szCs w:val="22"/>
              </w:rPr>
              <w:t>£110,000</w:t>
            </w:r>
          </w:p>
        </w:tc>
        <w:tc>
          <w:tcPr>
            <w:tcW w:w="1701" w:type="dxa"/>
            <w:shd w:val="clear" w:color="auto" w:fill="auto"/>
            <w:noWrap/>
            <w:vAlign w:val="center"/>
          </w:tcPr>
          <w:p w14:paraId="2FF1DC44" w14:textId="77777777" w:rsidR="001F27D2" w:rsidRPr="001F27D2" w:rsidRDefault="001F27D2" w:rsidP="001F27D2">
            <w:pPr>
              <w:spacing w:before="0" w:after="0"/>
              <w:jc w:val="center"/>
              <w:rPr>
                <w:rFonts w:cs="Calibri"/>
                <w:color w:val="000000"/>
                <w:sz w:val="22"/>
                <w:szCs w:val="22"/>
                <w:lang w:eastAsia="en-GB"/>
              </w:rPr>
            </w:pPr>
            <w:r w:rsidRPr="001F27D2">
              <w:rPr>
                <w:rFonts w:cs="Calibri"/>
                <w:color w:val="000000"/>
                <w:sz w:val="22"/>
                <w:szCs w:val="22"/>
              </w:rPr>
              <w:t>£125,000</w:t>
            </w:r>
          </w:p>
        </w:tc>
        <w:tc>
          <w:tcPr>
            <w:tcW w:w="1843" w:type="dxa"/>
            <w:shd w:val="clear" w:color="auto" w:fill="auto"/>
            <w:noWrap/>
            <w:vAlign w:val="bottom"/>
          </w:tcPr>
          <w:p w14:paraId="6C9BEF92"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13.6</w:t>
            </w:r>
          </w:p>
        </w:tc>
      </w:tr>
      <w:tr w:rsidR="001F27D2" w:rsidRPr="001F27D2" w14:paraId="29AD14D3" w14:textId="77777777" w:rsidTr="001F27D2">
        <w:trPr>
          <w:trHeight w:val="300"/>
        </w:trPr>
        <w:tc>
          <w:tcPr>
            <w:tcW w:w="3499" w:type="dxa"/>
            <w:shd w:val="clear" w:color="auto" w:fill="auto"/>
            <w:noWrap/>
            <w:vAlign w:val="center"/>
            <w:hideMark/>
          </w:tcPr>
          <w:p w14:paraId="5A6E4741" w14:textId="77777777" w:rsidR="001F27D2" w:rsidRPr="001F27D2" w:rsidRDefault="001F27D2" w:rsidP="001F27D2">
            <w:pPr>
              <w:spacing w:before="0" w:after="0"/>
              <w:rPr>
                <w:rFonts w:cs="Calibri"/>
                <w:sz w:val="22"/>
                <w:szCs w:val="22"/>
              </w:rPr>
            </w:pPr>
            <w:r w:rsidRPr="001F27D2">
              <w:rPr>
                <w:rFonts w:cs="Calibri"/>
                <w:color w:val="000000"/>
                <w:sz w:val="22"/>
                <w:szCs w:val="22"/>
              </w:rPr>
              <w:t>County Durham</w:t>
            </w:r>
          </w:p>
        </w:tc>
        <w:tc>
          <w:tcPr>
            <w:tcW w:w="1559" w:type="dxa"/>
            <w:shd w:val="clear" w:color="auto" w:fill="auto"/>
            <w:noWrap/>
            <w:vAlign w:val="center"/>
            <w:hideMark/>
          </w:tcPr>
          <w:p w14:paraId="53B06154" w14:textId="77777777" w:rsidR="001F27D2" w:rsidRPr="001F27D2" w:rsidRDefault="001F27D2" w:rsidP="001F27D2">
            <w:pPr>
              <w:spacing w:before="0" w:after="0"/>
              <w:jc w:val="center"/>
              <w:rPr>
                <w:rFonts w:cs="Calibri"/>
                <w:color w:val="000000"/>
                <w:sz w:val="22"/>
                <w:szCs w:val="22"/>
              </w:rPr>
            </w:pPr>
            <w:r w:rsidRPr="001F27D2">
              <w:rPr>
                <w:rFonts w:cs="Calibri"/>
                <w:bCs/>
                <w:color w:val="000000"/>
                <w:sz w:val="22"/>
                <w:szCs w:val="22"/>
              </w:rPr>
              <w:t>£108,995</w:t>
            </w:r>
          </w:p>
        </w:tc>
        <w:tc>
          <w:tcPr>
            <w:tcW w:w="1701" w:type="dxa"/>
            <w:shd w:val="clear" w:color="auto" w:fill="auto"/>
            <w:noWrap/>
            <w:vAlign w:val="center"/>
            <w:hideMark/>
          </w:tcPr>
          <w:p w14:paraId="3092AFC1" w14:textId="77777777" w:rsidR="001F27D2" w:rsidRPr="001F27D2" w:rsidRDefault="001F27D2" w:rsidP="001F27D2">
            <w:pPr>
              <w:spacing w:before="0" w:after="0"/>
              <w:jc w:val="center"/>
              <w:rPr>
                <w:rFonts w:cs="Calibri"/>
                <w:color w:val="000000"/>
                <w:sz w:val="22"/>
                <w:szCs w:val="22"/>
              </w:rPr>
            </w:pPr>
            <w:r w:rsidRPr="001F27D2">
              <w:rPr>
                <w:rFonts w:cs="Calibri"/>
                <w:bCs/>
                <w:color w:val="000000"/>
                <w:sz w:val="22"/>
                <w:szCs w:val="22"/>
              </w:rPr>
              <w:t>£105,000</w:t>
            </w:r>
          </w:p>
        </w:tc>
        <w:tc>
          <w:tcPr>
            <w:tcW w:w="1843" w:type="dxa"/>
            <w:shd w:val="clear" w:color="auto" w:fill="auto"/>
            <w:noWrap/>
            <w:vAlign w:val="bottom"/>
            <w:hideMark/>
          </w:tcPr>
          <w:p w14:paraId="066D4999"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-3.7</w:t>
            </w:r>
          </w:p>
        </w:tc>
      </w:tr>
    </w:tbl>
    <w:p w14:paraId="00CE5ECE" w14:textId="56E054EE" w:rsidR="001F27D2" w:rsidRDefault="001F27D2" w:rsidP="001F27D2">
      <w:pPr>
        <w:pStyle w:val="Reporttext"/>
        <w:numPr>
          <w:ilvl w:val="0"/>
          <w:numId w:val="0"/>
        </w:numPr>
        <w:ind w:left="709"/>
        <w:rPr>
          <w:sz w:val="20"/>
          <w:szCs w:val="20"/>
        </w:rPr>
      </w:pPr>
      <w:r w:rsidRPr="002B2A7F">
        <w:rPr>
          <w:sz w:val="20"/>
          <w:szCs w:val="20"/>
        </w:rPr>
        <w:t>Source: Data produced by Land Registry © Crown copyright</w:t>
      </w:r>
      <w:r>
        <w:rPr>
          <w:sz w:val="20"/>
          <w:szCs w:val="20"/>
        </w:rPr>
        <w:t xml:space="preserve"> and database right</w:t>
      </w:r>
      <w:r w:rsidRPr="002B2A7F">
        <w:rPr>
          <w:sz w:val="20"/>
          <w:szCs w:val="20"/>
        </w:rPr>
        <w:t xml:space="preserve"> 2018</w:t>
      </w:r>
      <w:r>
        <w:rPr>
          <w:sz w:val="20"/>
          <w:szCs w:val="20"/>
        </w:rPr>
        <w:t>.  This data is licensed under the Open Government Licence v3.0</w:t>
      </w:r>
    </w:p>
    <w:p w14:paraId="0A9F495D" w14:textId="77777777" w:rsidR="001F27D2" w:rsidRPr="002B2A7F" w:rsidRDefault="001F27D2" w:rsidP="001F27D2">
      <w:pPr>
        <w:pStyle w:val="Reporttext"/>
        <w:numPr>
          <w:ilvl w:val="0"/>
          <w:numId w:val="0"/>
        </w:numPr>
        <w:ind w:left="709"/>
      </w:pPr>
    </w:p>
    <w:p w14:paraId="0817A356" w14:textId="025F0DE4" w:rsidR="001F27D2" w:rsidRDefault="001F27D2" w:rsidP="001F27D2">
      <w:pPr>
        <w:pStyle w:val="Reporttext"/>
      </w:pPr>
      <w:bookmarkStart w:id="228" w:name="_Toc430084699"/>
      <w:bookmarkStart w:id="229" w:name="_Toc304624649"/>
      <w:r w:rsidRPr="009D3F02">
        <w:t xml:space="preserve">The distribution of median house prices during 2017 within Eden is illustrated in Map 3.1. These indicate relatively higher prices in wards to the </w:t>
      </w:r>
      <w:r w:rsidR="00674CE5">
        <w:t>w</w:t>
      </w:r>
      <w:r w:rsidRPr="009D3F02">
        <w:t>est of the M6, with the highest median price in Ullswater ward (£377,741) and Greystoke (£307,652) and lowest prices in the Penrith Urban wards of Penrith Pategill (£136,458) and Penrith West (£145,263)</w:t>
      </w:r>
      <w:r>
        <w:t>.</w:t>
      </w:r>
    </w:p>
    <w:p w14:paraId="63E881BF" w14:textId="77777777" w:rsidR="001F27D2" w:rsidRPr="009D3F02" w:rsidRDefault="001F27D2" w:rsidP="001F27D2">
      <w:pPr>
        <w:pStyle w:val="Reporttext"/>
        <w:numPr>
          <w:ilvl w:val="0"/>
          <w:numId w:val="0"/>
        </w:numPr>
        <w:ind w:left="709"/>
      </w:pPr>
    </w:p>
    <w:p w14:paraId="7AC10B66" w14:textId="77777777" w:rsidR="001F27D2" w:rsidRDefault="001F27D2">
      <w:pPr>
        <w:spacing w:before="0" w:after="0"/>
        <w:jc w:val="left"/>
        <w:rPr>
          <w:rFonts w:asciiTheme="minorHAnsi" w:hAnsiTheme="minorHAnsi" w:cs="Arial"/>
          <w:b/>
          <w:color w:val="009999"/>
          <w:sz w:val="22"/>
        </w:rPr>
      </w:pPr>
      <w:bookmarkStart w:id="230" w:name="_Toc520496187"/>
      <w:bookmarkStart w:id="231" w:name="_Toc524935694"/>
      <w:r>
        <w:rPr>
          <w:rFonts w:asciiTheme="minorHAnsi" w:hAnsiTheme="minorHAnsi"/>
        </w:rPr>
        <w:br w:type="page"/>
      </w:r>
    </w:p>
    <w:p w14:paraId="2A338DCE" w14:textId="69C66296" w:rsidR="001F27D2" w:rsidRPr="002B2A7F" w:rsidRDefault="001F27D2" w:rsidP="001F27D2">
      <w:pPr>
        <w:pStyle w:val="Mapheading0"/>
        <w:rPr>
          <w:rFonts w:asciiTheme="minorHAnsi" w:hAnsiTheme="minorHAnsi"/>
        </w:rPr>
      </w:pPr>
      <w:bookmarkStart w:id="232" w:name="_Toc532812462"/>
      <w:r w:rsidRPr="002B2A7F">
        <w:rPr>
          <w:rFonts w:asciiTheme="minorHAnsi" w:hAnsiTheme="minorHAnsi"/>
        </w:rPr>
        <w:lastRenderedPageBreak/>
        <w:t>Map 3.1</w:t>
      </w:r>
      <w:r w:rsidRPr="002B2A7F">
        <w:rPr>
          <w:rFonts w:asciiTheme="minorHAnsi" w:hAnsiTheme="minorHAnsi"/>
        </w:rPr>
        <w:tab/>
        <w:t xml:space="preserve">Median house prices 2017 by </w:t>
      </w:r>
      <w:r w:rsidRPr="001D725C">
        <w:rPr>
          <w:rFonts w:asciiTheme="minorHAnsi" w:hAnsiTheme="minorHAnsi"/>
        </w:rPr>
        <w:t>ward</w:t>
      </w:r>
      <w:bookmarkEnd w:id="230"/>
      <w:bookmarkEnd w:id="231"/>
      <w:bookmarkEnd w:id="232"/>
    </w:p>
    <w:p w14:paraId="2EB39D80" w14:textId="10DF6DA8" w:rsidR="001F27D2" w:rsidRDefault="001D725C" w:rsidP="001F27D2">
      <w:pPr>
        <w:pStyle w:val="Reporttext"/>
        <w:numPr>
          <w:ilvl w:val="0"/>
          <w:numId w:val="0"/>
        </w:numPr>
        <w:rPr>
          <w:sz w:val="20"/>
          <w:szCs w:val="20"/>
        </w:rPr>
      </w:pPr>
      <w:r>
        <w:rPr>
          <w:noProof/>
          <w:lang w:eastAsia="en-GB"/>
        </w:rPr>
        <w:drawing>
          <wp:inline distT="0" distB="0" distL="0" distR="0" wp14:anchorId="5FAFD0FA" wp14:editId="3901E354">
            <wp:extent cx="5835650" cy="480192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en_hp.png"/>
                    <pic:cNvPicPr/>
                  </pic:nvPicPr>
                  <pic:blipFill rotWithShape="1">
                    <a:blip r:embed="rId22">
                      <a:extLst>
                        <a:ext uri="{28A0092B-C50C-407E-A947-70E740481C1C}">
                          <a14:useLocalDpi xmlns:a14="http://schemas.microsoft.com/office/drawing/2010/main" val="0"/>
                        </a:ext>
                      </a:extLst>
                    </a:blip>
                    <a:srcRect l="3303" t="4673" r="19003" b="4856"/>
                    <a:stretch/>
                  </pic:blipFill>
                  <pic:spPr bwMode="auto">
                    <a:xfrm>
                      <a:off x="0" y="0"/>
                      <a:ext cx="5835650" cy="4801921"/>
                    </a:xfrm>
                    <a:prstGeom prst="rect">
                      <a:avLst/>
                    </a:prstGeom>
                    <a:ln>
                      <a:noFill/>
                    </a:ln>
                    <a:extLst>
                      <a:ext uri="{53640926-AAD7-44D8-BBD7-CCE9431645EC}">
                        <a14:shadowObscured xmlns:a14="http://schemas.microsoft.com/office/drawing/2010/main"/>
                      </a:ext>
                    </a:extLst>
                  </pic:spPr>
                </pic:pic>
              </a:graphicData>
            </a:graphic>
          </wp:inline>
        </w:drawing>
      </w:r>
      <w:r w:rsidR="001F27D2" w:rsidRPr="002B2A7F">
        <w:rPr>
          <w:sz w:val="20"/>
          <w:szCs w:val="20"/>
        </w:rPr>
        <w:t xml:space="preserve">Source: </w:t>
      </w:r>
      <w:r w:rsidR="000D4745">
        <w:rPr>
          <w:sz w:val="20"/>
          <w:szCs w:val="20"/>
        </w:rPr>
        <w:t>Contains HM</w:t>
      </w:r>
      <w:r w:rsidR="001F27D2" w:rsidRPr="002B2A7F">
        <w:rPr>
          <w:sz w:val="20"/>
          <w:szCs w:val="20"/>
        </w:rPr>
        <w:t xml:space="preserve"> Land Registry </w:t>
      </w:r>
      <w:r w:rsidR="000D4745">
        <w:rPr>
          <w:sz w:val="20"/>
          <w:szCs w:val="20"/>
        </w:rPr>
        <w:t xml:space="preserve">data </w:t>
      </w:r>
      <w:r w:rsidR="001F27D2" w:rsidRPr="002B2A7F">
        <w:rPr>
          <w:sz w:val="20"/>
          <w:szCs w:val="20"/>
        </w:rPr>
        <w:t>© Crown copyright</w:t>
      </w:r>
      <w:r w:rsidR="001F27D2">
        <w:rPr>
          <w:sz w:val="20"/>
          <w:szCs w:val="20"/>
        </w:rPr>
        <w:t xml:space="preserve"> and database right</w:t>
      </w:r>
      <w:r w:rsidR="001F27D2" w:rsidRPr="002B2A7F">
        <w:rPr>
          <w:sz w:val="20"/>
          <w:szCs w:val="20"/>
        </w:rPr>
        <w:t xml:space="preserve"> 2018</w:t>
      </w:r>
      <w:r w:rsidR="001F27D2">
        <w:rPr>
          <w:sz w:val="20"/>
          <w:szCs w:val="20"/>
        </w:rPr>
        <w:t>.  This data is licensed under the Open Government Licence v3.0</w:t>
      </w:r>
    </w:p>
    <w:p w14:paraId="67754063" w14:textId="360F0A8B" w:rsidR="001F27D2" w:rsidRDefault="001F27D2" w:rsidP="001F27D2">
      <w:pPr>
        <w:rPr>
          <w:rFonts w:asciiTheme="minorHAnsi" w:hAnsiTheme="minorHAnsi"/>
        </w:rPr>
      </w:pPr>
    </w:p>
    <w:p w14:paraId="4C288FFC" w14:textId="77777777" w:rsidR="000D4745" w:rsidRDefault="000D4745" w:rsidP="003106AD"/>
    <w:p w14:paraId="22BABB0A" w14:textId="77777777" w:rsidR="000D4745" w:rsidRDefault="000D4745" w:rsidP="000D4745">
      <w:pPr>
        <w:pStyle w:val="Mapheading0"/>
        <w:rPr>
          <w:rFonts w:asciiTheme="minorHAnsi" w:hAnsiTheme="minorHAnsi"/>
        </w:rPr>
        <w:sectPr w:rsidR="000D4745" w:rsidSect="002B41F6">
          <w:headerReference w:type="default" r:id="rId23"/>
          <w:footerReference w:type="default" r:id="rId24"/>
          <w:pgSz w:w="11906" w:h="16838"/>
          <w:pgMar w:top="1440" w:right="1276" w:bottom="1134" w:left="1440" w:header="708" w:footer="708" w:gutter="0"/>
          <w:cols w:space="708"/>
          <w:docGrid w:linePitch="360"/>
        </w:sectPr>
      </w:pPr>
    </w:p>
    <w:p w14:paraId="6065182A" w14:textId="14C69E7C" w:rsidR="000D4745" w:rsidRPr="002B2A7F" w:rsidRDefault="000D4745" w:rsidP="000D4745">
      <w:pPr>
        <w:pStyle w:val="Mapheading0"/>
        <w:rPr>
          <w:rFonts w:asciiTheme="minorHAnsi" w:hAnsiTheme="minorHAnsi"/>
        </w:rPr>
      </w:pPr>
      <w:bookmarkStart w:id="233" w:name="_Toc532812463"/>
      <w:r w:rsidRPr="002B2A7F">
        <w:rPr>
          <w:rFonts w:asciiTheme="minorHAnsi" w:hAnsiTheme="minorHAnsi"/>
        </w:rPr>
        <w:lastRenderedPageBreak/>
        <w:t>Map 3.</w:t>
      </w:r>
      <w:r>
        <w:rPr>
          <w:rFonts w:asciiTheme="minorHAnsi" w:hAnsiTheme="minorHAnsi"/>
        </w:rPr>
        <w:t>2</w:t>
      </w:r>
      <w:r w:rsidRPr="002B2A7F">
        <w:rPr>
          <w:rFonts w:asciiTheme="minorHAnsi" w:hAnsiTheme="minorHAnsi"/>
        </w:rPr>
        <w:tab/>
        <w:t xml:space="preserve">Median </w:t>
      </w:r>
      <w:r>
        <w:rPr>
          <w:rFonts w:asciiTheme="minorHAnsi" w:hAnsiTheme="minorHAnsi"/>
        </w:rPr>
        <w:t>rents</w:t>
      </w:r>
      <w:r w:rsidRPr="002B2A7F">
        <w:rPr>
          <w:rFonts w:asciiTheme="minorHAnsi" w:hAnsiTheme="minorHAnsi"/>
        </w:rPr>
        <w:t xml:space="preserve"> 2017 by </w:t>
      </w:r>
      <w:r w:rsidRPr="001D725C">
        <w:rPr>
          <w:rFonts w:asciiTheme="minorHAnsi" w:hAnsiTheme="minorHAnsi"/>
        </w:rPr>
        <w:t>ward</w:t>
      </w:r>
      <w:bookmarkEnd w:id="233"/>
    </w:p>
    <w:p w14:paraId="7A1450B5" w14:textId="5D07198E" w:rsidR="000D4745" w:rsidRDefault="000D4745" w:rsidP="001F27D2">
      <w:pPr>
        <w:rPr>
          <w:rFonts w:asciiTheme="minorHAnsi" w:hAnsiTheme="minorHAnsi"/>
        </w:rPr>
      </w:pPr>
    </w:p>
    <w:p w14:paraId="746C31ED" w14:textId="457FBFD3" w:rsidR="000D4745" w:rsidRPr="002B2A7F" w:rsidRDefault="000D4745" w:rsidP="001F27D2">
      <w:pPr>
        <w:rPr>
          <w:rFonts w:asciiTheme="minorHAnsi" w:hAnsiTheme="minorHAnsi"/>
        </w:rPr>
      </w:pPr>
      <w:r>
        <w:rPr>
          <w:noProof/>
          <w:lang w:eastAsia="en-GB"/>
        </w:rPr>
        <w:drawing>
          <wp:inline distT="0" distB="0" distL="0" distR="0" wp14:anchorId="50EEDE90" wp14:editId="65F07230">
            <wp:extent cx="5835650" cy="48305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den_rent.png"/>
                    <pic:cNvPicPr/>
                  </pic:nvPicPr>
                  <pic:blipFill rotWithShape="1">
                    <a:blip r:embed="rId25">
                      <a:extLst>
                        <a:ext uri="{28A0092B-C50C-407E-A947-70E740481C1C}">
                          <a14:useLocalDpi xmlns:a14="http://schemas.microsoft.com/office/drawing/2010/main" val="0"/>
                        </a:ext>
                      </a:extLst>
                    </a:blip>
                    <a:srcRect l="4494" t="4412" r="18269" b="5114"/>
                    <a:stretch/>
                  </pic:blipFill>
                  <pic:spPr bwMode="auto">
                    <a:xfrm>
                      <a:off x="0" y="0"/>
                      <a:ext cx="5835650" cy="4830559"/>
                    </a:xfrm>
                    <a:prstGeom prst="rect">
                      <a:avLst/>
                    </a:prstGeom>
                    <a:ln>
                      <a:noFill/>
                    </a:ln>
                    <a:extLst>
                      <a:ext uri="{53640926-AAD7-44D8-BBD7-CCE9431645EC}">
                        <a14:shadowObscured xmlns:a14="http://schemas.microsoft.com/office/drawing/2010/main"/>
                      </a:ext>
                    </a:extLst>
                  </pic:spPr>
                </pic:pic>
              </a:graphicData>
            </a:graphic>
          </wp:inline>
        </w:drawing>
      </w:r>
    </w:p>
    <w:p w14:paraId="1A33C0A2" w14:textId="33EA7975" w:rsidR="000D4745" w:rsidRDefault="000D4745" w:rsidP="000D4745">
      <w:pPr>
        <w:rPr>
          <w:sz w:val="20"/>
          <w:szCs w:val="20"/>
        </w:rPr>
      </w:pPr>
      <w:bookmarkStart w:id="234" w:name="_Toc428528473"/>
      <w:bookmarkStart w:id="235" w:name="_Toc430084566"/>
      <w:bookmarkStart w:id="236" w:name="_Toc430782020"/>
      <w:bookmarkStart w:id="237" w:name="_Toc395193547"/>
      <w:bookmarkStart w:id="238" w:name="_Toc524935574"/>
      <w:bookmarkStart w:id="239" w:name="_Toc531122866"/>
      <w:bookmarkEnd w:id="228"/>
      <w:bookmarkEnd w:id="229"/>
      <w:r w:rsidRPr="002B2A7F">
        <w:rPr>
          <w:sz w:val="20"/>
          <w:szCs w:val="20"/>
        </w:rPr>
        <w:t xml:space="preserve">Source: © </w:t>
      </w:r>
      <w:r>
        <w:rPr>
          <w:sz w:val="20"/>
          <w:szCs w:val="20"/>
        </w:rPr>
        <w:t>Zoopla limited. All rights reserved</w:t>
      </w:r>
    </w:p>
    <w:p w14:paraId="45425DF0" w14:textId="77777777" w:rsidR="000D4745" w:rsidRPr="000D4745" w:rsidRDefault="000D4745" w:rsidP="000D4745">
      <w:pPr>
        <w:rPr>
          <w:sz w:val="20"/>
          <w:szCs w:val="20"/>
        </w:rPr>
      </w:pPr>
    </w:p>
    <w:p w14:paraId="1833FFEB" w14:textId="312995D4" w:rsidR="001F27D2" w:rsidRPr="002B2A7F" w:rsidRDefault="001F27D2" w:rsidP="001F27D2">
      <w:pPr>
        <w:pStyle w:val="Heading2"/>
        <w:rPr>
          <w:rFonts w:asciiTheme="minorHAnsi" w:hAnsiTheme="minorHAnsi"/>
        </w:rPr>
      </w:pPr>
      <w:bookmarkStart w:id="240" w:name="_Toc532812398"/>
      <w:r w:rsidRPr="002B2A7F">
        <w:rPr>
          <w:rFonts w:asciiTheme="minorHAnsi" w:hAnsiTheme="minorHAnsi"/>
        </w:rPr>
        <w:t>Relative affordability</w:t>
      </w:r>
      <w:bookmarkEnd w:id="234"/>
      <w:bookmarkEnd w:id="235"/>
      <w:bookmarkEnd w:id="236"/>
      <w:bookmarkEnd w:id="237"/>
      <w:bookmarkEnd w:id="238"/>
      <w:bookmarkEnd w:id="239"/>
      <w:bookmarkEnd w:id="240"/>
    </w:p>
    <w:p w14:paraId="1DED87B5" w14:textId="471C1D81" w:rsidR="001F27D2" w:rsidRPr="002B2A7F" w:rsidRDefault="001F27D2" w:rsidP="001F27D2">
      <w:pPr>
        <w:pStyle w:val="Reporttext"/>
      </w:pPr>
      <w:r w:rsidRPr="002B2A7F">
        <w:t>The relative affordability of open market dwellings in Eden District is compared to the other local authorities in the region in Tables 3.</w:t>
      </w:r>
      <w:r w:rsidR="00326815">
        <w:t>2</w:t>
      </w:r>
      <w:r w:rsidRPr="002B2A7F">
        <w:t xml:space="preserve"> and 3.</w:t>
      </w:r>
      <w:r w:rsidR="00326815">
        <w:t>3</w:t>
      </w:r>
      <w:r w:rsidRPr="002B2A7F">
        <w:t>. These tables are produced by the MHCLG, based on a ratio of earnings to house prices using Land Registry Price Paid and ONS Annual Survey of Hours and Earnings data.</w:t>
      </w:r>
    </w:p>
    <w:p w14:paraId="3C7BDA1C" w14:textId="787FB6A9" w:rsidR="001F27D2" w:rsidRPr="002B2A7F" w:rsidRDefault="001F27D2" w:rsidP="001F27D2">
      <w:pPr>
        <w:pStyle w:val="Reporttext"/>
      </w:pPr>
      <w:r w:rsidRPr="009C2718">
        <w:t xml:space="preserve">In terms of relative affordability Eden District is the second least affordable authority </w:t>
      </w:r>
      <w:r w:rsidR="00A93972" w:rsidRPr="009C2718">
        <w:t>in Cumbria</w:t>
      </w:r>
      <w:r w:rsidRPr="009C2718">
        <w:t>, with a lower quartile house price to income ratio in 2017 of 7.21, i.e</w:t>
      </w:r>
      <w:r w:rsidR="00063CEB" w:rsidRPr="009C2718">
        <w:t>.</w:t>
      </w:r>
      <w:r w:rsidRPr="009C2718">
        <w:t xml:space="preserve"> lower</w:t>
      </w:r>
      <w:r w:rsidRPr="002B2A7F">
        <w:t xml:space="preserve"> quartile house prices are 7.21 </w:t>
      </w:r>
      <w:r w:rsidR="009C01A2">
        <w:t xml:space="preserve">times </w:t>
      </w:r>
      <w:r w:rsidRPr="002B2A7F">
        <w:t xml:space="preserve">higher than the lower quartile gross earnings (Table 3.2). </w:t>
      </w:r>
      <w:bookmarkStart w:id="241" w:name="OLE_LINK2"/>
      <w:r w:rsidRPr="002B2A7F">
        <w:t>Comparing lower quartile house prices with earnings in 2017, Eden has consistently been higher than the regional average and in 2017 was similar to England as a whole.</w:t>
      </w:r>
      <w:bookmarkEnd w:id="241"/>
    </w:p>
    <w:p w14:paraId="766B3637" w14:textId="4C3CC254" w:rsidR="001F27D2" w:rsidRDefault="001F27D2" w:rsidP="001F27D2">
      <w:pPr>
        <w:pStyle w:val="Reporttext"/>
        <w:numPr>
          <w:ilvl w:val="0"/>
          <w:numId w:val="0"/>
        </w:numPr>
        <w:ind w:left="709"/>
      </w:pPr>
    </w:p>
    <w:p w14:paraId="51F7F9A4" w14:textId="3130DC59" w:rsidR="003106AD" w:rsidRDefault="003106AD">
      <w:pPr>
        <w:spacing w:before="0" w:after="0"/>
        <w:jc w:val="left"/>
        <w:rPr>
          <w:rFonts w:asciiTheme="minorHAnsi" w:hAnsiTheme="minorHAnsi" w:cs="Calibri"/>
        </w:rPr>
      </w:pPr>
      <w:r>
        <w:br w:type="page"/>
      </w:r>
    </w:p>
    <w:tbl>
      <w:tblPr>
        <w:tblW w:w="8602" w:type="dxa"/>
        <w:tblInd w:w="720"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4066"/>
        <w:gridCol w:w="1559"/>
        <w:gridCol w:w="1276"/>
        <w:gridCol w:w="1701"/>
      </w:tblGrid>
      <w:tr w:rsidR="001F27D2" w:rsidRPr="002B2A7F" w14:paraId="03726FC1" w14:textId="77777777" w:rsidTr="001F27D2">
        <w:trPr>
          <w:trHeight w:val="381"/>
        </w:trPr>
        <w:tc>
          <w:tcPr>
            <w:tcW w:w="8602" w:type="dxa"/>
            <w:gridSpan w:val="4"/>
            <w:shd w:val="clear" w:color="auto" w:fill="009999"/>
            <w:vAlign w:val="bottom"/>
            <w:hideMark/>
          </w:tcPr>
          <w:p w14:paraId="0A0BD837" w14:textId="77777777" w:rsidR="001F27D2" w:rsidRPr="002B2A7F" w:rsidRDefault="001F27D2" w:rsidP="001F27D2">
            <w:pPr>
              <w:pStyle w:val="Tableheading1"/>
            </w:pPr>
            <w:bookmarkStart w:id="242" w:name="_Toc531122929"/>
            <w:bookmarkStart w:id="243" w:name="_Toc532812466"/>
            <w:r w:rsidRPr="002B2A7F">
              <w:lastRenderedPageBreak/>
              <w:t>Table 3.2</w:t>
            </w:r>
            <w:r w:rsidRPr="002B2A7F">
              <w:tab/>
              <w:t>Relative affordability of LQ prices by District (residence base)</w:t>
            </w:r>
            <w:bookmarkEnd w:id="242"/>
            <w:bookmarkEnd w:id="243"/>
          </w:p>
        </w:tc>
      </w:tr>
      <w:tr w:rsidR="001F27D2" w:rsidRPr="001F27D2" w14:paraId="37CD7676" w14:textId="77777777" w:rsidTr="001F27D2">
        <w:trPr>
          <w:trHeight w:val="320"/>
        </w:trPr>
        <w:tc>
          <w:tcPr>
            <w:tcW w:w="4066" w:type="dxa"/>
            <w:shd w:val="clear" w:color="auto" w:fill="009999"/>
            <w:vAlign w:val="bottom"/>
            <w:hideMark/>
          </w:tcPr>
          <w:p w14:paraId="5835F450" w14:textId="77777777" w:rsidR="001F27D2" w:rsidRPr="001F27D2" w:rsidRDefault="001F27D2" w:rsidP="001F27D2">
            <w:pPr>
              <w:spacing w:before="0" w:after="0"/>
              <w:rPr>
                <w:rFonts w:cs="Calibri"/>
                <w:b/>
                <w:bCs/>
                <w:color w:val="FFFFFF"/>
                <w:sz w:val="22"/>
                <w:szCs w:val="22"/>
              </w:rPr>
            </w:pPr>
            <w:r w:rsidRPr="001F27D2">
              <w:rPr>
                <w:rFonts w:cs="Calibri"/>
                <w:b/>
                <w:bCs/>
                <w:color w:val="FFFFFF"/>
                <w:sz w:val="22"/>
                <w:szCs w:val="22"/>
              </w:rPr>
              <w:t>District</w:t>
            </w:r>
          </w:p>
        </w:tc>
        <w:tc>
          <w:tcPr>
            <w:tcW w:w="1559" w:type="dxa"/>
            <w:shd w:val="clear" w:color="auto" w:fill="009999"/>
            <w:vAlign w:val="bottom"/>
            <w:hideMark/>
          </w:tcPr>
          <w:p w14:paraId="28EA798E" w14:textId="77777777" w:rsidR="001F27D2" w:rsidRPr="001F27D2" w:rsidRDefault="001F27D2" w:rsidP="001F27D2">
            <w:pPr>
              <w:spacing w:before="0" w:after="0"/>
              <w:jc w:val="center"/>
              <w:rPr>
                <w:rFonts w:cs="Calibri"/>
                <w:b/>
                <w:bCs/>
                <w:color w:val="FFFFFF"/>
                <w:sz w:val="22"/>
                <w:szCs w:val="22"/>
              </w:rPr>
            </w:pPr>
            <w:r w:rsidRPr="001F27D2">
              <w:rPr>
                <w:rFonts w:cs="Calibri"/>
                <w:b/>
                <w:bCs/>
                <w:color w:val="FFFFFF"/>
                <w:sz w:val="22"/>
                <w:szCs w:val="22"/>
              </w:rPr>
              <w:t>2015</w:t>
            </w:r>
          </w:p>
        </w:tc>
        <w:tc>
          <w:tcPr>
            <w:tcW w:w="1276" w:type="dxa"/>
            <w:shd w:val="clear" w:color="auto" w:fill="009999"/>
            <w:vAlign w:val="bottom"/>
            <w:hideMark/>
          </w:tcPr>
          <w:p w14:paraId="464603EB" w14:textId="77777777" w:rsidR="001F27D2" w:rsidRPr="001F27D2" w:rsidRDefault="001F27D2" w:rsidP="001F27D2">
            <w:pPr>
              <w:spacing w:before="0" w:after="0"/>
              <w:jc w:val="center"/>
              <w:rPr>
                <w:rFonts w:cs="Calibri"/>
                <w:b/>
                <w:bCs/>
                <w:color w:val="FFFFFF"/>
                <w:sz w:val="22"/>
                <w:szCs w:val="22"/>
              </w:rPr>
            </w:pPr>
            <w:r w:rsidRPr="001F27D2">
              <w:rPr>
                <w:rFonts w:cs="Calibri"/>
                <w:b/>
                <w:bCs/>
                <w:color w:val="FFFFFF"/>
                <w:sz w:val="22"/>
                <w:szCs w:val="22"/>
              </w:rPr>
              <w:t>2016</w:t>
            </w:r>
          </w:p>
        </w:tc>
        <w:tc>
          <w:tcPr>
            <w:tcW w:w="1701" w:type="dxa"/>
            <w:shd w:val="clear" w:color="auto" w:fill="009999"/>
            <w:vAlign w:val="bottom"/>
            <w:hideMark/>
          </w:tcPr>
          <w:p w14:paraId="07112537" w14:textId="77777777" w:rsidR="001F27D2" w:rsidRPr="001F27D2" w:rsidRDefault="001F27D2" w:rsidP="001F27D2">
            <w:pPr>
              <w:spacing w:before="0" w:after="0"/>
              <w:jc w:val="center"/>
              <w:rPr>
                <w:rFonts w:cs="Calibri"/>
                <w:b/>
                <w:bCs/>
                <w:color w:val="FFFFFF"/>
                <w:sz w:val="22"/>
                <w:szCs w:val="22"/>
              </w:rPr>
            </w:pPr>
            <w:r w:rsidRPr="001F27D2">
              <w:rPr>
                <w:rFonts w:cs="Calibri"/>
                <w:b/>
                <w:bCs/>
                <w:color w:val="FFFFFF"/>
                <w:sz w:val="22"/>
                <w:szCs w:val="22"/>
              </w:rPr>
              <w:t>2017</w:t>
            </w:r>
          </w:p>
        </w:tc>
      </w:tr>
      <w:tr w:rsidR="001F27D2" w:rsidRPr="001F27D2" w14:paraId="7DFBCF7D" w14:textId="77777777" w:rsidTr="001F27D2">
        <w:trPr>
          <w:trHeight w:val="320"/>
        </w:trPr>
        <w:tc>
          <w:tcPr>
            <w:tcW w:w="4066" w:type="dxa"/>
            <w:shd w:val="clear" w:color="auto" w:fill="auto"/>
            <w:noWrap/>
            <w:vAlign w:val="bottom"/>
          </w:tcPr>
          <w:p w14:paraId="604671A5" w14:textId="77777777" w:rsidR="001F27D2" w:rsidRPr="001F27D2" w:rsidRDefault="001F27D2" w:rsidP="001F27D2">
            <w:pPr>
              <w:spacing w:before="0" w:after="0"/>
              <w:rPr>
                <w:rFonts w:cs="Calibri"/>
                <w:color w:val="000000" w:themeColor="text1"/>
                <w:sz w:val="22"/>
                <w:szCs w:val="22"/>
              </w:rPr>
            </w:pPr>
            <w:r w:rsidRPr="001F27D2">
              <w:rPr>
                <w:rFonts w:cs="Calibri"/>
                <w:color w:val="000000" w:themeColor="text1"/>
                <w:sz w:val="22"/>
                <w:szCs w:val="22"/>
              </w:rPr>
              <w:t>Eden District</w:t>
            </w:r>
          </w:p>
        </w:tc>
        <w:tc>
          <w:tcPr>
            <w:tcW w:w="1559" w:type="dxa"/>
            <w:shd w:val="clear" w:color="000000" w:fill="FFFFFF"/>
            <w:noWrap/>
            <w:vAlign w:val="bottom"/>
          </w:tcPr>
          <w:p w14:paraId="0982AC8C" w14:textId="77777777" w:rsidR="001F27D2" w:rsidRPr="001F27D2" w:rsidRDefault="001F27D2" w:rsidP="001F27D2">
            <w:pPr>
              <w:spacing w:before="0" w:after="0"/>
              <w:jc w:val="center"/>
              <w:rPr>
                <w:rFonts w:cs="Calibri"/>
                <w:color w:val="000000" w:themeColor="text1"/>
                <w:sz w:val="22"/>
                <w:szCs w:val="22"/>
              </w:rPr>
            </w:pPr>
            <w:r w:rsidRPr="001F27D2">
              <w:rPr>
                <w:rFonts w:cs="Calibri"/>
                <w:color w:val="000000" w:themeColor="text1"/>
                <w:sz w:val="22"/>
                <w:szCs w:val="22"/>
              </w:rPr>
              <w:t>8.21</w:t>
            </w:r>
          </w:p>
        </w:tc>
        <w:tc>
          <w:tcPr>
            <w:tcW w:w="1276" w:type="dxa"/>
            <w:shd w:val="clear" w:color="000000" w:fill="FFFFFF"/>
            <w:noWrap/>
            <w:vAlign w:val="bottom"/>
          </w:tcPr>
          <w:p w14:paraId="75223605" w14:textId="77777777" w:rsidR="001F27D2" w:rsidRPr="001F27D2" w:rsidRDefault="001F27D2" w:rsidP="001F27D2">
            <w:pPr>
              <w:spacing w:before="0" w:after="0"/>
              <w:jc w:val="center"/>
              <w:rPr>
                <w:rFonts w:cs="Calibri"/>
                <w:color w:val="000000" w:themeColor="text1"/>
                <w:sz w:val="22"/>
                <w:szCs w:val="22"/>
              </w:rPr>
            </w:pPr>
            <w:r w:rsidRPr="001F27D2">
              <w:rPr>
                <w:rFonts w:cs="Calibri"/>
                <w:color w:val="000000" w:themeColor="text1"/>
                <w:sz w:val="22"/>
                <w:szCs w:val="22"/>
              </w:rPr>
              <w:t>8.25</w:t>
            </w:r>
          </w:p>
        </w:tc>
        <w:tc>
          <w:tcPr>
            <w:tcW w:w="1701" w:type="dxa"/>
            <w:shd w:val="clear" w:color="000000" w:fill="FFFFFF"/>
            <w:noWrap/>
            <w:vAlign w:val="bottom"/>
          </w:tcPr>
          <w:p w14:paraId="3C7F62BD" w14:textId="77777777" w:rsidR="001F27D2" w:rsidRPr="001F27D2" w:rsidRDefault="001F27D2" w:rsidP="001F27D2">
            <w:pPr>
              <w:spacing w:before="0" w:after="0"/>
              <w:jc w:val="center"/>
              <w:rPr>
                <w:rFonts w:cs="Calibri"/>
                <w:color w:val="000000" w:themeColor="text1"/>
                <w:sz w:val="22"/>
                <w:szCs w:val="22"/>
              </w:rPr>
            </w:pPr>
            <w:r w:rsidRPr="001F27D2">
              <w:rPr>
                <w:rFonts w:cs="Calibri"/>
                <w:color w:val="000000" w:themeColor="text1"/>
                <w:sz w:val="22"/>
                <w:szCs w:val="22"/>
              </w:rPr>
              <w:t>7.21</w:t>
            </w:r>
          </w:p>
        </w:tc>
      </w:tr>
      <w:tr w:rsidR="001F27D2" w:rsidRPr="001F27D2" w14:paraId="46C6766D" w14:textId="77777777" w:rsidTr="001F27D2">
        <w:trPr>
          <w:trHeight w:val="320"/>
        </w:trPr>
        <w:tc>
          <w:tcPr>
            <w:tcW w:w="4066" w:type="dxa"/>
            <w:shd w:val="clear" w:color="auto" w:fill="auto"/>
            <w:noWrap/>
            <w:vAlign w:val="bottom"/>
          </w:tcPr>
          <w:p w14:paraId="4053DEA7" w14:textId="77777777" w:rsidR="001F27D2" w:rsidRPr="001F27D2" w:rsidRDefault="001F27D2" w:rsidP="001F27D2">
            <w:pPr>
              <w:spacing w:before="0" w:after="0"/>
              <w:rPr>
                <w:rFonts w:cs="Calibri"/>
                <w:color w:val="000000" w:themeColor="text1"/>
                <w:sz w:val="22"/>
                <w:szCs w:val="22"/>
              </w:rPr>
            </w:pPr>
            <w:r w:rsidRPr="001F27D2">
              <w:rPr>
                <w:rFonts w:cs="Calibri"/>
                <w:color w:val="000000" w:themeColor="text1"/>
                <w:sz w:val="22"/>
                <w:szCs w:val="22"/>
              </w:rPr>
              <w:t>Allerdale</w:t>
            </w:r>
          </w:p>
        </w:tc>
        <w:tc>
          <w:tcPr>
            <w:tcW w:w="1559" w:type="dxa"/>
            <w:shd w:val="clear" w:color="000000" w:fill="FFFFFF"/>
            <w:noWrap/>
            <w:vAlign w:val="bottom"/>
          </w:tcPr>
          <w:p w14:paraId="6C918A67" w14:textId="77777777" w:rsidR="001F27D2" w:rsidRPr="001F27D2" w:rsidRDefault="001F27D2" w:rsidP="001F27D2">
            <w:pPr>
              <w:spacing w:before="0" w:after="0"/>
              <w:jc w:val="center"/>
              <w:rPr>
                <w:rFonts w:cs="Calibri"/>
                <w:color w:val="000000" w:themeColor="text1"/>
                <w:sz w:val="22"/>
                <w:szCs w:val="22"/>
              </w:rPr>
            </w:pPr>
            <w:r w:rsidRPr="001F27D2">
              <w:rPr>
                <w:rFonts w:cs="Calibri"/>
                <w:color w:val="000000" w:themeColor="text1"/>
                <w:sz w:val="22"/>
                <w:szCs w:val="22"/>
              </w:rPr>
              <w:t>5.88</w:t>
            </w:r>
          </w:p>
        </w:tc>
        <w:tc>
          <w:tcPr>
            <w:tcW w:w="1276" w:type="dxa"/>
            <w:shd w:val="clear" w:color="000000" w:fill="FFFFFF"/>
            <w:noWrap/>
            <w:vAlign w:val="bottom"/>
          </w:tcPr>
          <w:p w14:paraId="2677742D" w14:textId="77777777" w:rsidR="001F27D2" w:rsidRPr="001F27D2" w:rsidRDefault="001F27D2" w:rsidP="001F27D2">
            <w:pPr>
              <w:spacing w:before="0" w:after="0"/>
              <w:jc w:val="center"/>
              <w:rPr>
                <w:rFonts w:cs="Calibri"/>
                <w:color w:val="000000" w:themeColor="text1"/>
                <w:sz w:val="22"/>
                <w:szCs w:val="22"/>
              </w:rPr>
            </w:pPr>
            <w:r w:rsidRPr="001F27D2">
              <w:rPr>
                <w:rFonts w:cs="Calibri"/>
                <w:bCs/>
                <w:iCs/>
                <w:color w:val="000000" w:themeColor="text1"/>
                <w:sz w:val="22"/>
                <w:szCs w:val="22"/>
              </w:rPr>
              <w:t>4.95</w:t>
            </w:r>
          </w:p>
        </w:tc>
        <w:tc>
          <w:tcPr>
            <w:tcW w:w="1701" w:type="dxa"/>
            <w:shd w:val="clear" w:color="000000" w:fill="FFFFFF"/>
            <w:noWrap/>
            <w:vAlign w:val="bottom"/>
          </w:tcPr>
          <w:p w14:paraId="4FB0A568" w14:textId="77777777" w:rsidR="001F27D2" w:rsidRPr="001F27D2" w:rsidRDefault="001F27D2" w:rsidP="001F27D2">
            <w:pPr>
              <w:spacing w:before="0" w:after="0"/>
              <w:jc w:val="center"/>
              <w:rPr>
                <w:rFonts w:cs="Calibri"/>
                <w:color w:val="000000" w:themeColor="text1"/>
                <w:sz w:val="22"/>
                <w:szCs w:val="22"/>
              </w:rPr>
            </w:pPr>
            <w:r w:rsidRPr="001F27D2">
              <w:rPr>
                <w:rFonts w:cs="Calibri"/>
                <w:color w:val="000000" w:themeColor="text1"/>
                <w:sz w:val="22"/>
                <w:szCs w:val="22"/>
              </w:rPr>
              <w:t>5.48</w:t>
            </w:r>
          </w:p>
        </w:tc>
      </w:tr>
      <w:tr w:rsidR="001F27D2" w:rsidRPr="001F27D2" w14:paraId="694839FA" w14:textId="77777777" w:rsidTr="001F27D2">
        <w:trPr>
          <w:trHeight w:val="320"/>
        </w:trPr>
        <w:tc>
          <w:tcPr>
            <w:tcW w:w="4066" w:type="dxa"/>
            <w:shd w:val="clear" w:color="auto" w:fill="auto"/>
            <w:noWrap/>
            <w:vAlign w:val="bottom"/>
          </w:tcPr>
          <w:p w14:paraId="46B9FFCD" w14:textId="77777777" w:rsidR="001F27D2" w:rsidRPr="001F27D2" w:rsidRDefault="001F27D2" w:rsidP="001F27D2">
            <w:pPr>
              <w:spacing w:before="0" w:after="0"/>
              <w:rPr>
                <w:rFonts w:cs="Calibri"/>
                <w:color w:val="000000" w:themeColor="text1"/>
                <w:sz w:val="22"/>
                <w:szCs w:val="22"/>
              </w:rPr>
            </w:pPr>
            <w:r w:rsidRPr="001F27D2">
              <w:rPr>
                <w:rFonts w:cs="Calibri"/>
                <w:color w:val="000000" w:themeColor="text1"/>
                <w:sz w:val="22"/>
                <w:szCs w:val="22"/>
              </w:rPr>
              <w:t>Copeland</w:t>
            </w:r>
          </w:p>
        </w:tc>
        <w:tc>
          <w:tcPr>
            <w:tcW w:w="1559" w:type="dxa"/>
            <w:shd w:val="clear" w:color="000000" w:fill="FFFFFF"/>
            <w:noWrap/>
            <w:vAlign w:val="bottom"/>
          </w:tcPr>
          <w:p w14:paraId="68972AE5" w14:textId="77777777" w:rsidR="001F27D2" w:rsidRPr="001F27D2" w:rsidRDefault="001F27D2" w:rsidP="001F27D2">
            <w:pPr>
              <w:spacing w:before="0" w:after="0"/>
              <w:jc w:val="center"/>
              <w:rPr>
                <w:rFonts w:cs="Calibri"/>
                <w:color w:val="000000" w:themeColor="text1"/>
                <w:sz w:val="22"/>
                <w:szCs w:val="22"/>
              </w:rPr>
            </w:pPr>
            <w:r w:rsidRPr="001F27D2">
              <w:rPr>
                <w:rFonts w:cs="Calibri"/>
                <w:color w:val="000000" w:themeColor="text1"/>
                <w:sz w:val="22"/>
                <w:szCs w:val="22"/>
              </w:rPr>
              <w:t>2.18</w:t>
            </w:r>
          </w:p>
        </w:tc>
        <w:tc>
          <w:tcPr>
            <w:tcW w:w="1276" w:type="dxa"/>
            <w:shd w:val="clear" w:color="000000" w:fill="FFFFFF"/>
            <w:noWrap/>
            <w:vAlign w:val="bottom"/>
          </w:tcPr>
          <w:p w14:paraId="0A5581B7" w14:textId="77777777" w:rsidR="001F27D2" w:rsidRPr="001F27D2" w:rsidRDefault="001F27D2" w:rsidP="001F27D2">
            <w:pPr>
              <w:spacing w:before="0" w:after="0"/>
              <w:jc w:val="center"/>
              <w:rPr>
                <w:rFonts w:cs="Calibri"/>
                <w:color w:val="000000" w:themeColor="text1"/>
                <w:sz w:val="22"/>
                <w:szCs w:val="22"/>
              </w:rPr>
            </w:pPr>
            <w:r w:rsidRPr="001F27D2">
              <w:rPr>
                <w:rFonts w:cs="Calibri"/>
                <w:color w:val="000000" w:themeColor="text1"/>
                <w:sz w:val="22"/>
                <w:szCs w:val="22"/>
              </w:rPr>
              <w:t>2.63</w:t>
            </w:r>
          </w:p>
        </w:tc>
        <w:tc>
          <w:tcPr>
            <w:tcW w:w="1701" w:type="dxa"/>
            <w:shd w:val="clear" w:color="000000" w:fill="FFFFFF"/>
            <w:noWrap/>
            <w:vAlign w:val="bottom"/>
          </w:tcPr>
          <w:p w14:paraId="0D5DF9E3" w14:textId="77777777" w:rsidR="001F27D2" w:rsidRPr="001F27D2" w:rsidRDefault="001F27D2" w:rsidP="001F27D2">
            <w:pPr>
              <w:spacing w:before="0" w:after="0"/>
              <w:jc w:val="center"/>
              <w:rPr>
                <w:rFonts w:cs="Calibri"/>
                <w:color w:val="000000" w:themeColor="text1"/>
                <w:sz w:val="22"/>
                <w:szCs w:val="22"/>
              </w:rPr>
            </w:pPr>
            <w:r w:rsidRPr="001F27D2">
              <w:rPr>
                <w:rFonts w:cs="Calibri"/>
                <w:color w:val="000000" w:themeColor="text1"/>
                <w:sz w:val="22"/>
                <w:szCs w:val="22"/>
              </w:rPr>
              <w:t>2.30</w:t>
            </w:r>
          </w:p>
        </w:tc>
      </w:tr>
      <w:tr w:rsidR="001F27D2" w:rsidRPr="001F27D2" w14:paraId="4883C594" w14:textId="77777777" w:rsidTr="001F27D2">
        <w:trPr>
          <w:trHeight w:val="320"/>
        </w:trPr>
        <w:tc>
          <w:tcPr>
            <w:tcW w:w="4066" w:type="dxa"/>
            <w:shd w:val="clear" w:color="auto" w:fill="auto"/>
            <w:noWrap/>
            <w:vAlign w:val="bottom"/>
          </w:tcPr>
          <w:p w14:paraId="12E514B9" w14:textId="77777777" w:rsidR="001F27D2" w:rsidRPr="001F27D2" w:rsidRDefault="001F27D2" w:rsidP="001F27D2">
            <w:pPr>
              <w:spacing w:before="0" w:after="0"/>
              <w:rPr>
                <w:rFonts w:cs="Calibri"/>
                <w:color w:val="000000" w:themeColor="text1"/>
                <w:sz w:val="22"/>
                <w:szCs w:val="22"/>
              </w:rPr>
            </w:pPr>
            <w:r w:rsidRPr="001F27D2">
              <w:rPr>
                <w:rFonts w:cs="Calibri"/>
                <w:color w:val="000000" w:themeColor="text1"/>
                <w:sz w:val="22"/>
                <w:szCs w:val="22"/>
              </w:rPr>
              <w:t>South Lakeland</w:t>
            </w:r>
          </w:p>
        </w:tc>
        <w:tc>
          <w:tcPr>
            <w:tcW w:w="1559" w:type="dxa"/>
            <w:shd w:val="clear" w:color="000000" w:fill="FFFFFF"/>
            <w:noWrap/>
            <w:vAlign w:val="bottom"/>
          </w:tcPr>
          <w:p w14:paraId="7958BC12" w14:textId="77777777" w:rsidR="001F27D2" w:rsidRPr="001F27D2" w:rsidRDefault="001F27D2" w:rsidP="001F27D2">
            <w:pPr>
              <w:spacing w:before="0" w:after="0"/>
              <w:jc w:val="center"/>
              <w:rPr>
                <w:rFonts w:cs="Calibri"/>
                <w:color w:val="000000" w:themeColor="text1"/>
                <w:sz w:val="22"/>
                <w:szCs w:val="22"/>
              </w:rPr>
            </w:pPr>
            <w:r w:rsidRPr="001F27D2">
              <w:rPr>
                <w:rFonts w:cs="Calibri"/>
                <w:color w:val="000000" w:themeColor="text1"/>
                <w:sz w:val="22"/>
                <w:szCs w:val="22"/>
              </w:rPr>
              <w:t>8.99</w:t>
            </w:r>
          </w:p>
        </w:tc>
        <w:tc>
          <w:tcPr>
            <w:tcW w:w="1276" w:type="dxa"/>
            <w:shd w:val="clear" w:color="000000" w:fill="FFFFFF"/>
            <w:noWrap/>
            <w:vAlign w:val="bottom"/>
          </w:tcPr>
          <w:p w14:paraId="5C33E796" w14:textId="77777777" w:rsidR="001F27D2" w:rsidRPr="001F27D2" w:rsidRDefault="001F27D2" w:rsidP="001F27D2">
            <w:pPr>
              <w:spacing w:before="0" w:after="0"/>
              <w:jc w:val="center"/>
              <w:rPr>
                <w:rFonts w:cs="Calibri"/>
                <w:color w:val="000000" w:themeColor="text1"/>
                <w:sz w:val="22"/>
                <w:szCs w:val="22"/>
              </w:rPr>
            </w:pPr>
            <w:r w:rsidRPr="001F27D2">
              <w:rPr>
                <w:rFonts w:cs="Calibri"/>
                <w:color w:val="000000" w:themeColor="text1"/>
                <w:sz w:val="22"/>
                <w:szCs w:val="22"/>
              </w:rPr>
              <w:t>8.80</w:t>
            </w:r>
          </w:p>
        </w:tc>
        <w:tc>
          <w:tcPr>
            <w:tcW w:w="1701" w:type="dxa"/>
            <w:shd w:val="clear" w:color="000000" w:fill="FFFFFF"/>
            <w:noWrap/>
            <w:vAlign w:val="bottom"/>
          </w:tcPr>
          <w:p w14:paraId="4E4858CE" w14:textId="77777777" w:rsidR="001F27D2" w:rsidRPr="001F27D2" w:rsidRDefault="001F27D2" w:rsidP="001F27D2">
            <w:pPr>
              <w:spacing w:before="0" w:after="0"/>
              <w:jc w:val="center"/>
              <w:rPr>
                <w:rFonts w:cs="Calibri"/>
                <w:color w:val="000000" w:themeColor="text1"/>
                <w:sz w:val="22"/>
                <w:szCs w:val="22"/>
              </w:rPr>
            </w:pPr>
            <w:r w:rsidRPr="001F27D2">
              <w:rPr>
                <w:rFonts w:cs="Calibri"/>
                <w:bCs/>
                <w:iCs/>
                <w:color w:val="000000" w:themeColor="text1"/>
                <w:sz w:val="22"/>
                <w:szCs w:val="22"/>
              </w:rPr>
              <w:t>9.05</w:t>
            </w:r>
          </w:p>
        </w:tc>
      </w:tr>
      <w:tr w:rsidR="001F27D2" w:rsidRPr="001F27D2" w14:paraId="2280F470" w14:textId="77777777" w:rsidTr="001F27D2">
        <w:trPr>
          <w:trHeight w:val="320"/>
        </w:trPr>
        <w:tc>
          <w:tcPr>
            <w:tcW w:w="4066" w:type="dxa"/>
            <w:shd w:val="clear" w:color="auto" w:fill="auto"/>
            <w:noWrap/>
            <w:vAlign w:val="bottom"/>
          </w:tcPr>
          <w:p w14:paraId="023FAA71" w14:textId="77777777" w:rsidR="001F27D2" w:rsidRPr="001F27D2" w:rsidRDefault="001F27D2" w:rsidP="001F27D2">
            <w:pPr>
              <w:spacing w:before="0" w:after="0"/>
              <w:rPr>
                <w:rFonts w:cs="Calibri"/>
                <w:color w:val="000000" w:themeColor="text1"/>
                <w:sz w:val="22"/>
                <w:szCs w:val="22"/>
              </w:rPr>
            </w:pPr>
            <w:r w:rsidRPr="001F27D2">
              <w:rPr>
                <w:rFonts w:cs="Calibri"/>
                <w:color w:val="000000" w:themeColor="text1"/>
                <w:sz w:val="22"/>
                <w:szCs w:val="22"/>
              </w:rPr>
              <w:t>Carlisle</w:t>
            </w:r>
          </w:p>
        </w:tc>
        <w:tc>
          <w:tcPr>
            <w:tcW w:w="1559" w:type="dxa"/>
            <w:shd w:val="clear" w:color="000000" w:fill="FFFFFF"/>
            <w:noWrap/>
            <w:vAlign w:val="bottom"/>
          </w:tcPr>
          <w:p w14:paraId="5F7A6533" w14:textId="77777777" w:rsidR="001F27D2" w:rsidRPr="001F27D2" w:rsidRDefault="001F27D2" w:rsidP="001F27D2">
            <w:pPr>
              <w:spacing w:before="0" w:after="0"/>
              <w:jc w:val="center"/>
              <w:rPr>
                <w:rFonts w:cs="Calibri"/>
                <w:color w:val="000000" w:themeColor="text1"/>
                <w:sz w:val="22"/>
                <w:szCs w:val="22"/>
              </w:rPr>
            </w:pPr>
            <w:r w:rsidRPr="001F27D2">
              <w:rPr>
                <w:rFonts w:cs="Calibri"/>
                <w:color w:val="000000" w:themeColor="text1"/>
                <w:sz w:val="22"/>
                <w:szCs w:val="22"/>
              </w:rPr>
              <w:t>5.03</w:t>
            </w:r>
          </w:p>
        </w:tc>
        <w:tc>
          <w:tcPr>
            <w:tcW w:w="1276" w:type="dxa"/>
            <w:shd w:val="clear" w:color="000000" w:fill="FFFFFF"/>
            <w:noWrap/>
            <w:vAlign w:val="bottom"/>
          </w:tcPr>
          <w:p w14:paraId="75893F8D" w14:textId="77777777" w:rsidR="001F27D2" w:rsidRPr="001F27D2" w:rsidRDefault="001F27D2" w:rsidP="001F27D2">
            <w:pPr>
              <w:spacing w:before="0" w:after="0"/>
              <w:jc w:val="center"/>
              <w:rPr>
                <w:rFonts w:cs="Calibri"/>
                <w:color w:val="000000" w:themeColor="text1"/>
                <w:sz w:val="22"/>
                <w:szCs w:val="22"/>
              </w:rPr>
            </w:pPr>
            <w:r w:rsidRPr="001F27D2">
              <w:rPr>
                <w:rFonts w:cs="Calibri"/>
                <w:color w:val="000000" w:themeColor="text1"/>
                <w:sz w:val="22"/>
                <w:szCs w:val="22"/>
              </w:rPr>
              <w:t>5.00</w:t>
            </w:r>
          </w:p>
        </w:tc>
        <w:tc>
          <w:tcPr>
            <w:tcW w:w="1701" w:type="dxa"/>
            <w:shd w:val="clear" w:color="000000" w:fill="FFFFFF"/>
            <w:noWrap/>
            <w:vAlign w:val="bottom"/>
          </w:tcPr>
          <w:p w14:paraId="2D57F5E4" w14:textId="77777777" w:rsidR="001F27D2" w:rsidRPr="001F27D2" w:rsidRDefault="001F27D2" w:rsidP="001F27D2">
            <w:pPr>
              <w:spacing w:before="0" w:after="0"/>
              <w:jc w:val="center"/>
              <w:rPr>
                <w:rFonts w:cs="Calibri"/>
                <w:color w:val="000000" w:themeColor="text1"/>
                <w:sz w:val="22"/>
                <w:szCs w:val="22"/>
              </w:rPr>
            </w:pPr>
            <w:r w:rsidRPr="001F27D2">
              <w:rPr>
                <w:rFonts w:cs="Calibri"/>
                <w:bCs/>
                <w:iCs/>
                <w:color w:val="000000" w:themeColor="text1"/>
                <w:sz w:val="22"/>
                <w:szCs w:val="22"/>
              </w:rPr>
              <w:t>4.90</w:t>
            </w:r>
          </w:p>
        </w:tc>
      </w:tr>
      <w:tr w:rsidR="001F27D2" w:rsidRPr="001F27D2" w14:paraId="4851ABD5" w14:textId="77777777" w:rsidTr="001F27D2">
        <w:trPr>
          <w:trHeight w:val="320"/>
        </w:trPr>
        <w:tc>
          <w:tcPr>
            <w:tcW w:w="4066" w:type="dxa"/>
            <w:shd w:val="clear" w:color="auto" w:fill="auto"/>
            <w:noWrap/>
            <w:vAlign w:val="bottom"/>
          </w:tcPr>
          <w:p w14:paraId="482E208A" w14:textId="77777777" w:rsidR="001F27D2" w:rsidRPr="001F27D2" w:rsidRDefault="001F27D2" w:rsidP="001F27D2">
            <w:pPr>
              <w:spacing w:before="0" w:after="0"/>
              <w:rPr>
                <w:rFonts w:cs="Calibri"/>
                <w:color w:val="000000" w:themeColor="text1"/>
                <w:sz w:val="22"/>
                <w:szCs w:val="22"/>
              </w:rPr>
            </w:pPr>
            <w:r w:rsidRPr="001F27D2">
              <w:rPr>
                <w:rFonts w:cs="Calibri"/>
                <w:color w:val="000000" w:themeColor="text1"/>
                <w:sz w:val="22"/>
                <w:szCs w:val="22"/>
              </w:rPr>
              <w:t>County Durham</w:t>
            </w:r>
          </w:p>
        </w:tc>
        <w:tc>
          <w:tcPr>
            <w:tcW w:w="1559" w:type="dxa"/>
            <w:shd w:val="clear" w:color="000000" w:fill="FFFFFF"/>
            <w:noWrap/>
            <w:vAlign w:val="bottom"/>
          </w:tcPr>
          <w:p w14:paraId="2CA31C49" w14:textId="77777777" w:rsidR="001F27D2" w:rsidRPr="001F27D2" w:rsidRDefault="001F27D2" w:rsidP="001F27D2">
            <w:pPr>
              <w:spacing w:before="0" w:after="0"/>
              <w:jc w:val="center"/>
              <w:rPr>
                <w:rFonts w:cs="Calibri"/>
                <w:color w:val="000000" w:themeColor="text1"/>
                <w:sz w:val="22"/>
                <w:szCs w:val="22"/>
              </w:rPr>
            </w:pPr>
            <w:r w:rsidRPr="001F27D2">
              <w:rPr>
                <w:rFonts w:cs="Calibri"/>
                <w:color w:val="000000" w:themeColor="text1"/>
                <w:sz w:val="22"/>
                <w:szCs w:val="22"/>
              </w:rPr>
              <w:t>3.70</w:t>
            </w:r>
          </w:p>
        </w:tc>
        <w:tc>
          <w:tcPr>
            <w:tcW w:w="1276" w:type="dxa"/>
            <w:shd w:val="clear" w:color="000000" w:fill="FFFFFF"/>
            <w:noWrap/>
            <w:vAlign w:val="bottom"/>
          </w:tcPr>
          <w:p w14:paraId="0880E14F" w14:textId="77777777" w:rsidR="001F27D2" w:rsidRPr="001F27D2" w:rsidRDefault="001F27D2" w:rsidP="001F27D2">
            <w:pPr>
              <w:spacing w:before="0" w:after="0"/>
              <w:jc w:val="center"/>
              <w:rPr>
                <w:rFonts w:cs="Calibri"/>
                <w:color w:val="000000" w:themeColor="text1"/>
                <w:sz w:val="22"/>
                <w:szCs w:val="22"/>
              </w:rPr>
            </w:pPr>
            <w:r w:rsidRPr="001F27D2">
              <w:rPr>
                <w:rFonts w:cs="Calibri"/>
                <w:color w:val="000000" w:themeColor="text1"/>
                <w:sz w:val="22"/>
                <w:szCs w:val="22"/>
              </w:rPr>
              <w:t>3.83</w:t>
            </w:r>
          </w:p>
        </w:tc>
        <w:tc>
          <w:tcPr>
            <w:tcW w:w="1701" w:type="dxa"/>
            <w:shd w:val="clear" w:color="000000" w:fill="FFFFFF"/>
            <w:noWrap/>
            <w:vAlign w:val="bottom"/>
          </w:tcPr>
          <w:p w14:paraId="53503D6F" w14:textId="77777777" w:rsidR="001F27D2" w:rsidRPr="001F27D2" w:rsidRDefault="001F27D2" w:rsidP="001F27D2">
            <w:pPr>
              <w:spacing w:before="0" w:after="0"/>
              <w:jc w:val="center"/>
              <w:rPr>
                <w:rFonts w:cs="Calibri"/>
                <w:color w:val="000000" w:themeColor="text1"/>
                <w:sz w:val="22"/>
                <w:szCs w:val="22"/>
              </w:rPr>
            </w:pPr>
            <w:r w:rsidRPr="001F27D2">
              <w:rPr>
                <w:rFonts w:cs="Calibri"/>
                <w:color w:val="000000" w:themeColor="text1"/>
                <w:sz w:val="22"/>
                <w:szCs w:val="22"/>
              </w:rPr>
              <w:t>3.68</w:t>
            </w:r>
          </w:p>
        </w:tc>
      </w:tr>
      <w:tr w:rsidR="001F27D2" w:rsidRPr="001F27D2" w14:paraId="607DDEBA" w14:textId="77777777" w:rsidTr="001F27D2">
        <w:trPr>
          <w:trHeight w:val="320"/>
        </w:trPr>
        <w:tc>
          <w:tcPr>
            <w:tcW w:w="4066" w:type="dxa"/>
            <w:shd w:val="clear" w:color="auto" w:fill="auto"/>
            <w:noWrap/>
            <w:vAlign w:val="bottom"/>
          </w:tcPr>
          <w:p w14:paraId="0039E26D" w14:textId="77777777" w:rsidR="001F27D2" w:rsidRPr="001F27D2" w:rsidRDefault="001F27D2" w:rsidP="001F27D2">
            <w:pPr>
              <w:spacing w:before="0" w:after="0"/>
              <w:rPr>
                <w:rFonts w:cs="Calibri"/>
                <w:color w:val="000000" w:themeColor="text1"/>
                <w:sz w:val="22"/>
                <w:szCs w:val="22"/>
              </w:rPr>
            </w:pPr>
            <w:r w:rsidRPr="001F27D2">
              <w:rPr>
                <w:rFonts w:cs="Calibri"/>
                <w:color w:val="000000" w:themeColor="text1"/>
                <w:sz w:val="22"/>
                <w:szCs w:val="22"/>
              </w:rPr>
              <w:t>Northumberland</w:t>
            </w:r>
          </w:p>
        </w:tc>
        <w:tc>
          <w:tcPr>
            <w:tcW w:w="1559" w:type="dxa"/>
            <w:shd w:val="clear" w:color="000000" w:fill="FFFFFF"/>
            <w:noWrap/>
            <w:vAlign w:val="bottom"/>
          </w:tcPr>
          <w:p w14:paraId="47B00D1F" w14:textId="77777777" w:rsidR="001F27D2" w:rsidRPr="001F27D2" w:rsidRDefault="001F27D2" w:rsidP="001F27D2">
            <w:pPr>
              <w:spacing w:before="0" w:after="0"/>
              <w:jc w:val="center"/>
              <w:rPr>
                <w:rFonts w:cs="Calibri"/>
                <w:color w:val="000000" w:themeColor="text1"/>
                <w:sz w:val="22"/>
                <w:szCs w:val="22"/>
              </w:rPr>
            </w:pPr>
            <w:r w:rsidRPr="001F27D2">
              <w:rPr>
                <w:rFonts w:cs="Calibri"/>
                <w:color w:val="000000" w:themeColor="text1"/>
                <w:sz w:val="22"/>
                <w:szCs w:val="22"/>
              </w:rPr>
              <w:t>5.81</w:t>
            </w:r>
          </w:p>
        </w:tc>
        <w:tc>
          <w:tcPr>
            <w:tcW w:w="1276" w:type="dxa"/>
            <w:shd w:val="clear" w:color="000000" w:fill="FFFFFF"/>
            <w:noWrap/>
            <w:vAlign w:val="bottom"/>
          </w:tcPr>
          <w:p w14:paraId="47F42778" w14:textId="77777777" w:rsidR="001F27D2" w:rsidRPr="001F27D2" w:rsidRDefault="001F27D2" w:rsidP="001F27D2">
            <w:pPr>
              <w:spacing w:before="0" w:after="0"/>
              <w:jc w:val="center"/>
              <w:rPr>
                <w:rFonts w:cs="Calibri"/>
                <w:color w:val="000000" w:themeColor="text1"/>
                <w:sz w:val="22"/>
                <w:szCs w:val="22"/>
              </w:rPr>
            </w:pPr>
            <w:r w:rsidRPr="001F27D2">
              <w:rPr>
                <w:rFonts w:cs="Calibri"/>
                <w:color w:val="000000" w:themeColor="text1"/>
                <w:sz w:val="22"/>
                <w:szCs w:val="22"/>
              </w:rPr>
              <w:t>5.83</w:t>
            </w:r>
          </w:p>
        </w:tc>
        <w:tc>
          <w:tcPr>
            <w:tcW w:w="1701" w:type="dxa"/>
            <w:shd w:val="clear" w:color="000000" w:fill="FFFFFF"/>
            <w:noWrap/>
            <w:vAlign w:val="bottom"/>
          </w:tcPr>
          <w:p w14:paraId="7C9AFA36" w14:textId="77777777" w:rsidR="001F27D2" w:rsidRPr="001F27D2" w:rsidRDefault="001F27D2" w:rsidP="001F27D2">
            <w:pPr>
              <w:spacing w:before="0" w:after="0"/>
              <w:jc w:val="center"/>
              <w:rPr>
                <w:rFonts w:cs="Calibri"/>
                <w:color w:val="000000" w:themeColor="text1"/>
                <w:sz w:val="22"/>
                <w:szCs w:val="22"/>
              </w:rPr>
            </w:pPr>
            <w:r w:rsidRPr="001F27D2">
              <w:rPr>
                <w:rFonts w:cs="Calibri"/>
                <w:color w:val="000000" w:themeColor="text1"/>
                <w:sz w:val="22"/>
                <w:szCs w:val="22"/>
              </w:rPr>
              <w:t>5.55</w:t>
            </w:r>
          </w:p>
        </w:tc>
      </w:tr>
      <w:tr w:rsidR="001F27D2" w:rsidRPr="001F27D2" w14:paraId="13E1CDA3" w14:textId="77777777" w:rsidTr="001F27D2">
        <w:trPr>
          <w:trHeight w:val="320"/>
        </w:trPr>
        <w:tc>
          <w:tcPr>
            <w:tcW w:w="4066" w:type="dxa"/>
            <w:shd w:val="clear" w:color="auto" w:fill="auto"/>
            <w:noWrap/>
            <w:vAlign w:val="bottom"/>
          </w:tcPr>
          <w:p w14:paraId="57D6822D" w14:textId="77777777" w:rsidR="001F27D2" w:rsidRPr="001F27D2" w:rsidRDefault="001F27D2" w:rsidP="001F27D2">
            <w:pPr>
              <w:spacing w:before="0" w:after="0"/>
              <w:rPr>
                <w:rFonts w:cs="Calibri"/>
                <w:color w:val="000000" w:themeColor="text1"/>
                <w:sz w:val="22"/>
                <w:szCs w:val="22"/>
              </w:rPr>
            </w:pPr>
            <w:r w:rsidRPr="001F27D2">
              <w:rPr>
                <w:rFonts w:cs="Calibri"/>
                <w:color w:val="000000" w:themeColor="text1"/>
                <w:sz w:val="22"/>
                <w:szCs w:val="22"/>
              </w:rPr>
              <w:t>Richmondshire</w:t>
            </w:r>
          </w:p>
        </w:tc>
        <w:tc>
          <w:tcPr>
            <w:tcW w:w="1559" w:type="dxa"/>
            <w:shd w:val="clear" w:color="000000" w:fill="FFFFFF"/>
            <w:noWrap/>
            <w:vAlign w:val="bottom"/>
          </w:tcPr>
          <w:p w14:paraId="5B4CD4CF" w14:textId="77777777" w:rsidR="001F27D2" w:rsidRPr="001F27D2" w:rsidRDefault="001F27D2" w:rsidP="001F27D2">
            <w:pPr>
              <w:spacing w:before="0" w:after="0"/>
              <w:jc w:val="center"/>
              <w:rPr>
                <w:rFonts w:cs="Calibri"/>
                <w:color w:val="000000" w:themeColor="text1"/>
                <w:sz w:val="22"/>
                <w:szCs w:val="22"/>
              </w:rPr>
            </w:pPr>
            <w:r w:rsidRPr="001F27D2">
              <w:rPr>
                <w:rFonts w:cs="Calibri"/>
                <w:color w:val="000000" w:themeColor="text1"/>
                <w:sz w:val="22"/>
                <w:szCs w:val="22"/>
              </w:rPr>
              <w:t>8.33</w:t>
            </w:r>
          </w:p>
        </w:tc>
        <w:tc>
          <w:tcPr>
            <w:tcW w:w="1276" w:type="dxa"/>
            <w:shd w:val="clear" w:color="000000" w:fill="FFFFFF"/>
            <w:noWrap/>
            <w:vAlign w:val="bottom"/>
          </w:tcPr>
          <w:p w14:paraId="2D8CE896" w14:textId="77777777" w:rsidR="001F27D2" w:rsidRPr="001F27D2" w:rsidRDefault="001F27D2" w:rsidP="001F27D2">
            <w:pPr>
              <w:spacing w:before="0" w:after="0"/>
              <w:jc w:val="center"/>
              <w:rPr>
                <w:rFonts w:cs="Calibri"/>
                <w:color w:val="000000" w:themeColor="text1"/>
                <w:sz w:val="22"/>
                <w:szCs w:val="22"/>
              </w:rPr>
            </w:pPr>
            <w:r w:rsidRPr="001F27D2">
              <w:rPr>
                <w:rFonts w:cs="Calibri"/>
                <w:color w:val="000000" w:themeColor="text1"/>
                <w:sz w:val="22"/>
                <w:szCs w:val="22"/>
              </w:rPr>
              <w:t>7.75</w:t>
            </w:r>
          </w:p>
        </w:tc>
        <w:tc>
          <w:tcPr>
            <w:tcW w:w="1701" w:type="dxa"/>
            <w:shd w:val="clear" w:color="000000" w:fill="FFFFFF"/>
            <w:noWrap/>
            <w:vAlign w:val="bottom"/>
          </w:tcPr>
          <w:p w14:paraId="11C37EBD" w14:textId="77777777" w:rsidR="001F27D2" w:rsidRPr="001F27D2" w:rsidRDefault="001F27D2" w:rsidP="001F27D2">
            <w:pPr>
              <w:spacing w:before="0" w:after="0"/>
              <w:jc w:val="center"/>
              <w:rPr>
                <w:rFonts w:cs="Calibri"/>
                <w:color w:val="000000" w:themeColor="text1"/>
                <w:sz w:val="22"/>
                <w:szCs w:val="22"/>
              </w:rPr>
            </w:pPr>
            <w:r w:rsidRPr="001F27D2">
              <w:rPr>
                <w:rFonts w:cs="Calibri"/>
                <w:color w:val="000000" w:themeColor="text1"/>
                <w:sz w:val="22"/>
                <w:szCs w:val="22"/>
              </w:rPr>
              <w:t>7.83</w:t>
            </w:r>
          </w:p>
        </w:tc>
      </w:tr>
      <w:tr w:rsidR="001F27D2" w:rsidRPr="001F27D2" w14:paraId="6216DF89" w14:textId="77777777" w:rsidTr="001F27D2">
        <w:trPr>
          <w:trHeight w:val="320"/>
        </w:trPr>
        <w:tc>
          <w:tcPr>
            <w:tcW w:w="4066" w:type="dxa"/>
            <w:shd w:val="clear" w:color="auto" w:fill="auto"/>
            <w:noWrap/>
            <w:vAlign w:val="bottom"/>
          </w:tcPr>
          <w:p w14:paraId="589AA9CD" w14:textId="77777777" w:rsidR="001F27D2" w:rsidRPr="001F27D2" w:rsidRDefault="001F27D2" w:rsidP="001F27D2">
            <w:pPr>
              <w:spacing w:before="0" w:after="0"/>
              <w:rPr>
                <w:rFonts w:cs="Calibri"/>
                <w:color w:val="000000" w:themeColor="text1"/>
                <w:sz w:val="22"/>
                <w:szCs w:val="22"/>
              </w:rPr>
            </w:pPr>
            <w:r w:rsidRPr="001F27D2">
              <w:rPr>
                <w:rFonts w:cs="Calibri"/>
                <w:color w:val="000000" w:themeColor="text1"/>
                <w:sz w:val="22"/>
                <w:szCs w:val="22"/>
              </w:rPr>
              <w:t>North West</w:t>
            </w:r>
          </w:p>
        </w:tc>
        <w:tc>
          <w:tcPr>
            <w:tcW w:w="1559" w:type="dxa"/>
            <w:shd w:val="clear" w:color="000000" w:fill="FFFFFF"/>
            <w:noWrap/>
            <w:vAlign w:val="bottom"/>
          </w:tcPr>
          <w:p w14:paraId="4070F12B" w14:textId="77777777" w:rsidR="001F27D2" w:rsidRPr="001F27D2" w:rsidRDefault="001F27D2" w:rsidP="001F27D2">
            <w:pPr>
              <w:spacing w:before="0" w:after="0"/>
              <w:jc w:val="center"/>
              <w:rPr>
                <w:rFonts w:cs="Calibri"/>
                <w:color w:val="000000" w:themeColor="text1"/>
                <w:sz w:val="22"/>
                <w:szCs w:val="22"/>
              </w:rPr>
            </w:pPr>
            <w:r w:rsidRPr="001F27D2">
              <w:rPr>
                <w:rFonts w:cs="Calibri"/>
                <w:color w:val="000000" w:themeColor="text1"/>
                <w:sz w:val="22"/>
                <w:szCs w:val="22"/>
              </w:rPr>
              <w:t>5.40</w:t>
            </w:r>
          </w:p>
        </w:tc>
        <w:tc>
          <w:tcPr>
            <w:tcW w:w="1276" w:type="dxa"/>
            <w:shd w:val="clear" w:color="000000" w:fill="FFFFFF"/>
            <w:noWrap/>
            <w:vAlign w:val="bottom"/>
          </w:tcPr>
          <w:p w14:paraId="47E0D457" w14:textId="77777777" w:rsidR="001F27D2" w:rsidRPr="001F27D2" w:rsidRDefault="001F27D2" w:rsidP="001F27D2">
            <w:pPr>
              <w:spacing w:before="0" w:after="0"/>
              <w:jc w:val="center"/>
              <w:rPr>
                <w:rFonts w:cs="Calibri"/>
                <w:color w:val="000000" w:themeColor="text1"/>
                <w:sz w:val="22"/>
                <w:szCs w:val="22"/>
              </w:rPr>
            </w:pPr>
            <w:r w:rsidRPr="001F27D2">
              <w:rPr>
                <w:rFonts w:cs="Calibri"/>
                <w:color w:val="000000" w:themeColor="text1"/>
                <w:sz w:val="22"/>
                <w:szCs w:val="22"/>
              </w:rPr>
              <w:t>5.47</w:t>
            </w:r>
          </w:p>
        </w:tc>
        <w:tc>
          <w:tcPr>
            <w:tcW w:w="1701" w:type="dxa"/>
            <w:shd w:val="clear" w:color="000000" w:fill="FFFFFF"/>
            <w:noWrap/>
            <w:vAlign w:val="bottom"/>
          </w:tcPr>
          <w:p w14:paraId="173EDFA8" w14:textId="77777777" w:rsidR="001F27D2" w:rsidRPr="001F27D2" w:rsidRDefault="001F27D2" w:rsidP="001F27D2">
            <w:pPr>
              <w:spacing w:before="0" w:after="0"/>
              <w:jc w:val="center"/>
              <w:rPr>
                <w:rFonts w:cs="Calibri"/>
                <w:color w:val="000000" w:themeColor="text1"/>
                <w:sz w:val="22"/>
                <w:szCs w:val="22"/>
              </w:rPr>
            </w:pPr>
            <w:r w:rsidRPr="001F27D2">
              <w:rPr>
                <w:rFonts w:cs="Calibri"/>
                <w:color w:val="000000" w:themeColor="text1"/>
                <w:sz w:val="22"/>
                <w:szCs w:val="22"/>
              </w:rPr>
              <w:t>5.56</w:t>
            </w:r>
          </w:p>
        </w:tc>
      </w:tr>
      <w:tr w:rsidR="001F27D2" w:rsidRPr="001F27D2" w14:paraId="22D03251" w14:textId="77777777" w:rsidTr="001F27D2">
        <w:trPr>
          <w:trHeight w:val="320"/>
        </w:trPr>
        <w:tc>
          <w:tcPr>
            <w:tcW w:w="4066" w:type="dxa"/>
            <w:shd w:val="clear" w:color="auto" w:fill="auto"/>
            <w:noWrap/>
            <w:vAlign w:val="bottom"/>
          </w:tcPr>
          <w:p w14:paraId="228A6AC1" w14:textId="77777777" w:rsidR="001F27D2" w:rsidRPr="001F27D2" w:rsidRDefault="001F27D2" w:rsidP="001F27D2">
            <w:pPr>
              <w:spacing w:before="0" w:after="0"/>
              <w:rPr>
                <w:rFonts w:cs="Calibri"/>
                <w:color w:val="000000" w:themeColor="text1"/>
                <w:sz w:val="22"/>
                <w:szCs w:val="22"/>
              </w:rPr>
            </w:pPr>
            <w:r w:rsidRPr="001F27D2">
              <w:rPr>
                <w:rFonts w:cs="Calibri"/>
                <w:color w:val="000000" w:themeColor="text1"/>
                <w:sz w:val="22"/>
                <w:szCs w:val="22"/>
              </w:rPr>
              <w:t>England</w:t>
            </w:r>
          </w:p>
        </w:tc>
        <w:tc>
          <w:tcPr>
            <w:tcW w:w="1559" w:type="dxa"/>
            <w:shd w:val="clear" w:color="000000" w:fill="FFFFFF"/>
            <w:noWrap/>
            <w:vAlign w:val="bottom"/>
          </w:tcPr>
          <w:p w14:paraId="332E3BBD" w14:textId="77777777" w:rsidR="001F27D2" w:rsidRPr="001F27D2" w:rsidRDefault="001F27D2" w:rsidP="001F27D2">
            <w:pPr>
              <w:spacing w:before="0" w:after="0"/>
              <w:jc w:val="center"/>
              <w:rPr>
                <w:rFonts w:cs="Calibri"/>
                <w:color w:val="000000" w:themeColor="text1"/>
                <w:sz w:val="22"/>
                <w:szCs w:val="22"/>
              </w:rPr>
            </w:pPr>
            <w:r w:rsidRPr="001F27D2">
              <w:rPr>
                <w:rFonts w:cs="Calibri"/>
                <w:color w:val="000000" w:themeColor="text1"/>
                <w:sz w:val="22"/>
                <w:szCs w:val="22"/>
              </w:rPr>
              <w:t>7.11</w:t>
            </w:r>
          </w:p>
        </w:tc>
        <w:tc>
          <w:tcPr>
            <w:tcW w:w="1276" w:type="dxa"/>
            <w:shd w:val="clear" w:color="000000" w:fill="FFFFFF"/>
            <w:noWrap/>
            <w:vAlign w:val="bottom"/>
          </w:tcPr>
          <w:p w14:paraId="0FB6A265" w14:textId="77777777" w:rsidR="001F27D2" w:rsidRPr="001F27D2" w:rsidRDefault="001F27D2" w:rsidP="001F27D2">
            <w:pPr>
              <w:spacing w:before="0" w:after="0"/>
              <w:jc w:val="center"/>
              <w:rPr>
                <w:rFonts w:cs="Calibri"/>
                <w:color w:val="000000" w:themeColor="text1"/>
                <w:sz w:val="22"/>
                <w:szCs w:val="22"/>
              </w:rPr>
            </w:pPr>
            <w:r w:rsidRPr="001F27D2">
              <w:rPr>
                <w:rFonts w:cs="Calibri"/>
                <w:color w:val="000000" w:themeColor="text1"/>
                <w:sz w:val="22"/>
                <w:szCs w:val="22"/>
              </w:rPr>
              <w:t>7.16</w:t>
            </w:r>
          </w:p>
        </w:tc>
        <w:tc>
          <w:tcPr>
            <w:tcW w:w="1701" w:type="dxa"/>
            <w:shd w:val="clear" w:color="000000" w:fill="FFFFFF"/>
            <w:noWrap/>
            <w:vAlign w:val="bottom"/>
          </w:tcPr>
          <w:p w14:paraId="6C80C345" w14:textId="77777777" w:rsidR="001F27D2" w:rsidRPr="001F27D2" w:rsidRDefault="001F27D2" w:rsidP="001F27D2">
            <w:pPr>
              <w:spacing w:before="0" w:after="0"/>
              <w:jc w:val="center"/>
              <w:rPr>
                <w:rFonts w:cs="Calibri"/>
                <w:color w:val="000000" w:themeColor="text1"/>
                <w:sz w:val="22"/>
                <w:szCs w:val="22"/>
              </w:rPr>
            </w:pPr>
            <w:r w:rsidRPr="001F27D2">
              <w:rPr>
                <w:rFonts w:cs="Calibri"/>
                <w:color w:val="000000" w:themeColor="text1"/>
                <w:sz w:val="22"/>
                <w:szCs w:val="22"/>
              </w:rPr>
              <w:t>7.26</w:t>
            </w:r>
          </w:p>
        </w:tc>
      </w:tr>
    </w:tbl>
    <w:p w14:paraId="282717D5" w14:textId="77777777" w:rsidR="001F27D2" w:rsidRPr="002B2A7F" w:rsidRDefault="001F27D2" w:rsidP="001F27D2">
      <w:pPr>
        <w:pStyle w:val="Maintext"/>
        <w:numPr>
          <w:ilvl w:val="0"/>
          <w:numId w:val="0"/>
        </w:numPr>
        <w:ind w:left="709"/>
        <w:rPr>
          <w:rFonts w:asciiTheme="minorHAnsi" w:hAnsiTheme="minorHAnsi" w:cs="Calibri"/>
        </w:rPr>
      </w:pPr>
      <w:r w:rsidRPr="002B2A7F">
        <w:rPr>
          <w:rFonts w:asciiTheme="minorHAnsi" w:hAnsiTheme="minorHAnsi" w:cs="Calibri"/>
          <w:sz w:val="20"/>
          <w:szCs w:val="20"/>
        </w:rPr>
        <w:t>Sources: ONS Ratio of house price to residence-based earnings</w:t>
      </w:r>
    </w:p>
    <w:p w14:paraId="7ECA0803" w14:textId="77777777" w:rsidR="001F27D2" w:rsidRPr="002B2A7F" w:rsidRDefault="001F27D2" w:rsidP="001F27D2">
      <w:pPr>
        <w:pStyle w:val="Reporttext"/>
        <w:numPr>
          <w:ilvl w:val="0"/>
          <w:numId w:val="0"/>
        </w:numPr>
        <w:ind w:left="709"/>
      </w:pPr>
    </w:p>
    <w:p w14:paraId="27A25FCA" w14:textId="77777777" w:rsidR="001F27D2" w:rsidRPr="002B2A7F" w:rsidRDefault="001F27D2" w:rsidP="001F27D2">
      <w:pPr>
        <w:pStyle w:val="Reporttext"/>
      </w:pPr>
      <w:r w:rsidRPr="002B2A7F">
        <w:t xml:space="preserve">Similarly, in terms of relative affordability based on median prices, Eden District is one of the most unaffordable districts compared with neighbouring areas, with a median income to house price ratio in 2017 of 7.49, as illustrated in Table 3.3. </w:t>
      </w:r>
    </w:p>
    <w:p w14:paraId="767ACE45" w14:textId="3324A7B9" w:rsidR="001F27D2" w:rsidRDefault="001F27D2" w:rsidP="001F27D2">
      <w:pPr>
        <w:pStyle w:val="Reporttext"/>
        <w:numPr>
          <w:ilvl w:val="0"/>
          <w:numId w:val="0"/>
        </w:numPr>
        <w:ind w:left="709"/>
      </w:pPr>
    </w:p>
    <w:tbl>
      <w:tblPr>
        <w:tblW w:w="8602" w:type="dxa"/>
        <w:tblInd w:w="720"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4208"/>
        <w:gridCol w:w="1417"/>
        <w:gridCol w:w="1560"/>
        <w:gridCol w:w="1417"/>
      </w:tblGrid>
      <w:tr w:rsidR="001F27D2" w:rsidRPr="001F27D2" w14:paraId="48152ED2" w14:textId="77777777" w:rsidTr="001F27D2">
        <w:trPr>
          <w:trHeight w:val="365"/>
        </w:trPr>
        <w:tc>
          <w:tcPr>
            <w:tcW w:w="8602" w:type="dxa"/>
            <w:gridSpan w:val="4"/>
            <w:shd w:val="clear" w:color="000000" w:fill="008080"/>
            <w:vAlign w:val="bottom"/>
            <w:hideMark/>
          </w:tcPr>
          <w:p w14:paraId="60481331" w14:textId="6FE41BFE" w:rsidR="001F27D2" w:rsidRPr="001F27D2" w:rsidRDefault="001F27D2" w:rsidP="001F27D2">
            <w:pPr>
              <w:pStyle w:val="Tableheading1"/>
            </w:pPr>
            <w:bookmarkStart w:id="244" w:name="_Toc531122930"/>
            <w:bookmarkStart w:id="245" w:name="_Toc532812467"/>
            <w:r w:rsidRPr="001F27D2">
              <w:t>Table 3.3</w:t>
            </w:r>
            <w:r w:rsidRPr="001F27D2">
              <w:tab/>
              <w:t>Relative affordability of median prices by District (residence base)</w:t>
            </w:r>
            <w:bookmarkEnd w:id="244"/>
            <w:bookmarkEnd w:id="245"/>
          </w:p>
        </w:tc>
      </w:tr>
      <w:tr w:rsidR="001F27D2" w:rsidRPr="001F27D2" w14:paraId="1EF7FB08" w14:textId="77777777" w:rsidTr="001F27D2">
        <w:trPr>
          <w:trHeight w:val="320"/>
        </w:trPr>
        <w:tc>
          <w:tcPr>
            <w:tcW w:w="4208" w:type="dxa"/>
            <w:shd w:val="clear" w:color="000000" w:fill="008080"/>
            <w:vAlign w:val="bottom"/>
            <w:hideMark/>
          </w:tcPr>
          <w:p w14:paraId="6FB1F6F8" w14:textId="77777777" w:rsidR="001F27D2" w:rsidRPr="001F27D2" w:rsidRDefault="001F27D2" w:rsidP="001F27D2">
            <w:pPr>
              <w:spacing w:before="0" w:after="0"/>
              <w:rPr>
                <w:rFonts w:cs="Calibri"/>
                <w:b/>
                <w:bCs/>
                <w:color w:val="FFFFFF"/>
                <w:sz w:val="22"/>
                <w:szCs w:val="22"/>
              </w:rPr>
            </w:pPr>
            <w:r w:rsidRPr="001F27D2">
              <w:rPr>
                <w:rFonts w:cs="Calibri"/>
                <w:b/>
                <w:bCs/>
                <w:color w:val="FFFFFF"/>
                <w:sz w:val="22"/>
                <w:szCs w:val="22"/>
              </w:rPr>
              <w:t>District</w:t>
            </w:r>
          </w:p>
        </w:tc>
        <w:tc>
          <w:tcPr>
            <w:tcW w:w="1417" w:type="dxa"/>
            <w:shd w:val="clear" w:color="000000" w:fill="008080"/>
            <w:vAlign w:val="bottom"/>
            <w:hideMark/>
          </w:tcPr>
          <w:p w14:paraId="195C6947" w14:textId="77777777" w:rsidR="001F27D2" w:rsidRPr="001F27D2" w:rsidRDefault="001F27D2" w:rsidP="001F27D2">
            <w:pPr>
              <w:spacing w:before="0" w:after="0"/>
              <w:jc w:val="center"/>
              <w:rPr>
                <w:rFonts w:cs="Calibri"/>
                <w:b/>
                <w:bCs/>
                <w:color w:val="FFFFFF"/>
                <w:sz w:val="22"/>
                <w:szCs w:val="22"/>
              </w:rPr>
            </w:pPr>
            <w:r w:rsidRPr="001F27D2">
              <w:rPr>
                <w:rFonts w:cs="Calibri"/>
                <w:b/>
                <w:bCs/>
                <w:color w:val="FFFFFF"/>
                <w:sz w:val="22"/>
                <w:szCs w:val="22"/>
              </w:rPr>
              <w:t>2015</w:t>
            </w:r>
          </w:p>
        </w:tc>
        <w:tc>
          <w:tcPr>
            <w:tcW w:w="1560" w:type="dxa"/>
            <w:shd w:val="clear" w:color="000000" w:fill="008080"/>
            <w:vAlign w:val="bottom"/>
            <w:hideMark/>
          </w:tcPr>
          <w:p w14:paraId="093F92E7" w14:textId="77777777" w:rsidR="001F27D2" w:rsidRPr="001F27D2" w:rsidRDefault="001F27D2" w:rsidP="001F27D2">
            <w:pPr>
              <w:spacing w:before="0" w:after="0"/>
              <w:jc w:val="center"/>
              <w:rPr>
                <w:rFonts w:cs="Calibri"/>
                <w:b/>
                <w:bCs/>
                <w:color w:val="FFFFFF"/>
                <w:sz w:val="22"/>
                <w:szCs w:val="22"/>
              </w:rPr>
            </w:pPr>
            <w:r w:rsidRPr="001F27D2">
              <w:rPr>
                <w:rFonts w:cs="Calibri"/>
                <w:b/>
                <w:bCs/>
                <w:color w:val="FFFFFF"/>
                <w:sz w:val="22"/>
                <w:szCs w:val="22"/>
              </w:rPr>
              <w:t>2016</w:t>
            </w:r>
          </w:p>
        </w:tc>
        <w:tc>
          <w:tcPr>
            <w:tcW w:w="1417" w:type="dxa"/>
            <w:shd w:val="clear" w:color="000000" w:fill="008080"/>
            <w:vAlign w:val="bottom"/>
            <w:hideMark/>
          </w:tcPr>
          <w:p w14:paraId="66F34DAE" w14:textId="77777777" w:rsidR="001F27D2" w:rsidRPr="001F27D2" w:rsidRDefault="001F27D2" w:rsidP="001F27D2">
            <w:pPr>
              <w:spacing w:before="0" w:after="0"/>
              <w:jc w:val="center"/>
              <w:rPr>
                <w:rFonts w:cs="Calibri"/>
                <w:b/>
                <w:bCs/>
                <w:color w:val="FFFFFF"/>
                <w:sz w:val="22"/>
                <w:szCs w:val="22"/>
              </w:rPr>
            </w:pPr>
            <w:r w:rsidRPr="001F27D2">
              <w:rPr>
                <w:rFonts w:cs="Calibri"/>
                <w:b/>
                <w:bCs/>
                <w:color w:val="FFFFFF"/>
                <w:sz w:val="22"/>
                <w:szCs w:val="22"/>
              </w:rPr>
              <w:t>2017</w:t>
            </w:r>
          </w:p>
        </w:tc>
      </w:tr>
      <w:tr w:rsidR="001F27D2" w:rsidRPr="001F27D2" w14:paraId="6F7CA8EA" w14:textId="77777777" w:rsidTr="001F27D2">
        <w:trPr>
          <w:trHeight w:val="320"/>
        </w:trPr>
        <w:tc>
          <w:tcPr>
            <w:tcW w:w="4208" w:type="dxa"/>
            <w:shd w:val="clear" w:color="auto" w:fill="auto"/>
            <w:noWrap/>
            <w:vAlign w:val="bottom"/>
          </w:tcPr>
          <w:p w14:paraId="2A662E2F" w14:textId="77777777" w:rsidR="001F27D2" w:rsidRPr="001F27D2" w:rsidRDefault="001F27D2" w:rsidP="001F27D2">
            <w:pPr>
              <w:spacing w:before="0" w:after="0"/>
              <w:rPr>
                <w:rFonts w:cs="Calibri"/>
                <w:sz w:val="22"/>
                <w:szCs w:val="22"/>
              </w:rPr>
            </w:pPr>
            <w:r w:rsidRPr="001F27D2">
              <w:rPr>
                <w:rFonts w:cs="Calibri"/>
                <w:color w:val="000000"/>
                <w:sz w:val="22"/>
                <w:szCs w:val="22"/>
              </w:rPr>
              <w:t>Eden District</w:t>
            </w:r>
          </w:p>
        </w:tc>
        <w:tc>
          <w:tcPr>
            <w:tcW w:w="1417" w:type="dxa"/>
            <w:shd w:val="clear" w:color="000000" w:fill="FFFFFF"/>
            <w:noWrap/>
            <w:vAlign w:val="bottom"/>
          </w:tcPr>
          <w:p w14:paraId="2D069778"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7.68</w:t>
            </w:r>
          </w:p>
        </w:tc>
        <w:tc>
          <w:tcPr>
            <w:tcW w:w="1560" w:type="dxa"/>
            <w:shd w:val="clear" w:color="000000" w:fill="FFFFFF"/>
            <w:noWrap/>
            <w:vAlign w:val="bottom"/>
          </w:tcPr>
          <w:p w14:paraId="70ED9AA0"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7.80</w:t>
            </w:r>
          </w:p>
        </w:tc>
        <w:tc>
          <w:tcPr>
            <w:tcW w:w="1417" w:type="dxa"/>
            <w:shd w:val="clear" w:color="000000" w:fill="FFFFFF"/>
            <w:noWrap/>
            <w:vAlign w:val="bottom"/>
          </w:tcPr>
          <w:p w14:paraId="6651E9A1"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7.49</w:t>
            </w:r>
          </w:p>
        </w:tc>
      </w:tr>
      <w:tr w:rsidR="001F27D2" w:rsidRPr="001F27D2" w14:paraId="718F3A33" w14:textId="77777777" w:rsidTr="001F27D2">
        <w:trPr>
          <w:trHeight w:val="320"/>
        </w:trPr>
        <w:tc>
          <w:tcPr>
            <w:tcW w:w="4208" w:type="dxa"/>
            <w:shd w:val="clear" w:color="auto" w:fill="auto"/>
            <w:noWrap/>
            <w:vAlign w:val="bottom"/>
          </w:tcPr>
          <w:p w14:paraId="1C691AA3" w14:textId="77777777" w:rsidR="001F27D2" w:rsidRPr="001F27D2" w:rsidRDefault="001F27D2" w:rsidP="001F27D2">
            <w:pPr>
              <w:spacing w:before="0" w:after="0"/>
              <w:rPr>
                <w:rFonts w:cs="Calibri"/>
                <w:sz w:val="22"/>
                <w:szCs w:val="22"/>
              </w:rPr>
            </w:pPr>
            <w:r w:rsidRPr="001F27D2">
              <w:rPr>
                <w:rFonts w:cs="Calibri"/>
                <w:color w:val="000000"/>
                <w:sz w:val="22"/>
                <w:szCs w:val="22"/>
              </w:rPr>
              <w:t>Allerdale</w:t>
            </w:r>
          </w:p>
        </w:tc>
        <w:tc>
          <w:tcPr>
            <w:tcW w:w="1417" w:type="dxa"/>
            <w:shd w:val="clear" w:color="000000" w:fill="FFFFFF"/>
            <w:noWrap/>
            <w:vAlign w:val="bottom"/>
          </w:tcPr>
          <w:p w14:paraId="072F9BFC"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6.57</w:t>
            </w:r>
          </w:p>
        </w:tc>
        <w:tc>
          <w:tcPr>
            <w:tcW w:w="1560" w:type="dxa"/>
            <w:shd w:val="clear" w:color="000000" w:fill="FFFFFF"/>
            <w:noWrap/>
            <w:vAlign w:val="bottom"/>
          </w:tcPr>
          <w:p w14:paraId="487FD1F0"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6.03</w:t>
            </w:r>
          </w:p>
        </w:tc>
        <w:tc>
          <w:tcPr>
            <w:tcW w:w="1417" w:type="dxa"/>
            <w:shd w:val="clear" w:color="000000" w:fill="FFFFFF"/>
            <w:noWrap/>
            <w:vAlign w:val="bottom"/>
          </w:tcPr>
          <w:p w14:paraId="6AA5B149"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6.43</w:t>
            </w:r>
          </w:p>
        </w:tc>
      </w:tr>
      <w:tr w:rsidR="001F27D2" w:rsidRPr="001F27D2" w14:paraId="558FFCE0" w14:textId="77777777" w:rsidTr="001F27D2">
        <w:trPr>
          <w:trHeight w:val="320"/>
        </w:trPr>
        <w:tc>
          <w:tcPr>
            <w:tcW w:w="4208" w:type="dxa"/>
            <w:shd w:val="clear" w:color="auto" w:fill="auto"/>
            <w:noWrap/>
            <w:vAlign w:val="bottom"/>
          </w:tcPr>
          <w:p w14:paraId="1EB899F6" w14:textId="77777777" w:rsidR="001F27D2" w:rsidRPr="001F27D2" w:rsidRDefault="001F27D2" w:rsidP="001F27D2">
            <w:pPr>
              <w:spacing w:before="0" w:after="0"/>
              <w:rPr>
                <w:rFonts w:cs="Calibri"/>
                <w:sz w:val="22"/>
                <w:szCs w:val="22"/>
              </w:rPr>
            </w:pPr>
            <w:r w:rsidRPr="001F27D2">
              <w:rPr>
                <w:rFonts w:cs="Calibri"/>
                <w:color w:val="000000"/>
                <w:sz w:val="22"/>
                <w:szCs w:val="22"/>
              </w:rPr>
              <w:t>Copeland</w:t>
            </w:r>
          </w:p>
        </w:tc>
        <w:tc>
          <w:tcPr>
            <w:tcW w:w="1417" w:type="dxa"/>
            <w:shd w:val="clear" w:color="000000" w:fill="FFFFFF"/>
            <w:noWrap/>
            <w:vAlign w:val="bottom"/>
          </w:tcPr>
          <w:p w14:paraId="2AF72758"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2.59</w:t>
            </w:r>
          </w:p>
        </w:tc>
        <w:tc>
          <w:tcPr>
            <w:tcW w:w="1560" w:type="dxa"/>
            <w:shd w:val="clear" w:color="000000" w:fill="FFFFFF"/>
            <w:noWrap/>
            <w:vAlign w:val="bottom"/>
          </w:tcPr>
          <w:p w14:paraId="66AD1E8D"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2.87</w:t>
            </w:r>
          </w:p>
        </w:tc>
        <w:tc>
          <w:tcPr>
            <w:tcW w:w="1417" w:type="dxa"/>
            <w:shd w:val="clear" w:color="000000" w:fill="FFFFFF"/>
            <w:noWrap/>
            <w:vAlign w:val="bottom"/>
          </w:tcPr>
          <w:p w14:paraId="1A7A0149"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2.71</w:t>
            </w:r>
          </w:p>
        </w:tc>
      </w:tr>
      <w:tr w:rsidR="001F27D2" w:rsidRPr="001F27D2" w14:paraId="32C1C53A" w14:textId="77777777" w:rsidTr="001F27D2">
        <w:trPr>
          <w:trHeight w:val="320"/>
        </w:trPr>
        <w:tc>
          <w:tcPr>
            <w:tcW w:w="4208" w:type="dxa"/>
            <w:shd w:val="clear" w:color="auto" w:fill="auto"/>
            <w:noWrap/>
            <w:vAlign w:val="bottom"/>
          </w:tcPr>
          <w:p w14:paraId="0FE4EF6D" w14:textId="77777777" w:rsidR="001F27D2" w:rsidRPr="001F27D2" w:rsidRDefault="001F27D2" w:rsidP="001F27D2">
            <w:pPr>
              <w:spacing w:before="0" w:after="0"/>
              <w:rPr>
                <w:rFonts w:cs="Calibri"/>
                <w:sz w:val="22"/>
                <w:szCs w:val="22"/>
              </w:rPr>
            </w:pPr>
            <w:r w:rsidRPr="001F27D2">
              <w:rPr>
                <w:rFonts w:cs="Calibri"/>
                <w:color w:val="000000"/>
                <w:sz w:val="22"/>
                <w:szCs w:val="22"/>
              </w:rPr>
              <w:t>South Lakeland</w:t>
            </w:r>
          </w:p>
        </w:tc>
        <w:tc>
          <w:tcPr>
            <w:tcW w:w="1417" w:type="dxa"/>
            <w:shd w:val="clear" w:color="000000" w:fill="FFFFFF"/>
            <w:noWrap/>
            <w:vAlign w:val="bottom"/>
          </w:tcPr>
          <w:p w14:paraId="5CC1D81A"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9.10</w:t>
            </w:r>
          </w:p>
        </w:tc>
        <w:tc>
          <w:tcPr>
            <w:tcW w:w="1560" w:type="dxa"/>
            <w:shd w:val="clear" w:color="000000" w:fill="FFFFFF"/>
            <w:noWrap/>
            <w:vAlign w:val="bottom"/>
          </w:tcPr>
          <w:p w14:paraId="138C3D6E"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9.10</w:t>
            </w:r>
          </w:p>
        </w:tc>
        <w:tc>
          <w:tcPr>
            <w:tcW w:w="1417" w:type="dxa"/>
            <w:shd w:val="clear" w:color="000000" w:fill="FFFFFF"/>
            <w:noWrap/>
            <w:vAlign w:val="bottom"/>
          </w:tcPr>
          <w:p w14:paraId="061D7297"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9.67</w:t>
            </w:r>
          </w:p>
        </w:tc>
      </w:tr>
      <w:tr w:rsidR="001F27D2" w:rsidRPr="001F27D2" w14:paraId="1A05A117" w14:textId="77777777" w:rsidTr="001F27D2">
        <w:trPr>
          <w:trHeight w:val="320"/>
        </w:trPr>
        <w:tc>
          <w:tcPr>
            <w:tcW w:w="4208" w:type="dxa"/>
            <w:shd w:val="clear" w:color="auto" w:fill="auto"/>
            <w:noWrap/>
            <w:vAlign w:val="bottom"/>
          </w:tcPr>
          <w:p w14:paraId="4EB808A7" w14:textId="77777777" w:rsidR="001F27D2" w:rsidRPr="001F27D2" w:rsidRDefault="001F27D2" w:rsidP="001F27D2">
            <w:pPr>
              <w:spacing w:before="0" w:after="0"/>
              <w:rPr>
                <w:rFonts w:cs="Calibri"/>
                <w:sz w:val="22"/>
                <w:szCs w:val="22"/>
              </w:rPr>
            </w:pPr>
            <w:r w:rsidRPr="001F27D2">
              <w:rPr>
                <w:rFonts w:cs="Calibri"/>
                <w:color w:val="000000"/>
                <w:sz w:val="22"/>
                <w:szCs w:val="22"/>
              </w:rPr>
              <w:t>Carlisle</w:t>
            </w:r>
          </w:p>
        </w:tc>
        <w:tc>
          <w:tcPr>
            <w:tcW w:w="1417" w:type="dxa"/>
            <w:shd w:val="clear" w:color="000000" w:fill="FFFFFF"/>
            <w:noWrap/>
            <w:vAlign w:val="bottom"/>
          </w:tcPr>
          <w:p w14:paraId="0530CC8F"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5.33</w:t>
            </w:r>
          </w:p>
        </w:tc>
        <w:tc>
          <w:tcPr>
            <w:tcW w:w="1560" w:type="dxa"/>
            <w:shd w:val="clear" w:color="000000" w:fill="FFFFFF"/>
            <w:noWrap/>
            <w:vAlign w:val="bottom"/>
          </w:tcPr>
          <w:p w14:paraId="3C242DEA"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5.41</w:t>
            </w:r>
          </w:p>
        </w:tc>
        <w:tc>
          <w:tcPr>
            <w:tcW w:w="1417" w:type="dxa"/>
            <w:shd w:val="clear" w:color="000000" w:fill="FFFFFF"/>
            <w:noWrap/>
            <w:vAlign w:val="bottom"/>
          </w:tcPr>
          <w:p w14:paraId="53024B0A"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5.27</w:t>
            </w:r>
          </w:p>
        </w:tc>
      </w:tr>
      <w:tr w:rsidR="001F27D2" w:rsidRPr="001F27D2" w14:paraId="71B10743" w14:textId="77777777" w:rsidTr="001F27D2">
        <w:trPr>
          <w:trHeight w:val="320"/>
        </w:trPr>
        <w:tc>
          <w:tcPr>
            <w:tcW w:w="4208" w:type="dxa"/>
            <w:shd w:val="clear" w:color="auto" w:fill="auto"/>
            <w:noWrap/>
            <w:vAlign w:val="bottom"/>
          </w:tcPr>
          <w:p w14:paraId="6501BCC1" w14:textId="77777777" w:rsidR="001F27D2" w:rsidRPr="001F27D2" w:rsidRDefault="001F27D2" w:rsidP="001F27D2">
            <w:pPr>
              <w:spacing w:before="0" w:after="0"/>
              <w:rPr>
                <w:rFonts w:cs="Calibri"/>
                <w:sz w:val="22"/>
                <w:szCs w:val="22"/>
              </w:rPr>
            </w:pPr>
            <w:r w:rsidRPr="001F27D2">
              <w:rPr>
                <w:rFonts w:cs="Calibri"/>
                <w:color w:val="000000"/>
                <w:sz w:val="22"/>
                <w:szCs w:val="22"/>
              </w:rPr>
              <w:t>County Durham</w:t>
            </w:r>
          </w:p>
        </w:tc>
        <w:tc>
          <w:tcPr>
            <w:tcW w:w="1417" w:type="dxa"/>
            <w:shd w:val="clear" w:color="000000" w:fill="FFFFFF"/>
            <w:noWrap/>
            <w:vAlign w:val="bottom"/>
          </w:tcPr>
          <w:p w14:paraId="0EB32A4F"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4.57</w:t>
            </w:r>
          </w:p>
        </w:tc>
        <w:tc>
          <w:tcPr>
            <w:tcW w:w="1560" w:type="dxa"/>
            <w:shd w:val="clear" w:color="000000" w:fill="FFFFFF"/>
            <w:noWrap/>
            <w:vAlign w:val="bottom"/>
          </w:tcPr>
          <w:p w14:paraId="0A6AC549"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4.57</w:t>
            </w:r>
          </w:p>
        </w:tc>
        <w:tc>
          <w:tcPr>
            <w:tcW w:w="1417" w:type="dxa"/>
            <w:shd w:val="clear" w:color="000000" w:fill="FFFFFF"/>
            <w:noWrap/>
            <w:vAlign w:val="bottom"/>
          </w:tcPr>
          <w:p w14:paraId="3D1F37EB"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4.46</w:t>
            </w:r>
          </w:p>
        </w:tc>
      </w:tr>
      <w:tr w:rsidR="001F27D2" w:rsidRPr="001F27D2" w14:paraId="7B92AB2B" w14:textId="77777777" w:rsidTr="001F27D2">
        <w:trPr>
          <w:trHeight w:val="320"/>
        </w:trPr>
        <w:tc>
          <w:tcPr>
            <w:tcW w:w="4208" w:type="dxa"/>
            <w:shd w:val="clear" w:color="auto" w:fill="auto"/>
            <w:noWrap/>
            <w:vAlign w:val="bottom"/>
          </w:tcPr>
          <w:p w14:paraId="2F708DD3" w14:textId="77777777" w:rsidR="001F27D2" w:rsidRPr="001F27D2" w:rsidRDefault="001F27D2" w:rsidP="001F27D2">
            <w:pPr>
              <w:spacing w:before="0" w:after="0"/>
              <w:rPr>
                <w:rFonts w:cs="Calibri"/>
                <w:sz w:val="22"/>
                <w:szCs w:val="22"/>
              </w:rPr>
            </w:pPr>
            <w:r w:rsidRPr="001F27D2">
              <w:rPr>
                <w:rFonts w:cs="Calibri"/>
                <w:color w:val="000000"/>
                <w:sz w:val="22"/>
                <w:szCs w:val="22"/>
              </w:rPr>
              <w:t>Northumberland</w:t>
            </w:r>
          </w:p>
        </w:tc>
        <w:tc>
          <w:tcPr>
            <w:tcW w:w="1417" w:type="dxa"/>
            <w:shd w:val="clear" w:color="000000" w:fill="FFFFFF"/>
            <w:noWrap/>
            <w:vAlign w:val="bottom"/>
          </w:tcPr>
          <w:p w14:paraId="0BFDB47E"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6.50</w:t>
            </w:r>
          </w:p>
        </w:tc>
        <w:tc>
          <w:tcPr>
            <w:tcW w:w="1560" w:type="dxa"/>
            <w:shd w:val="clear" w:color="000000" w:fill="FFFFFF"/>
            <w:noWrap/>
            <w:vAlign w:val="bottom"/>
          </w:tcPr>
          <w:p w14:paraId="1F01FB46"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6.26</w:t>
            </w:r>
          </w:p>
        </w:tc>
        <w:tc>
          <w:tcPr>
            <w:tcW w:w="1417" w:type="dxa"/>
            <w:shd w:val="clear" w:color="000000" w:fill="FFFFFF"/>
            <w:noWrap/>
            <w:vAlign w:val="bottom"/>
          </w:tcPr>
          <w:p w14:paraId="2A117A6F"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6.38</w:t>
            </w:r>
          </w:p>
        </w:tc>
      </w:tr>
      <w:tr w:rsidR="001F27D2" w:rsidRPr="001F27D2" w14:paraId="4EF7ECC8" w14:textId="77777777" w:rsidTr="001F27D2">
        <w:trPr>
          <w:trHeight w:val="320"/>
        </w:trPr>
        <w:tc>
          <w:tcPr>
            <w:tcW w:w="4208" w:type="dxa"/>
            <w:shd w:val="clear" w:color="auto" w:fill="auto"/>
            <w:noWrap/>
            <w:vAlign w:val="bottom"/>
          </w:tcPr>
          <w:p w14:paraId="44BD8F53" w14:textId="77777777" w:rsidR="001F27D2" w:rsidRPr="001F27D2" w:rsidRDefault="001F27D2" w:rsidP="001F27D2">
            <w:pPr>
              <w:spacing w:before="0" w:after="0"/>
              <w:rPr>
                <w:rFonts w:cs="Calibri"/>
                <w:sz w:val="22"/>
                <w:szCs w:val="22"/>
              </w:rPr>
            </w:pPr>
            <w:r w:rsidRPr="001F27D2">
              <w:rPr>
                <w:rFonts w:cs="Calibri"/>
                <w:color w:val="000000"/>
                <w:sz w:val="22"/>
                <w:szCs w:val="22"/>
              </w:rPr>
              <w:t>Richmondshire</w:t>
            </w:r>
          </w:p>
        </w:tc>
        <w:tc>
          <w:tcPr>
            <w:tcW w:w="1417" w:type="dxa"/>
            <w:shd w:val="clear" w:color="000000" w:fill="FFFFFF"/>
            <w:noWrap/>
            <w:vAlign w:val="bottom"/>
          </w:tcPr>
          <w:p w14:paraId="373042FD"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8.10</w:t>
            </w:r>
          </w:p>
        </w:tc>
        <w:tc>
          <w:tcPr>
            <w:tcW w:w="1560" w:type="dxa"/>
            <w:shd w:val="clear" w:color="000000" w:fill="FFFFFF"/>
            <w:noWrap/>
            <w:vAlign w:val="bottom"/>
          </w:tcPr>
          <w:p w14:paraId="5186A399"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7.40</w:t>
            </w:r>
          </w:p>
        </w:tc>
        <w:tc>
          <w:tcPr>
            <w:tcW w:w="1417" w:type="dxa"/>
            <w:shd w:val="clear" w:color="000000" w:fill="FFFFFF"/>
            <w:noWrap/>
            <w:vAlign w:val="bottom"/>
          </w:tcPr>
          <w:p w14:paraId="353F0D8F"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7.43</w:t>
            </w:r>
          </w:p>
        </w:tc>
      </w:tr>
      <w:tr w:rsidR="001F27D2" w:rsidRPr="001F27D2" w14:paraId="6A301FDC" w14:textId="77777777" w:rsidTr="001F27D2">
        <w:trPr>
          <w:trHeight w:val="320"/>
        </w:trPr>
        <w:tc>
          <w:tcPr>
            <w:tcW w:w="4208" w:type="dxa"/>
            <w:shd w:val="clear" w:color="auto" w:fill="auto"/>
            <w:noWrap/>
            <w:vAlign w:val="bottom"/>
          </w:tcPr>
          <w:p w14:paraId="18439996" w14:textId="77777777" w:rsidR="001F27D2" w:rsidRPr="001F27D2" w:rsidRDefault="001F27D2" w:rsidP="001F27D2">
            <w:pPr>
              <w:spacing w:before="0" w:after="0"/>
              <w:rPr>
                <w:rFonts w:cs="Calibri"/>
                <w:color w:val="000000"/>
                <w:sz w:val="22"/>
                <w:szCs w:val="22"/>
              </w:rPr>
            </w:pPr>
            <w:r w:rsidRPr="001F27D2">
              <w:rPr>
                <w:rFonts w:cs="Calibri"/>
                <w:color w:val="000000"/>
                <w:sz w:val="22"/>
                <w:szCs w:val="22"/>
              </w:rPr>
              <w:t>North West</w:t>
            </w:r>
          </w:p>
        </w:tc>
        <w:tc>
          <w:tcPr>
            <w:tcW w:w="1417" w:type="dxa"/>
            <w:shd w:val="clear" w:color="000000" w:fill="FFFFFF"/>
            <w:noWrap/>
            <w:vAlign w:val="bottom"/>
          </w:tcPr>
          <w:p w14:paraId="7467DCAA"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5.54</w:t>
            </w:r>
          </w:p>
        </w:tc>
        <w:tc>
          <w:tcPr>
            <w:tcW w:w="1560" w:type="dxa"/>
            <w:shd w:val="clear" w:color="000000" w:fill="FFFFFF"/>
            <w:noWrap/>
            <w:vAlign w:val="bottom"/>
          </w:tcPr>
          <w:p w14:paraId="4F896968"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5.64</w:t>
            </w:r>
          </w:p>
        </w:tc>
        <w:tc>
          <w:tcPr>
            <w:tcW w:w="1417" w:type="dxa"/>
            <w:shd w:val="clear" w:color="000000" w:fill="FFFFFF"/>
            <w:noWrap/>
            <w:vAlign w:val="bottom"/>
          </w:tcPr>
          <w:p w14:paraId="659D9A2A"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5.81</w:t>
            </w:r>
          </w:p>
        </w:tc>
      </w:tr>
      <w:tr w:rsidR="001F27D2" w:rsidRPr="001F27D2" w14:paraId="1F924734" w14:textId="77777777" w:rsidTr="001F27D2">
        <w:trPr>
          <w:trHeight w:val="320"/>
        </w:trPr>
        <w:tc>
          <w:tcPr>
            <w:tcW w:w="4208" w:type="dxa"/>
            <w:shd w:val="clear" w:color="auto" w:fill="auto"/>
            <w:noWrap/>
            <w:vAlign w:val="bottom"/>
          </w:tcPr>
          <w:p w14:paraId="53433C9F" w14:textId="77777777" w:rsidR="001F27D2" w:rsidRPr="001F27D2" w:rsidRDefault="001F27D2" w:rsidP="001F27D2">
            <w:pPr>
              <w:spacing w:before="0" w:after="0"/>
              <w:rPr>
                <w:rFonts w:cs="Calibri"/>
                <w:color w:val="000000"/>
                <w:sz w:val="22"/>
                <w:szCs w:val="22"/>
              </w:rPr>
            </w:pPr>
            <w:r w:rsidRPr="001F27D2">
              <w:rPr>
                <w:rFonts w:cs="Calibri"/>
                <w:color w:val="000000"/>
                <w:sz w:val="22"/>
                <w:szCs w:val="22"/>
              </w:rPr>
              <w:t>England</w:t>
            </w:r>
          </w:p>
        </w:tc>
        <w:tc>
          <w:tcPr>
            <w:tcW w:w="1417" w:type="dxa"/>
            <w:shd w:val="clear" w:color="000000" w:fill="FFFFFF"/>
            <w:noWrap/>
            <w:vAlign w:val="bottom"/>
          </w:tcPr>
          <w:p w14:paraId="557989B6"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7.53</w:t>
            </w:r>
          </w:p>
        </w:tc>
        <w:tc>
          <w:tcPr>
            <w:tcW w:w="1560" w:type="dxa"/>
            <w:shd w:val="clear" w:color="000000" w:fill="FFFFFF"/>
            <w:noWrap/>
            <w:vAlign w:val="bottom"/>
          </w:tcPr>
          <w:p w14:paraId="32A4DED0"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7.72</w:t>
            </w:r>
          </w:p>
        </w:tc>
        <w:tc>
          <w:tcPr>
            <w:tcW w:w="1417" w:type="dxa"/>
            <w:shd w:val="clear" w:color="000000" w:fill="FFFFFF"/>
            <w:noWrap/>
            <w:vAlign w:val="bottom"/>
          </w:tcPr>
          <w:p w14:paraId="7A04A747"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7.91</w:t>
            </w:r>
          </w:p>
        </w:tc>
      </w:tr>
    </w:tbl>
    <w:p w14:paraId="49C26BD5" w14:textId="77777777" w:rsidR="001F27D2" w:rsidRPr="002B2A7F" w:rsidRDefault="001F27D2" w:rsidP="001F27D2">
      <w:pPr>
        <w:ind w:left="709"/>
        <w:rPr>
          <w:rFonts w:asciiTheme="minorHAnsi" w:hAnsiTheme="minorHAnsi" w:cs="Calibri"/>
          <w:sz w:val="20"/>
          <w:szCs w:val="20"/>
        </w:rPr>
      </w:pPr>
      <w:r w:rsidRPr="002B2A7F">
        <w:rPr>
          <w:rFonts w:asciiTheme="minorHAnsi" w:hAnsiTheme="minorHAnsi" w:cs="Calibri"/>
          <w:sz w:val="20"/>
          <w:szCs w:val="20"/>
        </w:rPr>
        <w:t>Sources: ONS Ratio of house price to residence-based earnings</w:t>
      </w:r>
    </w:p>
    <w:p w14:paraId="42AFB155" w14:textId="77777777" w:rsidR="001F27D2" w:rsidRPr="002B2A7F" w:rsidRDefault="001F27D2" w:rsidP="001F27D2">
      <w:pPr>
        <w:rPr>
          <w:rFonts w:asciiTheme="minorHAnsi" w:hAnsiTheme="minorHAnsi"/>
        </w:rPr>
      </w:pPr>
    </w:p>
    <w:p w14:paraId="6932D362" w14:textId="77777777" w:rsidR="001F27D2" w:rsidRPr="002B2A7F" w:rsidRDefault="001F27D2" w:rsidP="001F27D2">
      <w:pPr>
        <w:pStyle w:val="Heading2"/>
        <w:ind w:left="720" w:hanging="11"/>
        <w:rPr>
          <w:rFonts w:asciiTheme="minorHAnsi" w:hAnsiTheme="minorHAnsi" w:cs="Calibri"/>
        </w:rPr>
      </w:pPr>
      <w:bookmarkStart w:id="246" w:name="_Toc531122867"/>
      <w:bookmarkStart w:id="247" w:name="_Toc532812399"/>
      <w:bookmarkStart w:id="248" w:name="_Toc395193548"/>
      <w:bookmarkStart w:id="249" w:name="_Toc524935575"/>
      <w:bookmarkStart w:id="250" w:name="_Toc428528474"/>
      <w:bookmarkStart w:id="251" w:name="_Toc430084567"/>
      <w:bookmarkStart w:id="252" w:name="_Toc430782021"/>
      <w:bookmarkStart w:id="253" w:name="_Toc399864359"/>
      <w:r w:rsidRPr="002B2A7F">
        <w:rPr>
          <w:rFonts w:asciiTheme="minorHAnsi" w:hAnsiTheme="minorHAnsi" w:cs="Calibri"/>
        </w:rPr>
        <w:t>Relative affordability of housing tenure options</w:t>
      </w:r>
      <w:bookmarkEnd w:id="246"/>
      <w:bookmarkEnd w:id="247"/>
    </w:p>
    <w:p w14:paraId="5DE437B5" w14:textId="24663273" w:rsidR="001F27D2" w:rsidRPr="002B2A7F" w:rsidRDefault="001F27D2" w:rsidP="001F27D2">
      <w:pPr>
        <w:pStyle w:val="Reporttext"/>
      </w:pPr>
      <w:r w:rsidRPr="002B2A7F">
        <w:t>The relative cost of alternative housing options across Eden District and its ward</w:t>
      </w:r>
      <w:r w:rsidR="00F64686">
        <w:t>s</w:t>
      </w:r>
      <w:r w:rsidRPr="002B2A7F">
        <w:t xml:space="preserve"> are explored in Table 3.4 </w:t>
      </w:r>
      <w:r w:rsidR="00216BFB">
        <w:t>to</w:t>
      </w:r>
      <w:r w:rsidRPr="002B2A7F">
        <w:t xml:space="preserve"> 3.6. This includes affordable and market rent options and intermediate tenure options, including shared ownership. Table 3.5 shows the income required for the various options and Table 3.6 presents the assumptions underpinning the analysis.</w:t>
      </w:r>
    </w:p>
    <w:p w14:paraId="173A042E" w14:textId="244B858C" w:rsidR="001F27D2" w:rsidRPr="002B2A7F" w:rsidRDefault="001F27D2" w:rsidP="001F27D2">
      <w:pPr>
        <w:pStyle w:val="Reporttext"/>
      </w:pPr>
      <w:r w:rsidRPr="002B2A7F">
        <w:lastRenderedPageBreak/>
        <w:t xml:space="preserve">This analysis indicates that for open market housing at the Eden District level the minimum income required is £22,896 for rent (for lower quartile or entry-level renting) or £34,714 for buying (for lower quartile or entry-level house prices). These amounts vary by HMA as show in the tables. </w:t>
      </w:r>
    </w:p>
    <w:p w14:paraId="27BF21FE" w14:textId="77777777" w:rsidR="001F27D2" w:rsidRPr="002B2A7F" w:rsidRDefault="001F27D2" w:rsidP="001F27D2">
      <w:pPr>
        <w:pStyle w:val="Reporttext"/>
        <w:numPr>
          <w:ilvl w:val="0"/>
          <w:numId w:val="0"/>
        </w:numPr>
        <w:ind w:left="709"/>
      </w:pPr>
    </w:p>
    <w:p w14:paraId="6A87D979" w14:textId="77777777" w:rsidR="001F27D2" w:rsidRPr="002B2A7F" w:rsidRDefault="001F27D2" w:rsidP="001F27D2">
      <w:pPr>
        <w:pStyle w:val="Reporttext"/>
        <w:numPr>
          <w:ilvl w:val="0"/>
          <w:numId w:val="0"/>
        </w:numPr>
        <w:ind w:left="709"/>
        <w:sectPr w:rsidR="001F27D2" w:rsidRPr="002B2A7F" w:rsidSect="002B41F6">
          <w:headerReference w:type="default" r:id="rId26"/>
          <w:footerReference w:type="default" r:id="rId27"/>
          <w:pgSz w:w="11906" w:h="16838"/>
          <w:pgMar w:top="1440" w:right="1276" w:bottom="1134" w:left="1440" w:header="708" w:footer="708" w:gutter="0"/>
          <w:cols w:space="708"/>
          <w:docGrid w:linePitch="360"/>
        </w:sectPr>
      </w:pP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3036"/>
        <w:gridCol w:w="1671"/>
        <w:gridCol w:w="1533"/>
        <w:gridCol w:w="1671"/>
        <w:gridCol w:w="1671"/>
        <w:gridCol w:w="1391"/>
        <w:gridCol w:w="1671"/>
        <w:gridCol w:w="1468"/>
      </w:tblGrid>
      <w:tr w:rsidR="001F27D2" w:rsidRPr="001F27D2" w14:paraId="69BD238A" w14:textId="77777777" w:rsidTr="001F27D2">
        <w:trPr>
          <w:trHeight w:val="320"/>
        </w:trPr>
        <w:tc>
          <w:tcPr>
            <w:tcW w:w="5000" w:type="pct"/>
            <w:gridSpan w:val="8"/>
            <w:shd w:val="clear" w:color="000000" w:fill="008080"/>
            <w:noWrap/>
            <w:vAlign w:val="bottom"/>
          </w:tcPr>
          <w:p w14:paraId="78AEECBE" w14:textId="77777777" w:rsidR="001F27D2" w:rsidRPr="001F27D2" w:rsidRDefault="001F27D2" w:rsidP="001F27D2">
            <w:pPr>
              <w:pStyle w:val="Tableheading1"/>
              <w:rPr>
                <w:color w:val="000000"/>
                <w:szCs w:val="22"/>
              </w:rPr>
            </w:pPr>
            <w:bookmarkStart w:id="254" w:name="_Toc531122931"/>
            <w:bookmarkStart w:id="255" w:name="_Toc532812468"/>
            <w:r w:rsidRPr="001F27D2">
              <w:lastRenderedPageBreak/>
              <w:t>Table 3.4</w:t>
            </w:r>
            <w:r w:rsidRPr="001F27D2">
              <w:tab/>
              <w:t>Cost of alternative tenure options by Housing Market Area</w:t>
            </w:r>
            <w:bookmarkEnd w:id="254"/>
            <w:bookmarkEnd w:id="255"/>
          </w:p>
        </w:tc>
      </w:tr>
      <w:tr w:rsidR="001F27D2" w:rsidRPr="001F27D2" w14:paraId="332F0FC6" w14:textId="77777777" w:rsidTr="0030287C">
        <w:trPr>
          <w:trHeight w:val="320"/>
        </w:trPr>
        <w:tc>
          <w:tcPr>
            <w:tcW w:w="1076" w:type="pct"/>
            <w:vMerge w:val="restart"/>
            <w:shd w:val="clear" w:color="000000" w:fill="008080"/>
            <w:noWrap/>
            <w:vAlign w:val="bottom"/>
            <w:hideMark/>
          </w:tcPr>
          <w:p w14:paraId="18096257" w14:textId="77777777" w:rsidR="001F27D2" w:rsidRPr="001F27D2" w:rsidRDefault="001F27D2" w:rsidP="001F27D2">
            <w:pPr>
              <w:spacing w:before="0" w:after="0"/>
              <w:rPr>
                <w:rFonts w:cs="Calibri"/>
                <w:b/>
                <w:bCs/>
                <w:color w:val="FFFFFF"/>
                <w:sz w:val="22"/>
                <w:szCs w:val="22"/>
              </w:rPr>
            </w:pPr>
            <w:r w:rsidRPr="001F27D2">
              <w:rPr>
                <w:rFonts w:cs="Calibri"/>
                <w:b/>
                <w:bCs/>
                <w:color w:val="FFFFFF"/>
                <w:sz w:val="22"/>
                <w:szCs w:val="22"/>
              </w:rPr>
              <w:t>Tenure option</w:t>
            </w:r>
          </w:p>
        </w:tc>
        <w:tc>
          <w:tcPr>
            <w:tcW w:w="3924" w:type="pct"/>
            <w:gridSpan w:val="7"/>
            <w:shd w:val="clear" w:color="000000" w:fill="008080"/>
            <w:noWrap/>
            <w:vAlign w:val="bottom"/>
            <w:hideMark/>
          </w:tcPr>
          <w:p w14:paraId="3B0E6B16" w14:textId="77777777" w:rsidR="001F27D2" w:rsidRPr="001F27D2" w:rsidRDefault="001F27D2" w:rsidP="001F27D2">
            <w:pPr>
              <w:spacing w:before="0" w:after="0"/>
              <w:jc w:val="center"/>
              <w:rPr>
                <w:rFonts w:cs="Calibri"/>
                <w:color w:val="000000"/>
                <w:sz w:val="22"/>
                <w:szCs w:val="22"/>
              </w:rPr>
            </w:pPr>
            <w:r w:rsidRPr="001F27D2">
              <w:rPr>
                <w:rFonts w:cs="Calibri"/>
                <w:b/>
                <w:bCs/>
                <w:color w:val="FFFFFF"/>
                <w:sz w:val="22"/>
                <w:szCs w:val="22"/>
              </w:rPr>
              <w:t>Monthly Rent / Total House price</w:t>
            </w:r>
          </w:p>
        </w:tc>
      </w:tr>
      <w:tr w:rsidR="001F27D2" w:rsidRPr="001F27D2" w14:paraId="7B5594EB" w14:textId="77777777" w:rsidTr="0030287C">
        <w:trPr>
          <w:trHeight w:val="680"/>
        </w:trPr>
        <w:tc>
          <w:tcPr>
            <w:tcW w:w="1076" w:type="pct"/>
            <w:vMerge/>
            <w:shd w:val="clear" w:color="000000" w:fill="008080"/>
            <w:noWrap/>
            <w:vAlign w:val="bottom"/>
            <w:hideMark/>
          </w:tcPr>
          <w:p w14:paraId="2F7CDE2C" w14:textId="77777777" w:rsidR="001F27D2" w:rsidRPr="001F27D2" w:rsidRDefault="001F27D2" w:rsidP="001F27D2">
            <w:pPr>
              <w:spacing w:before="0" w:after="0"/>
              <w:rPr>
                <w:rFonts w:cs="Calibri"/>
                <w:color w:val="FFFFFF"/>
                <w:sz w:val="22"/>
                <w:szCs w:val="22"/>
              </w:rPr>
            </w:pPr>
          </w:p>
        </w:tc>
        <w:tc>
          <w:tcPr>
            <w:tcW w:w="592" w:type="pct"/>
            <w:shd w:val="clear" w:color="000000" w:fill="008080"/>
            <w:vAlign w:val="bottom"/>
            <w:hideMark/>
          </w:tcPr>
          <w:p w14:paraId="6463FD26" w14:textId="77777777" w:rsidR="001F27D2" w:rsidRPr="001F27D2" w:rsidRDefault="001F27D2" w:rsidP="001F27D2">
            <w:pPr>
              <w:spacing w:before="0" w:after="0"/>
              <w:jc w:val="center"/>
              <w:rPr>
                <w:rFonts w:cs="Calibri"/>
                <w:color w:val="FFFFFF"/>
                <w:sz w:val="22"/>
                <w:szCs w:val="22"/>
              </w:rPr>
            </w:pPr>
            <w:r w:rsidRPr="001F27D2">
              <w:rPr>
                <w:rFonts w:cs="Calibri"/>
                <w:color w:val="FFFFFF"/>
                <w:sz w:val="22"/>
                <w:szCs w:val="22"/>
              </w:rPr>
              <w:t>HMA1A</w:t>
            </w:r>
          </w:p>
          <w:p w14:paraId="6AF3795D" w14:textId="77777777" w:rsidR="001F27D2" w:rsidRPr="001F27D2" w:rsidRDefault="001F27D2" w:rsidP="001F27D2">
            <w:pPr>
              <w:spacing w:before="0" w:after="0"/>
              <w:jc w:val="center"/>
              <w:rPr>
                <w:rFonts w:cs="Calibri"/>
                <w:color w:val="FFFFFF"/>
                <w:sz w:val="22"/>
                <w:szCs w:val="22"/>
              </w:rPr>
            </w:pPr>
            <w:r w:rsidRPr="001F27D2">
              <w:rPr>
                <w:rFonts w:cs="Calibri"/>
                <w:color w:val="FFFFFF"/>
                <w:sz w:val="22"/>
                <w:szCs w:val="22"/>
              </w:rPr>
              <w:t>Penrith Urban</w:t>
            </w:r>
          </w:p>
        </w:tc>
        <w:tc>
          <w:tcPr>
            <w:tcW w:w="543" w:type="pct"/>
            <w:shd w:val="clear" w:color="000000" w:fill="008080"/>
            <w:vAlign w:val="bottom"/>
            <w:hideMark/>
          </w:tcPr>
          <w:p w14:paraId="1983C778" w14:textId="77777777" w:rsidR="001F27D2" w:rsidRPr="001F27D2" w:rsidRDefault="001F27D2" w:rsidP="001F27D2">
            <w:pPr>
              <w:spacing w:before="0" w:after="0"/>
              <w:jc w:val="center"/>
              <w:rPr>
                <w:rFonts w:cs="Calibri"/>
                <w:color w:val="FFFFFF"/>
                <w:sz w:val="22"/>
                <w:szCs w:val="22"/>
              </w:rPr>
            </w:pPr>
            <w:r w:rsidRPr="001F27D2">
              <w:rPr>
                <w:rFonts w:cs="Calibri"/>
                <w:color w:val="FFFFFF"/>
                <w:sz w:val="22"/>
                <w:szCs w:val="22"/>
              </w:rPr>
              <w:t>HMA1B</w:t>
            </w:r>
          </w:p>
          <w:p w14:paraId="6F88029C" w14:textId="77777777" w:rsidR="001F27D2" w:rsidRPr="001F27D2" w:rsidRDefault="001F27D2" w:rsidP="001F27D2">
            <w:pPr>
              <w:spacing w:before="0" w:after="0"/>
              <w:jc w:val="center"/>
              <w:rPr>
                <w:rFonts w:cs="Calibri"/>
                <w:color w:val="FFFFFF"/>
                <w:sz w:val="22"/>
                <w:szCs w:val="22"/>
              </w:rPr>
            </w:pPr>
            <w:r w:rsidRPr="001F27D2">
              <w:rPr>
                <w:rFonts w:cs="Calibri"/>
                <w:color w:val="FFFFFF"/>
                <w:sz w:val="22"/>
                <w:szCs w:val="22"/>
              </w:rPr>
              <w:t>Penrith Rural</w:t>
            </w:r>
          </w:p>
        </w:tc>
        <w:tc>
          <w:tcPr>
            <w:tcW w:w="592" w:type="pct"/>
            <w:shd w:val="clear" w:color="000000" w:fill="008080"/>
            <w:vAlign w:val="bottom"/>
            <w:hideMark/>
          </w:tcPr>
          <w:p w14:paraId="4FD90778" w14:textId="77777777" w:rsidR="001F27D2" w:rsidRPr="001F27D2" w:rsidRDefault="001F27D2" w:rsidP="001F27D2">
            <w:pPr>
              <w:spacing w:before="0" w:after="0"/>
              <w:jc w:val="center"/>
              <w:rPr>
                <w:rFonts w:cs="Calibri"/>
                <w:color w:val="FFFFFF"/>
                <w:sz w:val="22"/>
                <w:szCs w:val="22"/>
              </w:rPr>
            </w:pPr>
            <w:r w:rsidRPr="001F27D2">
              <w:rPr>
                <w:rFonts w:cs="Calibri"/>
                <w:color w:val="FFFFFF"/>
                <w:sz w:val="22"/>
                <w:szCs w:val="22"/>
              </w:rPr>
              <w:t>HMA2</w:t>
            </w:r>
          </w:p>
          <w:p w14:paraId="5400568B" w14:textId="77777777" w:rsidR="001F27D2" w:rsidRPr="001F27D2" w:rsidRDefault="001F27D2" w:rsidP="001F27D2">
            <w:pPr>
              <w:spacing w:before="0" w:after="0"/>
              <w:jc w:val="center"/>
              <w:rPr>
                <w:rFonts w:cs="Calibri"/>
                <w:color w:val="FFFFFF"/>
                <w:sz w:val="22"/>
                <w:szCs w:val="22"/>
              </w:rPr>
            </w:pPr>
            <w:r w:rsidRPr="001F27D2">
              <w:rPr>
                <w:rFonts w:cs="Calibri"/>
                <w:color w:val="FFFFFF"/>
                <w:sz w:val="22"/>
                <w:szCs w:val="22"/>
              </w:rPr>
              <w:t>Appleby</w:t>
            </w:r>
          </w:p>
        </w:tc>
        <w:tc>
          <w:tcPr>
            <w:tcW w:w="592" w:type="pct"/>
            <w:shd w:val="clear" w:color="000000" w:fill="008080"/>
            <w:vAlign w:val="bottom"/>
            <w:hideMark/>
          </w:tcPr>
          <w:p w14:paraId="2C04E512" w14:textId="77777777" w:rsidR="001F27D2" w:rsidRPr="001F27D2" w:rsidRDefault="001F27D2" w:rsidP="001F27D2">
            <w:pPr>
              <w:spacing w:before="0" w:after="0"/>
              <w:jc w:val="center"/>
              <w:rPr>
                <w:rFonts w:cs="Calibri"/>
                <w:color w:val="FFFFFF"/>
                <w:sz w:val="22"/>
                <w:szCs w:val="22"/>
              </w:rPr>
            </w:pPr>
            <w:r w:rsidRPr="001F27D2">
              <w:rPr>
                <w:rFonts w:cs="Calibri"/>
                <w:color w:val="FFFFFF"/>
                <w:sz w:val="22"/>
                <w:szCs w:val="22"/>
              </w:rPr>
              <w:t>HMA3</w:t>
            </w:r>
          </w:p>
          <w:p w14:paraId="52D49D75" w14:textId="77777777" w:rsidR="001F27D2" w:rsidRPr="001F27D2" w:rsidRDefault="001F27D2" w:rsidP="001F27D2">
            <w:pPr>
              <w:spacing w:before="0" w:after="0"/>
              <w:jc w:val="center"/>
              <w:rPr>
                <w:rFonts w:cs="Calibri"/>
                <w:color w:val="FFFFFF"/>
                <w:sz w:val="22"/>
                <w:szCs w:val="22"/>
              </w:rPr>
            </w:pPr>
            <w:r w:rsidRPr="001F27D2">
              <w:rPr>
                <w:rFonts w:cs="Calibri"/>
                <w:color w:val="FFFFFF"/>
                <w:sz w:val="22"/>
                <w:szCs w:val="22"/>
              </w:rPr>
              <w:t>Kirby Stephen</w:t>
            </w:r>
          </w:p>
        </w:tc>
        <w:tc>
          <w:tcPr>
            <w:tcW w:w="493" w:type="pct"/>
            <w:shd w:val="clear" w:color="000000" w:fill="008080"/>
            <w:vAlign w:val="bottom"/>
            <w:hideMark/>
          </w:tcPr>
          <w:p w14:paraId="41A97B01" w14:textId="77777777" w:rsidR="001F27D2" w:rsidRPr="001F27D2" w:rsidRDefault="001F27D2" w:rsidP="001F27D2">
            <w:pPr>
              <w:spacing w:before="0" w:after="0"/>
              <w:jc w:val="center"/>
              <w:rPr>
                <w:rFonts w:cs="Calibri"/>
                <w:color w:val="FFFFFF"/>
                <w:sz w:val="22"/>
                <w:szCs w:val="22"/>
              </w:rPr>
            </w:pPr>
            <w:r w:rsidRPr="001F27D2">
              <w:rPr>
                <w:rFonts w:cs="Calibri"/>
                <w:color w:val="FFFFFF"/>
                <w:sz w:val="22"/>
                <w:szCs w:val="22"/>
              </w:rPr>
              <w:t>HMA4</w:t>
            </w:r>
          </w:p>
          <w:p w14:paraId="1DE0A59D" w14:textId="77777777" w:rsidR="001F27D2" w:rsidRPr="001F27D2" w:rsidRDefault="001F27D2" w:rsidP="001F27D2">
            <w:pPr>
              <w:spacing w:before="0" w:after="0"/>
              <w:jc w:val="center"/>
              <w:rPr>
                <w:rFonts w:cs="Calibri"/>
                <w:color w:val="FFFFFF"/>
                <w:sz w:val="22"/>
                <w:szCs w:val="22"/>
              </w:rPr>
            </w:pPr>
            <w:r w:rsidRPr="001F27D2">
              <w:rPr>
                <w:rFonts w:cs="Calibri"/>
                <w:color w:val="FFFFFF"/>
                <w:sz w:val="22"/>
                <w:szCs w:val="22"/>
              </w:rPr>
              <w:t>Alston</w:t>
            </w:r>
          </w:p>
        </w:tc>
        <w:tc>
          <w:tcPr>
            <w:tcW w:w="592" w:type="pct"/>
            <w:shd w:val="clear" w:color="000000" w:fill="008080"/>
            <w:vAlign w:val="bottom"/>
            <w:hideMark/>
          </w:tcPr>
          <w:p w14:paraId="4E3E401E" w14:textId="77777777" w:rsidR="001F27D2" w:rsidRPr="001F27D2" w:rsidRDefault="001F27D2" w:rsidP="001F27D2">
            <w:pPr>
              <w:spacing w:before="0" w:after="0"/>
              <w:jc w:val="center"/>
              <w:rPr>
                <w:rFonts w:cs="Calibri"/>
                <w:color w:val="FFFFFF"/>
                <w:sz w:val="22"/>
                <w:szCs w:val="22"/>
              </w:rPr>
            </w:pPr>
            <w:r w:rsidRPr="001F27D2">
              <w:rPr>
                <w:rFonts w:cs="Calibri"/>
                <w:color w:val="FFFFFF"/>
                <w:sz w:val="22"/>
                <w:szCs w:val="22"/>
              </w:rPr>
              <w:t>HMA5</w:t>
            </w:r>
          </w:p>
          <w:p w14:paraId="452E8EB2" w14:textId="77777777" w:rsidR="001F27D2" w:rsidRPr="001F27D2" w:rsidRDefault="001F27D2" w:rsidP="001F27D2">
            <w:pPr>
              <w:spacing w:before="0" w:after="0"/>
              <w:jc w:val="center"/>
              <w:rPr>
                <w:rFonts w:cs="Calibri"/>
                <w:color w:val="FFFFFF"/>
                <w:sz w:val="22"/>
                <w:szCs w:val="22"/>
              </w:rPr>
            </w:pPr>
            <w:r w:rsidRPr="001F27D2">
              <w:rPr>
                <w:rFonts w:cs="Calibri"/>
                <w:color w:val="FFFFFF"/>
                <w:sz w:val="22"/>
                <w:szCs w:val="22"/>
              </w:rPr>
              <w:t>West of M6</w:t>
            </w:r>
          </w:p>
        </w:tc>
        <w:tc>
          <w:tcPr>
            <w:tcW w:w="520" w:type="pct"/>
            <w:shd w:val="clear" w:color="000000" w:fill="008080"/>
            <w:vAlign w:val="bottom"/>
            <w:hideMark/>
          </w:tcPr>
          <w:p w14:paraId="26252DAA" w14:textId="72B56A6D" w:rsidR="001F27D2" w:rsidRPr="001F27D2" w:rsidRDefault="001F27D2" w:rsidP="001F27D2">
            <w:pPr>
              <w:spacing w:before="0" w:after="0"/>
              <w:jc w:val="center"/>
              <w:rPr>
                <w:rFonts w:cs="Calibri"/>
                <w:color w:val="FFFFFF"/>
                <w:sz w:val="22"/>
                <w:szCs w:val="22"/>
              </w:rPr>
            </w:pPr>
            <w:r w:rsidRPr="001F27D2">
              <w:rPr>
                <w:rFonts w:cs="Calibri"/>
                <w:color w:val="FFFFFF"/>
                <w:sz w:val="22"/>
                <w:szCs w:val="22"/>
              </w:rPr>
              <w:t>Eden Distric</w:t>
            </w:r>
            <w:r w:rsidR="0030287C">
              <w:rPr>
                <w:rFonts w:cs="Calibri"/>
                <w:color w:val="FFFFFF"/>
                <w:sz w:val="22"/>
                <w:szCs w:val="22"/>
              </w:rPr>
              <w:t>t-wide average</w:t>
            </w:r>
          </w:p>
        </w:tc>
      </w:tr>
      <w:tr w:rsidR="001F27D2" w:rsidRPr="001F27D2" w14:paraId="06906701" w14:textId="77777777" w:rsidTr="0030287C">
        <w:trPr>
          <w:trHeight w:val="320"/>
        </w:trPr>
        <w:tc>
          <w:tcPr>
            <w:tcW w:w="1076" w:type="pct"/>
            <w:shd w:val="clear" w:color="auto" w:fill="auto"/>
            <w:noWrap/>
            <w:vAlign w:val="bottom"/>
            <w:hideMark/>
          </w:tcPr>
          <w:p w14:paraId="1D3EE420" w14:textId="77777777" w:rsidR="001F27D2" w:rsidRPr="001F27D2" w:rsidRDefault="001F27D2" w:rsidP="001F27D2">
            <w:pPr>
              <w:spacing w:before="0" w:after="0"/>
              <w:rPr>
                <w:rFonts w:cs="Calibri"/>
                <w:sz w:val="22"/>
                <w:szCs w:val="22"/>
              </w:rPr>
            </w:pPr>
            <w:r w:rsidRPr="001F27D2">
              <w:rPr>
                <w:rFonts w:cs="Calibri"/>
                <w:sz w:val="22"/>
                <w:szCs w:val="22"/>
              </w:rPr>
              <w:t>Social Rent</w:t>
            </w:r>
          </w:p>
        </w:tc>
        <w:tc>
          <w:tcPr>
            <w:tcW w:w="592" w:type="pct"/>
            <w:shd w:val="clear" w:color="auto" w:fill="auto"/>
            <w:noWrap/>
            <w:vAlign w:val="bottom"/>
            <w:hideMark/>
          </w:tcPr>
          <w:p w14:paraId="10C250B5"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£421</w:t>
            </w:r>
          </w:p>
        </w:tc>
        <w:tc>
          <w:tcPr>
            <w:tcW w:w="543" w:type="pct"/>
            <w:shd w:val="clear" w:color="auto" w:fill="auto"/>
            <w:noWrap/>
            <w:vAlign w:val="bottom"/>
            <w:hideMark/>
          </w:tcPr>
          <w:p w14:paraId="099EE242"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£421</w:t>
            </w:r>
          </w:p>
        </w:tc>
        <w:tc>
          <w:tcPr>
            <w:tcW w:w="592" w:type="pct"/>
            <w:shd w:val="clear" w:color="auto" w:fill="auto"/>
            <w:noWrap/>
            <w:vAlign w:val="bottom"/>
            <w:hideMark/>
          </w:tcPr>
          <w:p w14:paraId="2F5AC1CA"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£421</w:t>
            </w:r>
          </w:p>
        </w:tc>
        <w:tc>
          <w:tcPr>
            <w:tcW w:w="592" w:type="pct"/>
            <w:shd w:val="clear" w:color="auto" w:fill="auto"/>
            <w:noWrap/>
            <w:vAlign w:val="bottom"/>
            <w:hideMark/>
          </w:tcPr>
          <w:p w14:paraId="47C9249F"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£421</w:t>
            </w:r>
          </w:p>
        </w:tc>
        <w:tc>
          <w:tcPr>
            <w:tcW w:w="493" w:type="pct"/>
            <w:shd w:val="clear" w:color="auto" w:fill="auto"/>
            <w:noWrap/>
            <w:vAlign w:val="bottom"/>
            <w:hideMark/>
          </w:tcPr>
          <w:p w14:paraId="0A8EB11F"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£421</w:t>
            </w:r>
          </w:p>
        </w:tc>
        <w:tc>
          <w:tcPr>
            <w:tcW w:w="592" w:type="pct"/>
            <w:shd w:val="clear" w:color="auto" w:fill="auto"/>
            <w:noWrap/>
            <w:vAlign w:val="bottom"/>
            <w:hideMark/>
          </w:tcPr>
          <w:p w14:paraId="1F2D9F12"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£421</w:t>
            </w:r>
          </w:p>
        </w:tc>
        <w:tc>
          <w:tcPr>
            <w:tcW w:w="520" w:type="pct"/>
            <w:shd w:val="clear" w:color="auto" w:fill="auto"/>
            <w:noWrap/>
            <w:vAlign w:val="bottom"/>
            <w:hideMark/>
          </w:tcPr>
          <w:p w14:paraId="343C40D8"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£421</w:t>
            </w:r>
          </w:p>
        </w:tc>
      </w:tr>
      <w:tr w:rsidR="0002639A" w:rsidRPr="001F27D2" w14:paraId="0AF73CA6" w14:textId="77777777" w:rsidTr="00277093">
        <w:trPr>
          <w:trHeight w:val="320"/>
        </w:trPr>
        <w:tc>
          <w:tcPr>
            <w:tcW w:w="1076" w:type="pct"/>
            <w:shd w:val="clear" w:color="auto" w:fill="auto"/>
            <w:noWrap/>
            <w:vAlign w:val="bottom"/>
            <w:hideMark/>
          </w:tcPr>
          <w:p w14:paraId="6CCC3E3E" w14:textId="77777777" w:rsidR="0002639A" w:rsidRPr="001F27D2" w:rsidRDefault="0002639A" w:rsidP="0002639A">
            <w:pPr>
              <w:spacing w:before="0" w:after="0"/>
              <w:rPr>
                <w:rFonts w:cs="Calibri"/>
                <w:sz w:val="22"/>
                <w:szCs w:val="22"/>
              </w:rPr>
            </w:pPr>
            <w:r w:rsidRPr="001F27D2">
              <w:rPr>
                <w:rFonts w:cs="Calibri"/>
                <w:sz w:val="22"/>
                <w:szCs w:val="22"/>
              </w:rPr>
              <w:t>Affordable Rent</w:t>
            </w:r>
          </w:p>
        </w:tc>
        <w:tc>
          <w:tcPr>
            <w:tcW w:w="592" w:type="pct"/>
            <w:shd w:val="clear" w:color="auto" w:fill="auto"/>
            <w:noWrap/>
            <w:vAlign w:val="bottom"/>
            <w:hideMark/>
          </w:tcPr>
          <w:p w14:paraId="727CC928" w14:textId="453D5BD9" w:rsidR="0002639A" w:rsidRPr="0002639A" w:rsidRDefault="0002639A" w:rsidP="0002639A">
            <w:pPr>
              <w:spacing w:before="0" w:after="0"/>
              <w:jc w:val="center"/>
              <w:rPr>
                <w:rFonts w:cs="Calibri"/>
                <w:color w:val="000000"/>
                <w:sz w:val="22"/>
                <w:szCs w:val="22"/>
              </w:rPr>
            </w:pPr>
            <w:r w:rsidRPr="0002639A">
              <w:rPr>
                <w:rFonts w:cs="Calibri"/>
                <w:color w:val="000000"/>
                <w:sz w:val="22"/>
                <w:szCs w:val="22"/>
              </w:rPr>
              <w:t>£434</w:t>
            </w:r>
          </w:p>
        </w:tc>
        <w:tc>
          <w:tcPr>
            <w:tcW w:w="543" w:type="pct"/>
            <w:shd w:val="clear" w:color="auto" w:fill="auto"/>
            <w:noWrap/>
            <w:vAlign w:val="bottom"/>
            <w:hideMark/>
          </w:tcPr>
          <w:p w14:paraId="383DEE74" w14:textId="091F1027" w:rsidR="0002639A" w:rsidRPr="0002639A" w:rsidRDefault="0002639A" w:rsidP="0002639A">
            <w:pPr>
              <w:spacing w:before="0" w:after="0"/>
              <w:jc w:val="center"/>
              <w:rPr>
                <w:rFonts w:cs="Calibri"/>
                <w:color w:val="000000"/>
                <w:sz w:val="22"/>
                <w:szCs w:val="22"/>
              </w:rPr>
            </w:pPr>
            <w:r w:rsidRPr="0002639A">
              <w:rPr>
                <w:rFonts w:cs="Calibri"/>
                <w:color w:val="000000"/>
                <w:sz w:val="22"/>
                <w:szCs w:val="22"/>
              </w:rPr>
              <w:t>£539</w:t>
            </w:r>
          </w:p>
        </w:tc>
        <w:tc>
          <w:tcPr>
            <w:tcW w:w="592" w:type="pct"/>
            <w:shd w:val="clear" w:color="auto" w:fill="auto"/>
            <w:noWrap/>
            <w:vAlign w:val="bottom"/>
            <w:hideMark/>
          </w:tcPr>
          <w:p w14:paraId="3AF1B9C6" w14:textId="38C065BC" w:rsidR="0002639A" w:rsidRPr="0002639A" w:rsidRDefault="0002639A" w:rsidP="0002639A">
            <w:pPr>
              <w:spacing w:before="0" w:after="0"/>
              <w:jc w:val="center"/>
              <w:rPr>
                <w:rFonts w:cs="Calibri"/>
                <w:color w:val="000000"/>
                <w:sz w:val="22"/>
                <w:szCs w:val="22"/>
              </w:rPr>
            </w:pPr>
            <w:r w:rsidRPr="0002639A">
              <w:rPr>
                <w:rFonts w:cs="Calibri"/>
                <w:color w:val="000000"/>
                <w:sz w:val="22"/>
                <w:szCs w:val="22"/>
              </w:rPr>
              <w:t>£398</w:t>
            </w:r>
          </w:p>
        </w:tc>
        <w:tc>
          <w:tcPr>
            <w:tcW w:w="592" w:type="pct"/>
            <w:shd w:val="clear" w:color="auto" w:fill="auto"/>
            <w:noWrap/>
            <w:vAlign w:val="bottom"/>
            <w:hideMark/>
          </w:tcPr>
          <w:p w14:paraId="6670AE67" w14:textId="05CAFC64" w:rsidR="0002639A" w:rsidRPr="0002639A" w:rsidRDefault="0002639A" w:rsidP="0002639A">
            <w:pPr>
              <w:spacing w:before="0" w:after="0"/>
              <w:jc w:val="center"/>
              <w:rPr>
                <w:rFonts w:cs="Calibri"/>
                <w:color w:val="000000"/>
                <w:sz w:val="22"/>
                <w:szCs w:val="22"/>
              </w:rPr>
            </w:pPr>
            <w:r w:rsidRPr="0002639A">
              <w:rPr>
                <w:rFonts w:cs="Calibri"/>
                <w:color w:val="000000"/>
                <w:sz w:val="22"/>
                <w:szCs w:val="22"/>
              </w:rPr>
              <w:t>£416</w:t>
            </w:r>
          </w:p>
        </w:tc>
        <w:tc>
          <w:tcPr>
            <w:tcW w:w="493" w:type="pct"/>
            <w:shd w:val="clear" w:color="auto" w:fill="auto"/>
            <w:noWrap/>
            <w:vAlign w:val="bottom"/>
            <w:hideMark/>
          </w:tcPr>
          <w:p w14:paraId="0BDF9E95" w14:textId="79E87ECD" w:rsidR="0002639A" w:rsidRPr="0002639A" w:rsidRDefault="0002639A" w:rsidP="0002639A">
            <w:pPr>
              <w:spacing w:before="0" w:after="0"/>
              <w:jc w:val="center"/>
              <w:rPr>
                <w:rFonts w:cs="Calibri"/>
                <w:color w:val="000000"/>
                <w:sz w:val="22"/>
                <w:szCs w:val="22"/>
              </w:rPr>
            </w:pPr>
            <w:r w:rsidRPr="0002639A">
              <w:rPr>
                <w:rFonts w:cs="Calibri"/>
                <w:color w:val="000000"/>
                <w:sz w:val="22"/>
                <w:szCs w:val="22"/>
              </w:rPr>
              <w:t>£361</w:t>
            </w:r>
          </w:p>
        </w:tc>
        <w:tc>
          <w:tcPr>
            <w:tcW w:w="592" w:type="pct"/>
            <w:shd w:val="clear" w:color="auto" w:fill="auto"/>
            <w:noWrap/>
            <w:vAlign w:val="bottom"/>
            <w:hideMark/>
          </w:tcPr>
          <w:p w14:paraId="1CD36298" w14:textId="55D285A1" w:rsidR="0002639A" w:rsidRPr="0002639A" w:rsidRDefault="0002639A" w:rsidP="0002639A">
            <w:pPr>
              <w:spacing w:before="0" w:after="0"/>
              <w:jc w:val="center"/>
              <w:rPr>
                <w:rFonts w:cs="Calibri"/>
                <w:color w:val="000000"/>
                <w:sz w:val="22"/>
                <w:szCs w:val="22"/>
              </w:rPr>
            </w:pPr>
            <w:r w:rsidRPr="0002639A">
              <w:rPr>
                <w:rFonts w:cs="Calibri"/>
                <w:color w:val="000000"/>
                <w:sz w:val="22"/>
                <w:szCs w:val="22"/>
              </w:rPr>
              <w:t>£461</w:t>
            </w:r>
          </w:p>
        </w:tc>
        <w:tc>
          <w:tcPr>
            <w:tcW w:w="520" w:type="pct"/>
            <w:shd w:val="clear" w:color="auto" w:fill="auto"/>
            <w:noWrap/>
            <w:vAlign w:val="bottom"/>
            <w:hideMark/>
          </w:tcPr>
          <w:p w14:paraId="747A17FD" w14:textId="7E4AC53E" w:rsidR="0002639A" w:rsidRPr="0002639A" w:rsidRDefault="0002639A" w:rsidP="0002639A">
            <w:pPr>
              <w:spacing w:before="0" w:after="0"/>
              <w:jc w:val="center"/>
              <w:rPr>
                <w:rFonts w:cs="Calibri"/>
                <w:color w:val="000000"/>
                <w:sz w:val="22"/>
                <w:szCs w:val="22"/>
              </w:rPr>
            </w:pPr>
            <w:r w:rsidRPr="0002639A">
              <w:rPr>
                <w:rFonts w:cs="Calibri"/>
                <w:color w:val="000000"/>
                <w:sz w:val="22"/>
                <w:szCs w:val="22"/>
              </w:rPr>
              <w:t>£440</w:t>
            </w:r>
          </w:p>
        </w:tc>
      </w:tr>
      <w:tr w:rsidR="001F27D2" w:rsidRPr="001F27D2" w14:paraId="489EEFFC" w14:textId="77777777" w:rsidTr="0030287C">
        <w:trPr>
          <w:trHeight w:val="320"/>
        </w:trPr>
        <w:tc>
          <w:tcPr>
            <w:tcW w:w="1076" w:type="pct"/>
            <w:shd w:val="clear" w:color="auto" w:fill="auto"/>
            <w:noWrap/>
            <w:vAlign w:val="bottom"/>
            <w:hideMark/>
          </w:tcPr>
          <w:p w14:paraId="49DE69F8" w14:textId="77777777" w:rsidR="001F27D2" w:rsidRPr="001F27D2" w:rsidRDefault="001F27D2" w:rsidP="001F27D2">
            <w:pPr>
              <w:spacing w:before="0" w:after="0"/>
              <w:rPr>
                <w:rFonts w:cs="Calibri"/>
                <w:sz w:val="22"/>
                <w:szCs w:val="22"/>
              </w:rPr>
            </w:pPr>
            <w:r w:rsidRPr="001F27D2">
              <w:rPr>
                <w:rFonts w:cs="Calibri"/>
                <w:sz w:val="22"/>
                <w:szCs w:val="22"/>
              </w:rPr>
              <w:t>Market Rent - Lower Quartile</w:t>
            </w:r>
          </w:p>
        </w:tc>
        <w:tc>
          <w:tcPr>
            <w:tcW w:w="592" w:type="pct"/>
            <w:shd w:val="clear" w:color="auto" w:fill="auto"/>
            <w:noWrap/>
            <w:vAlign w:val="bottom"/>
            <w:hideMark/>
          </w:tcPr>
          <w:p w14:paraId="74943BBD" w14:textId="77777777" w:rsidR="001F27D2" w:rsidRPr="001F27D2" w:rsidRDefault="001F27D2" w:rsidP="001F27D2">
            <w:pPr>
              <w:spacing w:before="0" w:after="0"/>
              <w:jc w:val="center"/>
              <w:rPr>
                <w:rFonts w:cs="Calibri"/>
                <w:color w:val="000000"/>
                <w:sz w:val="22"/>
                <w:szCs w:val="22"/>
              </w:rPr>
            </w:pPr>
            <w:r w:rsidRPr="001F27D2">
              <w:rPr>
                <w:rFonts w:cs="Calibri"/>
                <w:color w:val="000000"/>
              </w:rPr>
              <w:t>£494</w:t>
            </w:r>
          </w:p>
        </w:tc>
        <w:tc>
          <w:tcPr>
            <w:tcW w:w="543" w:type="pct"/>
            <w:shd w:val="clear" w:color="auto" w:fill="auto"/>
            <w:noWrap/>
            <w:vAlign w:val="bottom"/>
            <w:hideMark/>
          </w:tcPr>
          <w:p w14:paraId="75C4AA08" w14:textId="77777777" w:rsidR="001F27D2" w:rsidRPr="001F27D2" w:rsidRDefault="001F27D2" w:rsidP="001F27D2">
            <w:pPr>
              <w:spacing w:before="0" w:after="0"/>
              <w:jc w:val="center"/>
              <w:rPr>
                <w:rFonts w:cs="Calibri"/>
                <w:color w:val="000000"/>
                <w:sz w:val="22"/>
                <w:szCs w:val="22"/>
              </w:rPr>
            </w:pPr>
            <w:r w:rsidRPr="001F27D2">
              <w:rPr>
                <w:rFonts w:cs="Calibri"/>
                <w:color w:val="000000"/>
              </w:rPr>
              <w:t>£594</w:t>
            </w:r>
          </w:p>
        </w:tc>
        <w:tc>
          <w:tcPr>
            <w:tcW w:w="592" w:type="pct"/>
            <w:shd w:val="clear" w:color="auto" w:fill="auto"/>
            <w:noWrap/>
            <w:vAlign w:val="bottom"/>
            <w:hideMark/>
          </w:tcPr>
          <w:p w14:paraId="14BBF629" w14:textId="77777777" w:rsidR="001F27D2" w:rsidRPr="001F27D2" w:rsidRDefault="001F27D2" w:rsidP="001F27D2">
            <w:pPr>
              <w:spacing w:before="0" w:after="0"/>
              <w:jc w:val="center"/>
              <w:rPr>
                <w:rFonts w:cs="Calibri"/>
                <w:color w:val="000000"/>
                <w:sz w:val="22"/>
                <w:szCs w:val="22"/>
              </w:rPr>
            </w:pPr>
            <w:r w:rsidRPr="001F27D2">
              <w:rPr>
                <w:rFonts w:cs="Calibri"/>
                <w:color w:val="000000"/>
              </w:rPr>
              <w:t>£451</w:t>
            </w:r>
          </w:p>
        </w:tc>
        <w:tc>
          <w:tcPr>
            <w:tcW w:w="592" w:type="pct"/>
            <w:shd w:val="clear" w:color="auto" w:fill="auto"/>
            <w:noWrap/>
            <w:vAlign w:val="bottom"/>
            <w:hideMark/>
          </w:tcPr>
          <w:p w14:paraId="09DF431D" w14:textId="77777777" w:rsidR="001F27D2" w:rsidRPr="001F27D2" w:rsidRDefault="001F27D2" w:rsidP="001F27D2">
            <w:pPr>
              <w:spacing w:before="0" w:after="0"/>
              <w:jc w:val="center"/>
              <w:rPr>
                <w:rFonts w:cs="Calibri"/>
                <w:color w:val="000000"/>
                <w:sz w:val="22"/>
                <w:szCs w:val="22"/>
              </w:rPr>
            </w:pPr>
            <w:r w:rsidRPr="001F27D2">
              <w:rPr>
                <w:rFonts w:cs="Calibri"/>
                <w:color w:val="000000"/>
              </w:rPr>
              <w:t>£451</w:t>
            </w:r>
          </w:p>
        </w:tc>
        <w:tc>
          <w:tcPr>
            <w:tcW w:w="493" w:type="pct"/>
            <w:shd w:val="clear" w:color="auto" w:fill="auto"/>
            <w:noWrap/>
            <w:vAlign w:val="bottom"/>
            <w:hideMark/>
          </w:tcPr>
          <w:p w14:paraId="551E5632" w14:textId="77777777" w:rsidR="001F27D2" w:rsidRPr="001F27D2" w:rsidRDefault="001F27D2" w:rsidP="001F27D2">
            <w:pPr>
              <w:spacing w:before="0" w:after="0"/>
              <w:jc w:val="center"/>
              <w:rPr>
                <w:rFonts w:cs="Calibri"/>
                <w:color w:val="000000"/>
                <w:sz w:val="22"/>
                <w:szCs w:val="22"/>
              </w:rPr>
            </w:pPr>
            <w:r w:rsidRPr="001F27D2">
              <w:rPr>
                <w:rFonts w:cs="Calibri"/>
                <w:color w:val="000000"/>
              </w:rPr>
              <w:t>£377</w:t>
            </w:r>
          </w:p>
        </w:tc>
        <w:tc>
          <w:tcPr>
            <w:tcW w:w="592" w:type="pct"/>
            <w:shd w:val="clear" w:color="auto" w:fill="auto"/>
            <w:noWrap/>
            <w:vAlign w:val="bottom"/>
            <w:hideMark/>
          </w:tcPr>
          <w:p w14:paraId="07DDB1E1" w14:textId="77777777" w:rsidR="001F27D2" w:rsidRPr="001F27D2" w:rsidRDefault="001F27D2" w:rsidP="001F27D2">
            <w:pPr>
              <w:spacing w:before="0" w:after="0"/>
              <w:jc w:val="center"/>
              <w:rPr>
                <w:rFonts w:cs="Calibri"/>
                <w:color w:val="000000"/>
                <w:sz w:val="22"/>
                <w:szCs w:val="22"/>
              </w:rPr>
            </w:pPr>
            <w:r w:rsidRPr="001F27D2">
              <w:rPr>
                <w:rFonts w:cs="Calibri"/>
                <w:color w:val="000000"/>
              </w:rPr>
              <w:t>£524</w:t>
            </w:r>
          </w:p>
        </w:tc>
        <w:tc>
          <w:tcPr>
            <w:tcW w:w="520" w:type="pct"/>
            <w:shd w:val="clear" w:color="auto" w:fill="auto"/>
            <w:noWrap/>
            <w:vAlign w:val="bottom"/>
            <w:hideMark/>
          </w:tcPr>
          <w:p w14:paraId="5EFDC5ED" w14:textId="77777777" w:rsidR="001F27D2" w:rsidRPr="001F27D2" w:rsidRDefault="001F27D2" w:rsidP="001F27D2">
            <w:pPr>
              <w:spacing w:before="0" w:after="0"/>
              <w:jc w:val="center"/>
              <w:rPr>
                <w:rFonts w:cs="Calibri"/>
                <w:color w:val="000000"/>
                <w:sz w:val="22"/>
                <w:szCs w:val="22"/>
              </w:rPr>
            </w:pPr>
            <w:r w:rsidRPr="001F27D2">
              <w:rPr>
                <w:rFonts w:cs="Calibri"/>
                <w:color w:val="000000"/>
              </w:rPr>
              <w:t>£477</w:t>
            </w:r>
          </w:p>
        </w:tc>
      </w:tr>
      <w:tr w:rsidR="001F27D2" w:rsidRPr="001F27D2" w14:paraId="5FECC585" w14:textId="77777777" w:rsidTr="0030287C">
        <w:trPr>
          <w:trHeight w:val="320"/>
        </w:trPr>
        <w:tc>
          <w:tcPr>
            <w:tcW w:w="1076" w:type="pct"/>
            <w:shd w:val="clear" w:color="auto" w:fill="auto"/>
            <w:noWrap/>
            <w:vAlign w:val="bottom"/>
            <w:hideMark/>
          </w:tcPr>
          <w:p w14:paraId="14697D0D" w14:textId="77777777" w:rsidR="001F27D2" w:rsidRPr="001F27D2" w:rsidRDefault="001F27D2" w:rsidP="001F27D2">
            <w:pPr>
              <w:spacing w:before="0" w:after="0"/>
              <w:rPr>
                <w:rFonts w:cs="Calibri"/>
                <w:sz w:val="22"/>
                <w:szCs w:val="22"/>
              </w:rPr>
            </w:pPr>
            <w:r w:rsidRPr="001F27D2">
              <w:rPr>
                <w:rFonts w:cs="Calibri"/>
                <w:sz w:val="22"/>
                <w:szCs w:val="22"/>
              </w:rPr>
              <w:t>Market Rent – Median</w:t>
            </w:r>
          </w:p>
        </w:tc>
        <w:tc>
          <w:tcPr>
            <w:tcW w:w="592" w:type="pct"/>
            <w:shd w:val="clear" w:color="auto" w:fill="auto"/>
            <w:noWrap/>
            <w:vAlign w:val="bottom"/>
            <w:hideMark/>
          </w:tcPr>
          <w:p w14:paraId="2DEF21C8" w14:textId="77777777" w:rsidR="001F27D2" w:rsidRPr="001F27D2" w:rsidRDefault="001F27D2" w:rsidP="001F27D2">
            <w:pPr>
              <w:spacing w:before="0" w:after="0"/>
              <w:jc w:val="center"/>
              <w:rPr>
                <w:rFonts w:cs="Calibri"/>
                <w:color w:val="000000"/>
                <w:sz w:val="22"/>
                <w:szCs w:val="22"/>
              </w:rPr>
            </w:pPr>
            <w:r w:rsidRPr="001F27D2">
              <w:rPr>
                <w:rFonts w:cs="Calibri"/>
                <w:color w:val="000000"/>
              </w:rPr>
              <w:t>£542</w:t>
            </w:r>
          </w:p>
        </w:tc>
        <w:tc>
          <w:tcPr>
            <w:tcW w:w="543" w:type="pct"/>
            <w:shd w:val="clear" w:color="auto" w:fill="auto"/>
            <w:noWrap/>
            <w:vAlign w:val="bottom"/>
            <w:hideMark/>
          </w:tcPr>
          <w:p w14:paraId="49EFC920" w14:textId="77777777" w:rsidR="001F27D2" w:rsidRPr="001F27D2" w:rsidRDefault="001F27D2" w:rsidP="001F27D2">
            <w:pPr>
              <w:spacing w:before="0" w:after="0"/>
              <w:jc w:val="center"/>
              <w:rPr>
                <w:rFonts w:cs="Calibri"/>
                <w:color w:val="000000"/>
                <w:sz w:val="22"/>
                <w:szCs w:val="22"/>
              </w:rPr>
            </w:pPr>
            <w:r w:rsidRPr="001F27D2">
              <w:rPr>
                <w:rFonts w:cs="Calibri"/>
                <w:color w:val="000000"/>
              </w:rPr>
              <w:t>£674</w:t>
            </w:r>
          </w:p>
        </w:tc>
        <w:tc>
          <w:tcPr>
            <w:tcW w:w="592" w:type="pct"/>
            <w:shd w:val="clear" w:color="auto" w:fill="auto"/>
            <w:noWrap/>
            <w:vAlign w:val="bottom"/>
            <w:hideMark/>
          </w:tcPr>
          <w:p w14:paraId="0F03B7CE" w14:textId="77777777" w:rsidR="001F27D2" w:rsidRPr="001F27D2" w:rsidRDefault="001F27D2" w:rsidP="001F27D2">
            <w:pPr>
              <w:spacing w:before="0" w:after="0"/>
              <w:jc w:val="center"/>
              <w:rPr>
                <w:rFonts w:cs="Calibri"/>
                <w:color w:val="000000"/>
                <w:sz w:val="22"/>
                <w:szCs w:val="22"/>
              </w:rPr>
            </w:pPr>
            <w:r w:rsidRPr="001F27D2">
              <w:rPr>
                <w:rFonts w:cs="Calibri"/>
                <w:color w:val="000000"/>
              </w:rPr>
              <w:t>£498</w:t>
            </w:r>
          </w:p>
        </w:tc>
        <w:tc>
          <w:tcPr>
            <w:tcW w:w="592" w:type="pct"/>
            <w:shd w:val="clear" w:color="auto" w:fill="auto"/>
            <w:noWrap/>
            <w:vAlign w:val="bottom"/>
            <w:hideMark/>
          </w:tcPr>
          <w:p w14:paraId="1CAF11E3" w14:textId="77777777" w:rsidR="001F27D2" w:rsidRPr="001F27D2" w:rsidRDefault="001F27D2" w:rsidP="001F27D2">
            <w:pPr>
              <w:spacing w:before="0" w:after="0"/>
              <w:jc w:val="center"/>
              <w:rPr>
                <w:rFonts w:cs="Calibri"/>
                <w:color w:val="000000"/>
                <w:sz w:val="22"/>
                <w:szCs w:val="22"/>
              </w:rPr>
            </w:pPr>
            <w:r w:rsidRPr="001F27D2">
              <w:rPr>
                <w:rFonts w:cs="Calibri"/>
                <w:color w:val="000000"/>
              </w:rPr>
              <w:t>£520</w:t>
            </w:r>
          </w:p>
        </w:tc>
        <w:tc>
          <w:tcPr>
            <w:tcW w:w="493" w:type="pct"/>
            <w:shd w:val="clear" w:color="auto" w:fill="auto"/>
            <w:noWrap/>
            <w:vAlign w:val="bottom"/>
            <w:hideMark/>
          </w:tcPr>
          <w:p w14:paraId="034DDFD9" w14:textId="77777777" w:rsidR="001F27D2" w:rsidRPr="001F27D2" w:rsidRDefault="001F27D2" w:rsidP="001F27D2">
            <w:pPr>
              <w:spacing w:before="0" w:after="0"/>
              <w:jc w:val="center"/>
              <w:rPr>
                <w:rFonts w:cs="Calibri"/>
                <w:color w:val="000000"/>
                <w:sz w:val="22"/>
                <w:szCs w:val="22"/>
              </w:rPr>
            </w:pPr>
            <w:r w:rsidRPr="001F27D2">
              <w:rPr>
                <w:rFonts w:cs="Calibri"/>
                <w:color w:val="000000"/>
              </w:rPr>
              <w:t>£451</w:t>
            </w:r>
          </w:p>
        </w:tc>
        <w:tc>
          <w:tcPr>
            <w:tcW w:w="592" w:type="pct"/>
            <w:shd w:val="clear" w:color="auto" w:fill="auto"/>
            <w:noWrap/>
            <w:vAlign w:val="bottom"/>
            <w:hideMark/>
          </w:tcPr>
          <w:p w14:paraId="5D914C04" w14:textId="77777777" w:rsidR="001F27D2" w:rsidRPr="001F27D2" w:rsidRDefault="001F27D2" w:rsidP="001F27D2">
            <w:pPr>
              <w:spacing w:before="0" w:after="0"/>
              <w:jc w:val="center"/>
              <w:rPr>
                <w:rFonts w:cs="Calibri"/>
                <w:color w:val="000000"/>
                <w:sz w:val="22"/>
                <w:szCs w:val="22"/>
              </w:rPr>
            </w:pPr>
            <w:r w:rsidRPr="001F27D2">
              <w:rPr>
                <w:rFonts w:cs="Calibri"/>
                <w:color w:val="000000"/>
              </w:rPr>
              <w:t>£576</w:t>
            </w:r>
          </w:p>
        </w:tc>
        <w:tc>
          <w:tcPr>
            <w:tcW w:w="520" w:type="pct"/>
            <w:shd w:val="clear" w:color="auto" w:fill="auto"/>
            <w:noWrap/>
            <w:vAlign w:val="bottom"/>
            <w:hideMark/>
          </w:tcPr>
          <w:p w14:paraId="2A1E1A89" w14:textId="77777777" w:rsidR="001F27D2" w:rsidRPr="001F27D2" w:rsidRDefault="001F27D2" w:rsidP="001F27D2">
            <w:pPr>
              <w:spacing w:before="0" w:after="0"/>
              <w:jc w:val="center"/>
              <w:rPr>
                <w:rFonts w:cs="Calibri"/>
                <w:color w:val="000000"/>
                <w:sz w:val="22"/>
                <w:szCs w:val="22"/>
              </w:rPr>
            </w:pPr>
            <w:r w:rsidRPr="001F27D2">
              <w:rPr>
                <w:rFonts w:cs="Calibri"/>
                <w:color w:val="000000"/>
              </w:rPr>
              <w:t>£550</w:t>
            </w:r>
          </w:p>
        </w:tc>
      </w:tr>
      <w:tr w:rsidR="001F27D2" w:rsidRPr="001F27D2" w14:paraId="55B01E8B" w14:textId="77777777" w:rsidTr="0030287C">
        <w:trPr>
          <w:trHeight w:val="320"/>
        </w:trPr>
        <w:tc>
          <w:tcPr>
            <w:tcW w:w="1076" w:type="pct"/>
            <w:shd w:val="clear" w:color="auto" w:fill="auto"/>
            <w:noWrap/>
            <w:vAlign w:val="bottom"/>
            <w:hideMark/>
          </w:tcPr>
          <w:p w14:paraId="196271A9" w14:textId="77777777" w:rsidR="001F27D2" w:rsidRPr="001F27D2" w:rsidRDefault="001F27D2" w:rsidP="001F27D2">
            <w:pPr>
              <w:spacing w:before="0" w:after="0"/>
              <w:rPr>
                <w:rFonts w:cs="Calibri"/>
                <w:color w:val="000000"/>
                <w:sz w:val="22"/>
                <w:szCs w:val="22"/>
              </w:rPr>
            </w:pPr>
            <w:r w:rsidRPr="001F27D2">
              <w:rPr>
                <w:rFonts w:cs="Calibri"/>
                <w:color w:val="000000"/>
                <w:sz w:val="22"/>
                <w:szCs w:val="22"/>
              </w:rPr>
              <w:t>Market Sale - Lower Quartile</w:t>
            </w:r>
          </w:p>
        </w:tc>
        <w:tc>
          <w:tcPr>
            <w:tcW w:w="592" w:type="pct"/>
            <w:shd w:val="clear" w:color="auto" w:fill="auto"/>
            <w:noWrap/>
            <w:vAlign w:val="bottom"/>
            <w:hideMark/>
          </w:tcPr>
          <w:p w14:paraId="70AF1AE9"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£122,000</w:t>
            </w:r>
          </w:p>
        </w:tc>
        <w:tc>
          <w:tcPr>
            <w:tcW w:w="543" w:type="pct"/>
            <w:shd w:val="clear" w:color="auto" w:fill="auto"/>
            <w:noWrap/>
            <w:vAlign w:val="bottom"/>
            <w:hideMark/>
          </w:tcPr>
          <w:p w14:paraId="08A85788"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£160,000</w:t>
            </w:r>
          </w:p>
        </w:tc>
        <w:tc>
          <w:tcPr>
            <w:tcW w:w="592" w:type="pct"/>
            <w:shd w:val="clear" w:color="auto" w:fill="auto"/>
            <w:noWrap/>
            <w:vAlign w:val="bottom"/>
            <w:hideMark/>
          </w:tcPr>
          <w:p w14:paraId="3D32ABB0"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£136,250</w:t>
            </w:r>
          </w:p>
        </w:tc>
        <w:tc>
          <w:tcPr>
            <w:tcW w:w="592" w:type="pct"/>
            <w:shd w:val="clear" w:color="auto" w:fill="auto"/>
            <w:noWrap/>
            <w:vAlign w:val="bottom"/>
            <w:hideMark/>
          </w:tcPr>
          <w:p w14:paraId="5BF14A04"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£136,000</w:t>
            </w:r>
          </w:p>
        </w:tc>
        <w:tc>
          <w:tcPr>
            <w:tcW w:w="493" w:type="pct"/>
            <w:shd w:val="clear" w:color="auto" w:fill="auto"/>
            <w:noWrap/>
            <w:vAlign w:val="bottom"/>
            <w:hideMark/>
          </w:tcPr>
          <w:p w14:paraId="52B15571"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£125,475</w:t>
            </w:r>
          </w:p>
        </w:tc>
        <w:tc>
          <w:tcPr>
            <w:tcW w:w="592" w:type="pct"/>
            <w:shd w:val="clear" w:color="auto" w:fill="auto"/>
            <w:noWrap/>
            <w:vAlign w:val="bottom"/>
            <w:hideMark/>
          </w:tcPr>
          <w:p w14:paraId="7827AFA8"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£155,000</w:t>
            </w:r>
          </w:p>
        </w:tc>
        <w:tc>
          <w:tcPr>
            <w:tcW w:w="520" w:type="pct"/>
            <w:shd w:val="clear" w:color="auto" w:fill="auto"/>
            <w:noWrap/>
            <w:vAlign w:val="bottom"/>
            <w:hideMark/>
          </w:tcPr>
          <w:p w14:paraId="258AB78B"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£135,000</w:t>
            </w:r>
          </w:p>
        </w:tc>
      </w:tr>
      <w:tr w:rsidR="001F27D2" w:rsidRPr="001F27D2" w14:paraId="5F3C8F48" w14:textId="77777777" w:rsidTr="0030287C">
        <w:trPr>
          <w:trHeight w:val="320"/>
        </w:trPr>
        <w:tc>
          <w:tcPr>
            <w:tcW w:w="1076" w:type="pct"/>
            <w:shd w:val="clear" w:color="auto" w:fill="auto"/>
            <w:noWrap/>
            <w:vAlign w:val="bottom"/>
            <w:hideMark/>
          </w:tcPr>
          <w:p w14:paraId="6090AC89" w14:textId="77777777" w:rsidR="001F27D2" w:rsidRPr="001F27D2" w:rsidRDefault="001F27D2" w:rsidP="001F27D2">
            <w:pPr>
              <w:spacing w:before="0" w:after="0"/>
              <w:rPr>
                <w:rFonts w:cs="Calibri"/>
                <w:color w:val="000000"/>
                <w:sz w:val="22"/>
                <w:szCs w:val="22"/>
              </w:rPr>
            </w:pPr>
            <w:r w:rsidRPr="001F27D2">
              <w:rPr>
                <w:rFonts w:cs="Calibri"/>
                <w:color w:val="000000"/>
                <w:sz w:val="22"/>
                <w:szCs w:val="22"/>
              </w:rPr>
              <w:t>Market Sale – Median</w:t>
            </w:r>
          </w:p>
        </w:tc>
        <w:tc>
          <w:tcPr>
            <w:tcW w:w="592" w:type="pct"/>
            <w:shd w:val="clear" w:color="auto" w:fill="auto"/>
            <w:noWrap/>
            <w:vAlign w:val="bottom"/>
            <w:hideMark/>
          </w:tcPr>
          <w:p w14:paraId="2937EF25"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£165,000</w:t>
            </w:r>
          </w:p>
        </w:tc>
        <w:tc>
          <w:tcPr>
            <w:tcW w:w="543" w:type="pct"/>
            <w:shd w:val="clear" w:color="auto" w:fill="auto"/>
            <w:noWrap/>
            <w:vAlign w:val="bottom"/>
            <w:hideMark/>
          </w:tcPr>
          <w:p w14:paraId="61DE1D14"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£215,000</w:t>
            </w:r>
          </w:p>
        </w:tc>
        <w:tc>
          <w:tcPr>
            <w:tcW w:w="592" w:type="pct"/>
            <w:shd w:val="clear" w:color="auto" w:fill="auto"/>
            <w:noWrap/>
            <w:vAlign w:val="bottom"/>
            <w:hideMark/>
          </w:tcPr>
          <w:p w14:paraId="210E82C7"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£180,000</w:t>
            </w:r>
          </w:p>
        </w:tc>
        <w:tc>
          <w:tcPr>
            <w:tcW w:w="592" w:type="pct"/>
            <w:shd w:val="clear" w:color="auto" w:fill="auto"/>
            <w:noWrap/>
            <w:vAlign w:val="bottom"/>
            <w:hideMark/>
          </w:tcPr>
          <w:p w14:paraId="44BBBF18"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£175,000</w:t>
            </w:r>
          </w:p>
        </w:tc>
        <w:tc>
          <w:tcPr>
            <w:tcW w:w="493" w:type="pct"/>
            <w:shd w:val="clear" w:color="auto" w:fill="auto"/>
            <w:noWrap/>
            <w:vAlign w:val="bottom"/>
            <w:hideMark/>
          </w:tcPr>
          <w:p w14:paraId="719EDB66"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£178,500</w:t>
            </w:r>
          </w:p>
        </w:tc>
        <w:tc>
          <w:tcPr>
            <w:tcW w:w="592" w:type="pct"/>
            <w:shd w:val="clear" w:color="auto" w:fill="auto"/>
            <w:noWrap/>
            <w:vAlign w:val="bottom"/>
            <w:hideMark/>
          </w:tcPr>
          <w:p w14:paraId="7653D688"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£244,000</w:t>
            </w:r>
          </w:p>
        </w:tc>
        <w:tc>
          <w:tcPr>
            <w:tcW w:w="520" w:type="pct"/>
            <w:shd w:val="clear" w:color="auto" w:fill="auto"/>
            <w:noWrap/>
            <w:vAlign w:val="bottom"/>
            <w:hideMark/>
          </w:tcPr>
          <w:p w14:paraId="095A10A0"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£184,250</w:t>
            </w:r>
          </w:p>
        </w:tc>
      </w:tr>
      <w:tr w:rsidR="001F27D2" w:rsidRPr="001F27D2" w14:paraId="0AF99925" w14:textId="77777777" w:rsidTr="0030287C">
        <w:trPr>
          <w:trHeight w:val="320"/>
        </w:trPr>
        <w:tc>
          <w:tcPr>
            <w:tcW w:w="1076" w:type="pct"/>
            <w:shd w:val="clear" w:color="auto" w:fill="auto"/>
            <w:noWrap/>
            <w:vAlign w:val="bottom"/>
            <w:hideMark/>
          </w:tcPr>
          <w:p w14:paraId="3151B019" w14:textId="77777777" w:rsidR="001F27D2" w:rsidRPr="001F27D2" w:rsidRDefault="001F27D2" w:rsidP="001F27D2">
            <w:pPr>
              <w:spacing w:before="0" w:after="0"/>
              <w:rPr>
                <w:rFonts w:cs="Calibri"/>
                <w:color w:val="000000"/>
                <w:sz w:val="22"/>
                <w:szCs w:val="22"/>
              </w:rPr>
            </w:pPr>
            <w:r w:rsidRPr="001F27D2">
              <w:rPr>
                <w:rFonts w:cs="Calibri"/>
                <w:color w:val="000000"/>
                <w:sz w:val="22"/>
                <w:szCs w:val="22"/>
              </w:rPr>
              <w:t>Market Sale – Average</w:t>
            </w:r>
          </w:p>
        </w:tc>
        <w:tc>
          <w:tcPr>
            <w:tcW w:w="592" w:type="pct"/>
            <w:shd w:val="clear" w:color="auto" w:fill="auto"/>
            <w:noWrap/>
            <w:vAlign w:val="bottom"/>
            <w:hideMark/>
          </w:tcPr>
          <w:p w14:paraId="25DD7AFC"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£195,218</w:t>
            </w:r>
          </w:p>
        </w:tc>
        <w:tc>
          <w:tcPr>
            <w:tcW w:w="543" w:type="pct"/>
            <w:shd w:val="clear" w:color="auto" w:fill="auto"/>
            <w:noWrap/>
            <w:vAlign w:val="bottom"/>
            <w:hideMark/>
          </w:tcPr>
          <w:p w14:paraId="3CC3EF76"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£230,722</w:t>
            </w:r>
          </w:p>
        </w:tc>
        <w:tc>
          <w:tcPr>
            <w:tcW w:w="592" w:type="pct"/>
            <w:shd w:val="clear" w:color="auto" w:fill="auto"/>
            <w:noWrap/>
            <w:vAlign w:val="bottom"/>
            <w:hideMark/>
          </w:tcPr>
          <w:p w14:paraId="43C65A82"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£200,003</w:t>
            </w:r>
          </w:p>
        </w:tc>
        <w:tc>
          <w:tcPr>
            <w:tcW w:w="592" w:type="pct"/>
            <w:shd w:val="clear" w:color="auto" w:fill="auto"/>
            <w:noWrap/>
            <w:vAlign w:val="bottom"/>
            <w:hideMark/>
          </w:tcPr>
          <w:p w14:paraId="2B8B027F"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£208,572</w:t>
            </w:r>
          </w:p>
        </w:tc>
        <w:tc>
          <w:tcPr>
            <w:tcW w:w="493" w:type="pct"/>
            <w:shd w:val="clear" w:color="auto" w:fill="auto"/>
            <w:noWrap/>
            <w:vAlign w:val="bottom"/>
            <w:hideMark/>
          </w:tcPr>
          <w:p w14:paraId="0EEB90BD"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£200,298</w:t>
            </w:r>
          </w:p>
        </w:tc>
        <w:tc>
          <w:tcPr>
            <w:tcW w:w="592" w:type="pct"/>
            <w:shd w:val="clear" w:color="auto" w:fill="auto"/>
            <w:noWrap/>
            <w:vAlign w:val="bottom"/>
            <w:hideMark/>
          </w:tcPr>
          <w:p w14:paraId="7E1C6AE3"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£285,105</w:t>
            </w:r>
          </w:p>
        </w:tc>
        <w:tc>
          <w:tcPr>
            <w:tcW w:w="520" w:type="pct"/>
            <w:shd w:val="clear" w:color="auto" w:fill="auto"/>
            <w:noWrap/>
            <w:vAlign w:val="bottom"/>
            <w:hideMark/>
          </w:tcPr>
          <w:p w14:paraId="233D8A91"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£215,538</w:t>
            </w:r>
          </w:p>
        </w:tc>
      </w:tr>
      <w:tr w:rsidR="001F27D2" w:rsidRPr="001F27D2" w14:paraId="0485B8C6" w14:textId="77777777" w:rsidTr="0030287C">
        <w:trPr>
          <w:trHeight w:val="320"/>
        </w:trPr>
        <w:tc>
          <w:tcPr>
            <w:tcW w:w="1076" w:type="pct"/>
            <w:shd w:val="clear" w:color="auto" w:fill="auto"/>
            <w:noWrap/>
            <w:vAlign w:val="bottom"/>
            <w:hideMark/>
          </w:tcPr>
          <w:p w14:paraId="2474EA53" w14:textId="77777777" w:rsidR="001F27D2" w:rsidRPr="001F27D2" w:rsidRDefault="001F27D2" w:rsidP="001F27D2">
            <w:pPr>
              <w:spacing w:before="0" w:after="0"/>
              <w:rPr>
                <w:rFonts w:cs="Calibri"/>
                <w:color w:val="000000"/>
                <w:sz w:val="22"/>
                <w:szCs w:val="22"/>
              </w:rPr>
            </w:pPr>
            <w:r w:rsidRPr="001F27D2">
              <w:rPr>
                <w:rFonts w:cs="Calibri"/>
                <w:color w:val="000000"/>
                <w:sz w:val="22"/>
                <w:szCs w:val="22"/>
              </w:rPr>
              <w:t>Starter Home</w:t>
            </w:r>
          </w:p>
        </w:tc>
        <w:tc>
          <w:tcPr>
            <w:tcW w:w="592" w:type="pct"/>
            <w:shd w:val="clear" w:color="auto" w:fill="auto"/>
            <w:noWrap/>
            <w:vAlign w:val="bottom"/>
            <w:hideMark/>
          </w:tcPr>
          <w:p w14:paraId="344E2960"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£156,174</w:t>
            </w:r>
          </w:p>
        </w:tc>
        <w:tc>
          <w:tcPr>
            <w:tcW w:w="543" w:type="pct"/>
            <w:shd w:val="clear" w:color="auto" w:fill="auto"/>
            <w:noWrap/>
            <w:vAlign w:val="bottom"/>
            <w:hideMark/>
          </w:tcPr>
          <w:p w14:paraId="35961CB2"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£184,578</w:t>
            </w:r>
          </w:p>
        </w:tc>
        <w:tc>
          <w:tcPr>
            <w:tcW w:w="592" w:type="pct"/>
            <w:shd w:val="clear" w:color="auto" w:fill="auto"/>
            <w:noWrap/>
            <w:vAlign w:val="bottom"/>
            <w:hideMark/>
          </w:tcPr>
          <w:p w14:paraId="5AD7A3D1"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£160,003</w:t>
            </w:r>
          </w:p>
        </w:tc>
        <w:tc>
          <w:tcPr>
            <w:tcW w:w="592" w:type="pct"/>
            <w:shd w:val="clear" w:color="auto" w:fill="auto"/>
            <w:noWrap/>
            <w:vAlign w:val="bottom"/>
            <w:hideMark/>
          </w:tcPr>
          <w:p w14:paraId="1DB469E3"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£166,857</w:t>
            </w:r>
          </w:p>
        </w:tc>
        <w:tc>
          <w:tcPr>
            <w:tcW w:w="493" w:type="pct"/>
            <w:shd w:val="clear" w:color="auto" w:fill="auto"/>
            <w:noWrap/>
            <w:vAlign w:val="bottom"/>
            <w:hideMark/>
          </w:tcPr>
          <w:p w14:paraId="2D4EDE97"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£160,239</w:t>
            </w:r>
          </w:p>
        </w:tc>
        <w:tc>
          <w:tcPr>
            <w:tcW w:w="592" w:type="pct"/>
            <w:shd w:val="clear" w:color="auto" w:fill="auto"/>
            <w:noWrap/>
            <w:vAlign w:val="bottom"/>
            <w:hideMark/>
          </w:tcPr>
          <w:p w14:paraId="45BE1861"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£228,084</w:t>
            </w:r>
          </w:p>
        </w:tc>
        <w:tc>
          <w:tcPr>
            <w:tcW w:w="520" w:type="pct"/>
            <w:shd w:val="clear" w:color="auto" w:fill="auto"/>
            <w:noWrap/>
            <w:vAlign w:val="bottom"/>
            <w:hideMark/>
          </w:tcPr>
          <w:p w14:paraId="28BA0CB1"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£172,431</w:t>
            </w:r>
          </w:p>
        </w:tc>
      </w:tr>
      <w:tr w:rsidR="001F27D2" w:rsidRPr="001F27D2" w14:paraId="3555F110" w14:textId="77777777" w:rsidTr="0030287C">
        <w:trPr>
          <w:trHeight w:val="320"/>
        </w:trPr>
        <w:tc>
          <w:tcPr>
            <w:tcW w:w="1076" w:type="pct"/>
            <w:shd w:val="clear" w:color="auto" w:fill="auto"/>
            <w:noWrap/>
            <w:vAlign w:val="bottom"/>
            <w:hideMark/>
          </w:tcPr>
          <w:p w14:paraId="190E2893" w14:textId="77777777" w:rsidR="001F27D2" w:rsidRPr="001F27D2" w:rsidRDefault="001F27D2" w:rsidP="001F27D2">
            <w:pPr>
              <w:spacing w:before="0" w:after="0"/>
              <w:rPr>
                <w:rFonts w:cs="Calibri"/>
                <w:color w:val="000000"/>
                <w:sz w:val="22"/>
                <w:szCs w:val="22"/>
              </w:rPr>
            </w:pPr>
            <w:r w:rsidRPr="001F27D2">
              <w:rPr>
                <w:rFonts w:cs="Calibri"/>
                <w:color w:val="000000"/>
                <w:sz w:val="22"/>
                <w:szCs w:val="22"/>
              </w:rPr>
              <w:t>Shared ownership (50%)</w:t>
            </w:r>
          </w:p>
        </w:tc>
        <w:tc>
          <w:tcPr>
            <w:tcW w:w="592" w:type="pct"/>
            <w:shd w:val="clear" w:color="auto" w:fill="auto"/>
            <w:noWrap/>
            <w:vAlign w:val="bottom"/>
            <w:hideMark/>
          </w:tcPr>
          <w:p w14:paraId="4F373C0F"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£82,500</w:t>
            </w:r>
          </w:p>
        </w:tc>
        <w:tc>
          <w:tcPr>
            <w:tcW w:w="543" w:type="pct"/>
            <w:shd w:val="clear" w:color="auto" w:fill="auto"/>
            <w:noWrap/>
            <w:vAlign w:val="bottom"/>
            <w:hideMark/>
          </w:tcPr>
          <w:p w14:paraId="1507EF2F"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£107,500</w:t>
            </w:r>
          </w:p>
        </w:tc>
        <w:tc>
          <w:tcPr>
            <w:tcW w:w="592" w:type="pct"/>
            <w:shd w:val="clear" w:color="auto" w:fill="auto"/>
            <w:noWrap/>
            <w:vAlign w:val="bottom"/>
            <w:hideMark/>
          </w:tcPr>
          <w:p w14:paraId="6C6F887B"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£90,000</w:t>
            </w:r>
          </w:p>
        </w:tc>
        <w:tc>
          <w:tcPr>
            <w:tcW w:w="592" w:type="pct"/>
            <w:shd w:val="clear" w:color="auto" w:fill="auto"/>
            <w:noWrap/>
            <w:vAlign w:val="bottom"/>
            <w:hideMark/>
          </w:tcPr>
          <w:p w14:paraId="0DD3CF8C"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£87,500</w:t>
            </w:r>
          </w:p>
        </w:tc>
        <w:tc>
          <w:tcPr>
            <w:tcW w:w="493" w:type="pct"/>
            <w:shd w:val="clear" w:color="auto" w:fill="auto"/>
            <w:noWrap/>
            <w:vAlign w:val="bottom"/>
            <w:hideMark/>
          </w:tcPr>
          <w:p w14:paraId="11CDE0E4"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£89,250</w:t>
            </w:r>
          </w:p>
        </w:tc>
        <w:tc>
          <w:tcPr>
            <w:tcW w:w="592" w:type="pct"/>
            <w:shd w:val="clear" w:color="auto" w:fill="auto"/>
            <w:noWrap/>
            <w:vAlign w:val="bottom"/>
            <w:hideMark/>
          </w:tcPr>
          <w:p w14:paraId="223932B1"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£122,000</w:t>
            </w:r>
          </w:p>
        </w:tc>
        <w:tc>
          <w:tcPr>
            <w:tcW w:w="520" w:type="pct"/>
            <w:shd w:val="clear" w:color="auto" w:fill="auto"/>
            <w:noWrap/>
            <w:vAlign w:val="bottom"/>
            <w:hideMark/>
          </w:tcPr>
          <w:p w14:paraId="075A7C0F"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£92,125</w:t>
            </w:r>
          </w:p>
        </w:tc>
      </w:tr>
      <w:tr w:rsidR="001F27D2" w:rsidRPr="001F27D2" w14:paraId="4990C299" w14:textId="77777777" w:rsidTr="0030287C">
        <w:trPr>
          <w:trHeight w:val="320"/>
        </w:trPr>
        <w:tc>
          <w:tcPr>
            <w:tcW w:w="1076" w:type="pct"/>
            <w:shd w:val="clear" w:color="auto" w:fill="auto"/>
            <w:noWrap/>
            <w:vAlign w:val="bottom"/>
            <w:hideMark/>
          </w:tcPr>
          <w:p w14:paraId="3D0DD3B2" w14:textId="77777777" w:rsidR="001F27D2" w:rsidRPr="001F27D2" w:rsidRDefault="001F27D2" w:rsidP="001F27D2">
            <w:pPr>
              <w:spacing w:before="0" w:after="0"/>
              <w:rPr>
                <w:rFonts w:cs="Calibri"/>
                <w:color w:val="000000"/>
                <w:sz w:val="22"/>
                <w:szCs w:val="22"/>
              </w:rPr>
            </w:pPr>
            <w:r w:rsidRPr="001F27D2">
              <w:rPr>
                <w:rFonts w:cs="Calibri"/>
                <w:color w:val="000000"/>
                <w:sz w:val="22"/>
                <w:szCs w:val="22"/>
              </w:rPr>
              <w:t>Shared ownership (25%)</w:t>
            </w:r>
          </w:p>
        </w:tc>
        <w:tc>
          <w:tcPr>
            <w:tcW w:w="592" w:type="pct"/>
            <w:shd w:val="clear" w:color="auto" w:fill="auto"/>
            <w:noWrap/>
            <w:vAlign w:val="bottom"/>
            <w:hideMark/>
          </w:tcPr>
          <w:p w14:paraId="567F282F"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£41,250</w:t>
            </w:r>
          </w:p>
        </w:tc>
        <w:tc>
          <w:tcPr>
            <w:tcW w:w="543" w:type="pct"/>
            <w:shd w:val="clear" w:color="auto" w:fill="auto"/>
            <w:noWrap/>
            <w:vAlign w:val="bottom"/>
            <w:hideMark/>
          </w:tcPr>
          <w:p w14:paraId="673568B7"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£53,750</w:t>
            </w:r>
          </w:p>
        </w:tc>
        <w:tc>
          <w:tcPr>
            <w:tcW w:w="592" w:type="pct"/>
            <w:shd w:val="clear" w:color="auto" w:fill="auto"/>
            <w:noWrap/>
            <w:vAlign w:val="bottom"/>
            <w:hideMark/>
          </w:tcPr>
          <w:p w14:paraId="06FF25ED"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£45,000</w:t>
            </w:r>
          </w:p>
        </w:tc>
        <w:tc>
          <w:tcPr>
            <w:tcW w:w="592" w:type="pct"/>
            <w:shd w:val="clear" w:color="auto" w:fill="auto"/>
            <w:noWrap/>
            <w:vAlign w:val="bottom"/>
            <w:hideMark/>
          </w:tcPr>
          <w:p w14:paraId="055EA8BA"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£43,750</w:t>
            </w:r>
          </w:p>
        </w:tc>
        <w:tc>
          <w:tcPr>
            <w:tcW w:w="493" w:type="pct"/>
            <w:shd w:val="clear" w:color="auto" w:fill="auto"/>
            <w:noWrap/>
            <w:vAlign w:val="bottom"/>
            <w:hideMark/>
          </w:tcPr>
          <w:p w14:paraId="1B7BA0D1"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£44,625</w:t>
            </w:r>
          </w:p>
        </w:tc>
        <w:tc>
          <w:tcPr>
            <w:tcW w:w="592" w:type="pct"/>
            <w:shd w:val="clear" w:color="auto" w:fill="auto"/>
            <w:noWrap/>
            <w:vAlign w:val="bottom"/>
            <w:hideMark/>
          </w:tcPr>
          <w:p w14:paraId="70D54312"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£61,000</w:t>
            </w:r>
          </w:p>
        </w:tc>
        <w:tc>
          <w:tcPr>
            <w:tcW w:w="520" w:type="pct"/>
            <w:shd w:val="clear" w:color="auto" w:fill="auto"/>
            <w:noWrap/>
            <w:vAlign w:val="bottom"/>
            <w:hideMark/>
          </w:tcPr>
          <w:p w14:paraId="407AFEE1"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£46,063</w:t>
            </w:r>
          </w:p>
        </w:tc>
      </w:tr>
      <w:tr w:rsidR="001F27D2" w:rsidRPr="001F27D2" w14:paraId="4E6CAA32" w14:textId="77777777" w:rsidTr="0030287C">
        <w:trPr>
          <w:trHeight w:val="320"/>
        </w:trPr>
        <w:tc>
          <w:tcPr>
            <w:tcW w:w="1076" w:type="pct"/>
            <w:shd w:val="clear" w:color="auto" w:fill="auto"/>
            <w:noWrap/>
            <w:vAlign w:val="bottom"/>
            <w:hideMark/>
          </w:tcPr>
          <w:p w14:paraId="51863EA6" w14:textId="77777777" w:rsidR="001F27D2" w:rsidRPr="001F27D2" w:rsidRDefault="001F27D2" w:rsidP="001F27D2">
            <w:pPr>
              <w:spacing w:before="0" w:after="0"/>
              <w:rPr>
                <w:rFonts w:cs="Calibri"/>
                <w:color w:val="000000"/>
                <w:sz w:val="22"/>
                <w:szCs w:val="22"/>
              </w:rPr>
            </w:pPr>
            <w:r w:rsidRPr="001F27D2">
              <w:rPr>
                <w:rFonts w:cs="Calibri"/>
                <w:color w:val="000000"/>
                <w:sz w:val="22"/>
                <w:szCs w:val="22"/>
              </w:rPr>
              <w:t>Help to buy</w:t>
            </w:r>
          </w:p>
        </w:tc>
        <w:tc>
          <w:tcPr>
            <w:tcW w:w="592" w:type="pct"/>
            <w:shd w:val="clear" w:color="auto" w:fill="auto"/>
            <w:noWrap/>
            <w:vAlign w:val="bottom"/>
            <w:hideMark/>
          </w:tcPr>
          <w:p w14:paraId="261E42B1"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£123,750</w:t>
            </w:r>
          </w:p>
        </w:tc>
        <w:tc>
          <w:tcPr>
            <w:tcW w:w="543" w:type="pct"/>
            <w:shd w:val="clear" w:color="auto" w:fill="auto"/>
            <w:noWrap/>
            <w:vAlign w:val="bottom"/>
            <w:hideMark/>
          </w:tcPr>
          <w:p w14:paraId="71F158B7"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£161,250</w:t>
            </w:r>
          </w:p>
        </w:tc>
        <w:tc>
          <w:tcPr>
            <w:tcW w:w="592" w:type="pct"/>
            <w:shd w:val="clear" w:color="auto" w:fill="auto"/>
            <w:noWrap/>
            <w:vAlign w:val="bottom"/>
            <w:hideMark/>
          </w:tcPr>
          <w:p w14:paraId="52E54B35"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£135,000</w:t>
            </w:r>
          </w:p>
        </w:tc>
        <w:tc>
          <w:tcPr>
            <w:tcW w:w="592" w:type="pct"/>
            <w:shd w:val="clear" w:color="auto" w:fill="auto"/>
            <w:noWrap/>
            <w:vAlign w:val="bottom"/>
            <w:hideMark/>
          </w:tcPr>
          <w:p w14:paraId="41830B4B"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£131,250</w:t>
            </w:r>
          </w:p>
        </w:tc>
        <w:tc>
          <w:tcPr>
            <w:tcW w:w="493" w:type="pct"/>
            <w:shd w:val="clear" w:color="auto" w:fill="auto"/>
            <w:noWrap/>
            <w:vAlign w:val="bottom"/>
            <w:hideMark/>
          </w:tcPr>
          <w:p w14:paraId="5B550A52"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£133,875</w:t>
            </w:r>
          </w:p>
        </w:tc>
        <w:tc>
          <w:tcPr>
            <w:tcW w:w="592" w:type="pct"/>
            <w:shd w:val="clear" w:color="auto" w:fill="auto"/>
            <w:noWrap/>
            <w:vAlign w:val="bottom"/>
            <w:hideMark/>
          </w:tcPr>
          <w:p w14:paraId="6879CFF7"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£183,000</w:t>
            </w:r>
          </w:p>
        </w:tc>
        <w:tc>
          <w:tcPr>
            <w:tcW w:w="520" w:type="pct"/>
            <w:shd w:val="clear" w:color="auto" w:fill="auto"/>
            <w:noWrap/>
            <w:vAlign w:val="bottom"/>
            <w:hideMark/>
          </w:tcPr>
          <w:p w14:paraId="242C3151" w14:textId="77777777" w:rsidR="001F27D2" w:rsidRPr="001F27D2" w:rsidRDefault="001F27D2" w:rsidP="001F27D2">
            <w:pPr>
              <w:spacing w:before="0" w:after="0"/>
              <w:jc w:val="center"/>
              <w:rPr>
                <w:rFonts w:cs="Calibri"/>
                <w:color w:val="000000"/>
                <w:sz w:val="22"/>
                <w:szCs w:val="22"/>
              </w:rPr>
            </w:pPr>
            <w:r w:rsidRPr="001F27D2">
              <w:rPr>
                <w:rFonts w:cs="Calibri"/>
                <w:color w:val="000000"/>
                <w:sz w:val="22"/>
                <w:szCs w:val="22"/>
              </w:rPr>
              <w:t>£138,188</w:t>
            </w:r>
          </w:p>
        </w:tc>
      </w:tr>
      <w:tr w:rsidR="0030287C" w:rsidRPr="001F27D2" w14:paraId="30F505A6" w14:textId="77777777" w:rsidTr="0030287C">
        <w:trPr>
          <w:trHeight w:val="320"/>
        </w:trPr>
        <w:tc>
          <w:tcPr>
            <w:tcW w:w="1076" w:type="pct"/>
            <w:shd w:val="clear" w:color="auto" w:fill="auto"/>
            <w:noWrap/>
            <w:vAlign w:val="bottom"/>
          </w:tcPr>
          <w:p w14:paraId="00D471B2" w14:textId="2A87A34A" w:rsidR="0030287C" w:rsidRPr="0030287C" w:rsidRDefault="0030287C" w:rsidP="0030287C">
            <w:pPr>
              <w:spacing w:before="0" w:after="0"/>
              <w:rPr>
                <w:rFonts w:cs="Calibri"/>
                <w:color w:val="000000"/>
                <w:sz w:val="22"/>
                <w:szCs w:val="22"/>
              </w:rPr>
            </w:pPr>
            <w:r w:rsidRPr="0030287C">
              <w:rPr>
                <w:rFonts w:cs="Calibri"/>
                <w:color w:val="000000"/>
                <w:sz w:val="22"/>
                <w:szCs w:val="22"/>
              </w:rPr>
              <w:t>Discounted sale</w:t>
            </w:r>
          </w:p>
        </w:tc>
        <w:tc>
          <w:tcPr>
            <w:tcW w:w="592" w:type="pct"/>
            <w:shd w:val="clear" w:color="auto" w:fill="auto"/>
            <w:noWrap/>
            <w:vAlign w:val="bottom"/>
          </w:tcPr>
          <w:p w14:paraId="711A7A2D" w14:textId="47A797F7" w:rsidR="0030287C" w:rsidRPr="0030287C" w:rsidRDefault="0030287C" w:rsidP="0030287C">
            <w:pPr>
              <w:spacing w:before="0" w:after="0"/>
              <w:jc w:val="center"/>
              <w:rPr>
                <w:rFonts w:cs="Calibri"/>
                <w:color w:val="000000"/>
                <w:sz w:val="22"/>
                <w:szCs w:val="22"/>
              </w:rPr>
            </w:pPr>
            <w:r w:rsidRPr="0030287C">
              <w:rPr>
                <w:rFonts w:cs="Calibri"/>
                <w:color w:val="000000"/>
                <w:sz w:val="22"/>
                <w:szCs w:val="22"/>
              </w:rPr>
              <w:t>£117,131</w:t>
            </w:r>
          </w:p>
        </w:tc>
        <w:tc>
          <w:tcPr>
            <w:tcW w:w="543" w:type="pct"/>
            <w:shd w:val="clear" w:color="auto" w:fill="auto"/>
            <w:noWrap/>
            <w:vAlign w:val="bottom"/>
          </w:tcPr>
          <w:p w14:paraId="1FCDF940" w14:textId="565EDB0F" w:rsidR="0030287C" w:rsidRPr="0030287C" w:rsidRDefault="0030287C" w:rsidP="0030287C">
            <w:pPr>
              <w:spacing w:before="0" w:after="0"/>
              <w:jc w:val="center"/>
              <w:rPr>
                <w:rFonts w:cs="Calibri"/>
                <w:color w:val="000000"/>
                <w:sz w:val="22"/>
                <w:szCs w:val="22"/>
              </w:rPr>
            </w:pPr>
            <w:r w:rsidRPr="0030287C">
              <w:rPr>
                <w:rFonts w:cs="Calibri"/>
                <w:color w:val="000000"/>
                <w:sz w:val="22"/>
                <w:szCs w:val="22"/>
              </w:rPr>
              <w:t>£138,433</w:t>
            </w:r>
          </w:p>
        </w:tc>
        <w:tc>
          <w:tcPr>
            <w:tcW w:w="592" w:type="pct"/>
            <w:shd w:val="clear" w:color="auto" w:fill="auto"/>
            <w:noWrap/>
            <w:vAlign w:val="bottom"/>
          </w:tcPr>
          <w:p w14:paraId="3BDFD6A8" w14:textId="1006B2EE" w:rsidR="0030287C" w:rsidRPr="0030287C" w:rsidRDefault="0030287C" w:rsidP="0030287C">
            <w:pPr>
              <w:spacing w:before="0" w:after="0"/>
              <w:jc w:val="center"/>
              <w:rPr>
                <w:rFonts w:cs="Calibri"/>
                <w:color w:val="000000"/>
                <w:sz w:val="22"/>
                <w:szCs w:val="22"/>
              </w:rPr>
            </w:pPr>
            <w:r w:rsidRPr="0030287C">
              <w:rPr>
                <w:rFonts w:cs="Calibri"/>
                <w:color w:val="000000"/>
                <w:sz w:val="22"/>
                <w:szCs w:val="22"/>
              </w:rPr>
              <w:t>£120,002</w:t>
            </w:r>
          </w:p>
        </w:tc>
        <w:tc>
          <w:tcPr>
            <w:tcW w:w="592" w:type="pct"/>
            <w:shd w:val="clear" w:color="auto" w:fill="auto"/>
            <w:noWrap/>
            <w:vAlign w:val="bottom"/>
          </w:tcPr>
          <w:p w14:paraId="153AACAC" w14:textId="6C0B1E30" w:rsidR="0030287C" w:rsidRPr="0030287C" w:rsidRDefault="0030287C" w:rsidP="0030287C">
            <w:pPr>
              <w:spacing w:before="0" w:after="0"/>
              <w:jc w:val="center"/>
              <w:rPr>
                <w:rFonts w:cs="Calibri"/>
                <w:color w:val="000000"/>
                <w:sz w:val="22"/>
                <w:szCs w:val="22"/>
              </w:rPr>
            </w:pPr>
            <w:r w:rsidRPr="0030287C">
              <w:rPr>
                <w:rFonts w:cs="Calibri"/>
                <w:color w:val="000000"/>
                <w:sz w:val="22"/>
                <w:szCs w:val="22"/>
              </w:rPr>
              <w:t>£125,143</w:t>
            </w:r>
          </w:p>
        </w:tc>
        <w:tc>
          <w:tcPr>
            <w:tcW w:w="493" w:type="pct"/>
            <w:shd w:val="clear" w:color="auto" w:fill="auto"/>
            <w:noWrap/>
            <w:vAlign w:val="bottom"/>
          </w:tcPr>
          <w:p w14:paraId="06FEFA76" w14:textId="01920D74" w:rsidR="0030287C" w:rsidRPr="0030287C" w:rsidRDefault="0030287C" w:rsidP="0030287C">
            <w:pPr>
              <w:spacing w:before="0" w:after="0"/>
              <w:jc w:val="center"/>
              <w:rPr>
                <w:rFonts w:cs="Calibri"/>
                <w:color w:val="000000"/>
                <w:sz w:val="22"/>
                <w:szCs w:val="22"/>
              </w:rPr>
            </w:pPr>
            <w:r w:rsidRPr="0030287C">
              <w:rPr>
                <w:rFonts w:cs="Calibri"/>
                <w:color w:val="000000"/>
                <w:sz w:val="22"/>
                <w:szCs w:val="22"/>
              </w:rPr>
              <w:t>£120,179</w:t>
            </w:r>
          </w:p>
        </w:tc>
        <w:tc>
          <w:tcPr>
            <w:tcW w:w="592" w:type="pct"/>
            <w:shd w:val="clear" w:color="auto" w:fill="auto"/>
            <w:noWrap/>
            <w:vAlign w:val="bottom"/>
          </w:tcPr>
          <w:p w14:paraId="7EDB2847" w14:textId="5B1AD1E9" w:rsidR="0030287C" w:rsidRPr="0030287C" w:rsidRDefault="0030287C" w:rsidP="0030287C">
            <w:pPr>
              <w:spacing w:before="0" w:after="0"/>
              <w:jc w:val="center"/>
              <w:rPr>
                <w:rFonts w:cs="Calibri"/>
                <w:color w:val="000000"/>
                <w:sz w:val="22"/>
                <w:szCs w:val="22"/>
              </w:rPr>
            </w:pPr>
            <w:r w:rsidRPr="0030287C">
              <w:rPr>
                <w:rFonts w:cs="Calibri"/>
                <w:color w:val="000000"/>
                <w:sz w:val="22"/>
                <w:szCs w:val="22"/>
              </w:rPr>
              <w:t>£171,063</w:t>
            </w:r>
          </w:p>
        </w:tc>
        <w:tc>
          <w:tcPr>
            <w:tcW w:w="520" w:type="pct"/>
            <w:shd w:val="clear" w:color="auto" w:fill="auto"/>
            <w:noWrap/>
            <w:vAlign w:val="bottom"/>
          </w:tcPr>
          <w:p w14:paraId="38A51A76" w14:textId="2EF3CF62" w:rsidR="0030287C" w:rsidRPr="0030287C" w:rsidRDefault="0030287C" w:rsidP="0030287C">
            <w:pPr>
              <w:spacing w:before="0" w:after="0"/>
              <w:jc w:val="center"/>
              <w:rPr>
                <w:rFonts w:cs="Calibri"/>
                <w:color w:val="000000"/>
                <w:sz w:val="22"/>
                <w:szCs w:val="22"/>
              </w:rPr>
            </w:pPr>
            <w:r w:rsidRPr="0030287C">
              <w:rPr>
                <w:rFonts w:cs="Calibri"/>
                <w:color w:val="000000"/>
                <w:sz w:val="22"/>
                <w:szCs w:val="22"/>
              </w:rPr>
              <w:t>£129,323</w:t>
            </w:r>
          </w:p>
        </w:tc>
      </w:tr>
    </w:tbl>
    <w:p w14:paraId="048803CF" w14:textId="37C55F6B" w:rsidR="001F27D2" w:rsidRDefault="001F27D2" w:rsidP="001F27D2">
      <w:pPr>
        <w:pStyle w:val="Reporttext"/>
        <w:numPr>
          <w:ilvl w:val="0"/>
          <w:numId w:val="0"/>
        </w:numPr>
        <w:rPr>
          <w:sz w:val="20"/>
          <w:szCs w:val="20"/>
        </w:rPr>
      </w:pPr>
      <w:r w:rsidRPr="002B2A7F">
        <w:rPr>
          <w:sz w:val="20"/>
          <w:szCs w:val="20"/>
        </w:rPr>
        <w:t>Source: Data produced by</w:t>
      </w:r>
      <w:r w:rsidR="00642347">
        <w:rPr>
          <w:sz w:val="20"/>
          <w:szCs w:val="20"/>
        </w:rPr>
        <w:t xml:space="preserve">: </w:t>
      </w:r>
      <w:r w:rsidRPr="002B2A7F">
        <w:rPr>
          <w:sz w:val="20"/>
          <w:szCs w:val="20"/>
        </w:rPr>
        <w:t>Land Registry © Crown copyright</w:t>
      </w:r>
      <w:r>
        <w:rPr>
          <w:sz w:val="20"/>
          <w:szCs w:val="20"/>
        </w:rPr>
        <w:t xml:space="preserve"> and database right</w:t>
      </w:r>
      <w:r w:rsidRPr="002B2A7F">
        <w:rPr>
          <w:sz w:val="20"/>
          <w:szCs w:val="20"/>
        </w:rPr>
        <w:t xml:space="preserve"> 2018</w:t>
      </w:r>
      <w:r>
        <w:rPr>
          <w:sz w:val="20"/>
          <w:szCs w:val="20"/>
        </w:rPr>
        <w:t>.  This data is licensed under the Open Government Licence v3.0</w:t>
      </w:r>
      <w:r w:rsidR="00642347">
        <w:rPr>
          <w:sz w:val="20"/>
          <w:szCs w:val="20"/>
        </w:rPr>
        <w:t xml:space="preserve">; </w:t>
      </w:r>
      <w:bookmarkStart w:id="256" w:name="_Hlk531256644"/>
      <w:r w:rsidR="00642347" w:rsidRPr="002B2A7F">
        <w:rPr>
          <w:sz w:val="20"/>
          <w:szCs w:val="20"/>
        </w:rPr>
        <w:t>©</w:t>
      </w:r>
      <w:r w:rsidR="00642347">
        <w:rPr>
          <w:sz w:val="20"/>
          <w:szCs w:val="20"/>
        </w:rPr>
        <w:t xml:space="preserve"> 2018 Zoopla Limited.  All rights reserved</w:t>
      </w:r>
      <w:bookmarkEnd w:id="256"/>
      <w:r w:rsidR="00642347">
        <w:rPr>
          <w:sz w:val="20"/>
          <w:szCs w:val="20"/>
        </w:rPr>
        <w:t>; CLG</w:t>
      </w:r>
    </w:p>
    <w:p w14:paraId="61722581" w14:textId="77777777" w:rsidR="001F27D2" w:rsidRDefault="001F27D2" w:rsidP="001F27D2">
      <w:pPr>
        <w:rPr>
          <w:rFonts w:asciiTheme="minorHAnsi" w:hAnsiTheme="minorHAnsi" w:cs="Calibri"/>
          <w:sz w:val="20"/>
          <w:szCs w:val="20"/>
        </w:rPr>
      </w:pPr>
    </w:p>
    <w:p w14:paraId="3EC83825" w14:textId="77777777" w:rsidR="001F27D2" w:rsidRPr="002B2A7F" w:rsidRDefault="001F27D2" w:rsidP="001F27D2">
      <w:pPr>
        <w:rPr>
          <w:rFonts w:asciiTheme="minorHAnsi" w:hAnsiTheme="minorHAnsi"/>
        </w:rPr>
      </w:pPr>
      <w:r w:rsidRPr="002B2A7F">
        <w:rPr>
          <w:rFonts w:asciiTheme="minorHAnsi" w:hAnsiTheme="minorHAnsi"/>
        </w:rPr>
        <w:br w:type="page"/>
      </w: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3039"/>
        <w:gridCol w:w="1674"/>
        <w:gridCol w:w="1535"/>
        <w:gridCol w:w="1674"/>
        <w:gridCol w:w="1674"/>
        <w:gridCol w:w="1394"/>
        <w:gridCol w:w="1674"/>
        <w:gridCol w:w="1448"/>
      </w:tblGrid>
      <w:tr w:rsidR="001F27D2" w:rsidRPr="00642347" w14:paraId="0FDD4A01" w14:textId="77777777" w:rsidTr="001F27D2">
        <w:trPr>
          <w:trHeight w:val="320"/>
        </w:trPr>
        <w:tc>
          <w:tcPr>
            <w:tcW w:w="5000" w:type="pct"/>
            <w:gridSpan w:val="8"/>
            <w:shd w:val="clear" w:color="000000" w:fill="008080"/>
            <w:noWrap/>
            <w:vAlign w:val="bottom"/>
          </w:tcPr>
          <w:p w14:paraId="221EBA49" w14:textId="77777777" w:rsidR="001F27D2" w:rsidRPr="00642347" w:rsidRDefault="001F27D2" w:rsidP="00642347">
            <w:pPr>
              <w:pStyle w:val="Tableheading1"/>
              <w:rPr>
                <w:color w:val="000000"/>
                <w:szCs w:val="22"/>
              </w:rPr>
            </w:pPr>
            <w:bookmarkStart w:id="257" w:name="_Toc531122932"/>
            <w:bookmarkStart w:id="258" w:name="_Toc532812469"/>
            <w:r w:rsidRPr="00642347">
              <w:lastRenderedPageBreak/>
              <w:t>Table 3.5</w:t>
            </w:r>
            <w:r w:rsidRPr="00642347">
              <w:tab/>
              <w:t>Income required for alternative tenure options by Housing Market Area</w:t>
            </w:r>
            <w:bookmarkEnd w:id="257"/>
            <w:bookmarkEnd w:id="258"/>
          </w:p>
        </w:tc>
      </w:tr>
      <w:tr w:rsidR="001F27D2" w:rsidRPr="00642347" w14:paraId="5D7327B8" w14:textId="77777777" w:rsidTr="001F27D2">
        <w:trPr>
          <w:trHeight w:val="320"/>
        </w:trPr>
        <w:tc>
          <w:tcPr>
            <w:tcW w:w="1077" w:type="pct"/>
            <w:vMerge w:val="restart"/>
            <w:shd w:val="clear" w:color="000000" w:fill="008080"/>
            <w:noWrap/>
            <w:vAlign w:val="bottom"/>
            <w:hideMark/>
          </w:tcPr>
          <w:p w14:paraId="376CC6C8" w14:textId="77777777" w:rsidR="001F27D2" w:rsidRPr="00642347" w:rsidRDefault="001F27D2" w:rsidP="00642347">
            <w:pPr>
              <w:spacing w:before="0" w:after="0"/>
              <w:rPr>
                <w:rFonts w:cs="Calibri"/>
                <w:b/>
                <w:bCs/>
                <w:color w:val="FFFFFF"/>
                <w:sz w:val="22"/>
                <w:szCs w:val="22"/>
              </w:rPr>
            </w:pPr>
            <w:r w:rsidRPr="00642347">
              <w:rPr>
                <w:rFonts w:cs="Calibri"/>
                <w:b/>
                <w:bCs/>
                <w:color w:val="FFFFFF"/>
                <w:sz w:val="22"/>
                <w:szCs w:val="22"/>
              </w:rPr>
              <w:t>Tenure option</w:t>
            </w:r>
          </w:p>
        </w:tc>
        <w:tc>
          <w:tcPr>
            <w:tcW w:w="3923" w:type="pct"/>
            <w:gridSpan w:val="7"/>
            <w:shd w:val="clear" w:color="000000" w:fill="008080"/>
            <w:noWrap/>
            <w:vAlign w:val="bottom"/>
            <w:hideMark/>
          </w:tcPr>
          <w:p w14:paraId="6312A5E5" w14:textId="77777777" w:rsidR="001F27D2" w:rsidRPr="00642347" w:rsidRDefault="001F27D2" w:rsidP="00642347">
            <w:pPr>
              <w:spacing w:before="0" w:after="0"/>
              <w:jc w:val="center"/>
              <w:rPr>
                <w:rFonts w:cs="Calibri"/>
                <w:color w:val="000000"/>
                <w:sz w:val="22"/>
                <w:szCs w:val="22"/>
              </w:rPr>
            </w:pPr>
            <w:r w:rsidRPr="00642347">
              <w:rPr>
                <w:rFonts w:cs="Calibri"/>
                <w:b/>
                <w:bCs/>
                <w:color w:val="FFFFFF"/>
                <w:sz w:val="22"/>
                <w:szCs w:val="22"/>
              </w:rPr>
              <w:t>Monthly Rent / Total House price</w:t>
            </w:r>
          </w:p>
        </w:tc>
      </w:tr>
      <w:tr w:rsidR="001F27D2" w:rsidRPr="00642347" w14:paraId="13106FF7" w14:textId="77777777" w:rsidTr="001F27D2">
        <w:trPr>
          <w:trHeight w:val="680"/>
        </w:trPr>
        <w:tc>
          <w:tcPr>
            <w:tcW w:w="1077" w:type="pct"/>
            <w:vMerge/>
            <w:shd w:val="clear" w:color="000000" w:fill="008080"/>
            <w:noWrap/>
            <w:vAlign w:val="bottom"/>
            <w:hideMark/>
          </w:tcPr>
          <w:p w14:paraId="25C79C68" w14:textId="77777777" w:rsidR="001F27D2" w:rsidRPr="00642347" w:rsidRDefault="001F27D2" w:rsidP="00642347">
            <w:pPr>
              <w:spacing w:before="0" w:after="0"/>
              <w:rPr>
                <w:rFonts w:cs="Calibri"/>
                <w:color w:val="FFFFFF"/>
                <w:sz w:val="22"/>
                <w:szCs w:val="22"/>
              </w:rPr>
            </w:pPr>
          </w:p>
        </w:tc>
        <w:tc>
          <w:tcPr>
            <w:tcW w:w="593" w:type="pct"/>
            <w:shd w:val="clear" w:color="000000" w:fill="008080"/>
            <w:vAlign w:val="bottom"/>
            <w:hideMark/>
          </w:tcPr>
          <w:p w14:paraId="75C7FE18" w14:textId="77777777" w:rsidR="001F27D2" w:rsidRPr="00642347" w:rsidRDefault="001F27D2" w:rsidP="00642347">
            <w:pPr>
              <w:spacing w:before="0" w:after="0"/>
              <w:jc w:val="center"/>
              <w:rPr>
                <w:rFonts w:cs="Calibri"/>
                <w:color w:val="FFFFFF"/>
                <w:sz w:val="22"/>
                <w:szCs w:val="22"/>
              </w:rPr>
            </w:pPr>
            <w:r w:rsidRPr="00642347">
              <w:rPr>
                <w:rFonts w:cs="Calibri"/>
                <w:color w:val="FFFFFF"/>
                <w:sz w:val="22"/>
                <w:szCs w:val="22"/>
              </w:rPr>
              <w:t>HMA1A</w:t>
            </w:r>
          </w:p>
          <w:p w14:paraId="146BE764" w14:textId="77777777" w:rsidR="001F27D2" w:rsidRPr="00642347" w:rsidRDefault="001F27D2" w:rsidP="00642347">
            <w:pPr>
              <w:spacing w:before="0" w:after="0"/>
              <w:jc w:val="center"/>
              <w:rPr>
                <w:rFonts w:cs="Calibri"/>
                <w:color w:val="FFFFFF"/>
                <w:sz w:val="22"/>
                <w:szCs w:val="22"/>
              </w:rPr>
            </w:pPr>
            <w:r w:rsidRPr="00642347">
              <w:rPr>
                <w:rFonts w:cs="Calibri"/>
                <w:color w:val="FFFFFF"/>
                <w:sz w:val="22"/>
                <w:szCs w:val="22"/>
              </w:rPr>
              <w:t>Penrith Urban</w:t>
            </w:r>
          </w:p>
        </w:tc>
        <w:tc>
          <w:tcPr>
            <w:tcW w:w="544" w:type="pct"/>
            <w:shd w:val="clear" w:color="000000" w:fill="008080"/>
            <w:vAlign w:val="bottom"/>
            <w:hideMark/>
          </w:tcPr>
          <w:p w14:paraId="0A98A6CC" w14:textId="77777777" w:rsidR="001F27D2" w:rsidRPr="00642347" w:rsidRDefault="001F27D2" w:rsidP="00642347">
            <w:pPr>
              <w:spacing w:before="0" w:after="0"/>
              <w:jc w:val="center"/>
              <w:rPr>
                <w:rFonts w:cs="Calibri"/>
                <w:color w:val="FFFFFF"/>
                <w:sz w:val="22"/>
                <w:szCs w:val="22"/>
              </w:rPr>
            </w:pPr>
            <w:r w:rsidRPr="00642347">
              <w:rPr>
                <w:rFonts w:cs="Calibri"/>
                <w:color w:val="FFFFFF"/>
                <w:sz w:val="22"/>
                <w:szCs w:val="22"/>
              </w:rPr>
              <w:t>HMA1B</w:t>
            </w:r>
          </w:p>
          <w:p w14:paraId="1D438DD1" w14:textId="77777777" w:rsidR="001F27D2" w:rsidRPr="00642347" w:rsidRDefault="001F27D2" w:rsidP="00642347">
            <w:pPr>
              <w:spacing w:before="0" w:after="0"/>
              <w:jc w:val="center"/>
              <w:rPr>
                <w:rFonts w:cs="Calibri"/>
                <w:color w:val="FFFFFF"/>
                <w:sz w:val="22"/>
                <w:szCs w:val="22"/>
              </w:rPr>
            </w:pPr>
            <w:r w:rsidRPr="00642347">
              <w:rPr>
                <w:rFonts w:cs="Calibri"/>
                <w:color w:val="FFFFFF"/>
                <w:sz w:val="22"/>
                <w:szCs w:val="22"/>
              </w:rPr>
              <w:t>Penrith Rural</w:t>
            </w:r>
          </w:p>
        </w:tc>
        <w:tc>
          <w:tcPr>
            <w:tcW w:w="593" w:type="pct"/>
            <w:shd w:val="clear" w:color="000000" w:fill="008080"/>
            <w:vAlign w:val="bottom"/>
            <w:hideMark/>
          </w:tcPr>
          <w:p w14:paraId="43A45D1F" w14:textId="77777777" w:rsidR="001F27D2" w:rsidRPr="00642347" w:rsidRDefault="001F27D2" w:rsidP="00642347">
            <w:pPr>
              <w:spacing w:before="0" w:after="0"/>
              <w:jc w:val="center"/>
              <w:rPr>
                <w:rFonts w:cs="Calibri"/>
                <w:color w:val="FFFFFF"/>
                <w:sz w:val="22"/>
                <w:szCs w:val="22"/>
              </w:rPr>
            </w:pPr>
            <w:r w:rsidRPr="00642347">
              <w:rPr>
                <w:rFonts w:cs="Calibri"/>
                <w:color w:val="FFFFFF"/>
                <w:sz w:val="22"/>
                <w:szCs w:val="22"/>
              </w:rPr>
              <w:t>HMA2</w:t>
            </w:r>
          </w:p>
          <w:p w14:paraId="13955212" w14:textId="77777777" w:rsidR="001F27D2" w:rsidRPr="00642347" w:rsidRDefault="001F27D2" w:rsidP="00642347">
            <w:pPr>
              <w:spacing w:before="0" w:after="0"/>
              <w:jc w:val="center"/>
              <w:rPr>
                <w:rFonts w:cs="Calibri"/>
                <w:color w:val="FFFFFF"/>
                <w:sz w:val="22"/>
                <w:szCs w:val="22"/>
              </w:rPr>
            </w:pPr>
            <w:r w:rsidRPr="00642347">
              <w:rPr>
                <w:rFonts w:cs="Calibri"/>
                <w:color w:val="FFFFFF"/>
                <w:sz w:val="22"/>
                <w:szCs w:val="22"/>
              </w:rPr>
              <w:t>Appleby</w:t>
            </w:r>
          </w:p>
        </w:tc>
        <w:tc>
          <w:tcPr>
            <w:tcW w:w="593" w:type="pct"/>
            <w:shd w:val="clear" w:color="000000" w:fill="008080"/>
            <w:vAlign w:val="bottom"/>
            <w:hideMark/>
          </w:tcPr>
          <w:p w14:paraId="627A2DEA" w14:textId="77777777" w:rsidR="001F27D2" w:rsidRPr="00642347" w:rsidRDefault="001F27D2" w:rsidP="00642347">
            <w:pPr>
              <w:spacing w:before="0" w:after="0"/>
              <w:jc w:val="center"/>
              <w:rPr>
                <w:rFonts w:cs="Calibri"/>
                <w:color w:val="FFFFFF"/>
                <w:sz w:val="22"/>
                <w:szCs w:val="22"/>
              </w:rPr>
            </w:pPr>
            <w:r w:rsidRPr="00642347">
              <w:rPr>
                <w:rFonts w:cs="Calibri"/>
                <w:color w:val="FFFFFF"/>
                <w:sz w:val="22"/>
                <w:szCs w:val="22"/>
              </w:rPr>
              <w:t>HMA3</w:t>
            </w:r>
          </w:p>
          <w:p w14:paraId="04405EC0" w14:textId="77777777" w:rsidR="001F27D2" w:rsidRPr="00642347" w:rsidRDefault="001F27D2" w:rsidP="00642347">
            <w:pPr>
              <w:spacing w:before="0" w:after="0"/>
              <w:jc w:val="center"/>
              <w:rPr>
                <w:rFonts w:cs="Calibri"/>
                <w:color w:val="FFFFFF"/>
                <w:sz w:val="22"/>
                <w:szCs w:val="22"/>
              </w:rPr>
            </w:pPr>
            <w:r w:rsidRPr="00642347">
              <w:rPr>
                <w:rFonts w:cs="Calibri"/>
                <w:color w:val="FFFFFF"/>
                <w:sz w:val="22"/>
                <w:szCs w:val="22"/>
              </w:rPr>
              <w:t>Kirby Stephen</w:t>
            </w:r>
          </w:p>
        </w:tc>
        <w:tc>
          <w:tcPr>
            <w:tcW w:w="494" w:type="pct"/>
            <w:shd w:val="clear" w:color="000000" w:fill="008080"/>
            <w:vAlign w:val="bottom"/>
            <w:hideMark/>
          </w:tcPr>
          <w:p w14:paraId="347F9F14" w14:textId="77777777" w:rsidR="001F27D2" w:rsidRPr="00642347" w:rsidRDefault="001F27D2" w:rsidP="00642347">
            <w:pPr>
              <w:spacing w:before="0" w:after="0"/>
              <w:jc w:val="center"/>
              <w:rPr>
                <w:rFonts w:cs="Calibri"/>
                <w:color w:val="FFFFFF"/>
                <w:sz w:val="22"/>
                <w:szCs w:val="22"/>
              </w:rPr>
            </w:pPr>
            <w:r w:rsidRPr="00642347">
              <w:rPr>
                <w:rFonts w:cs="Calibri"/>
                <w:color w:val="FFFFFF"/>
                <w:sz w:val="22"/>
                <w:szCs w:val="22"/>
              </w:rPr>
              <w:t>HMA4</w:t>
            </w:r>
          </w:p>
          <w:p w14:paraId="1F068601" w14:textId="77777777" w:rsidR="001F27D2" w:rsidRPr="00642347" w:rsidRDefault="001F27D2" w:rsidP="00642347">
            <w:pPr>
              <w:spacing w:before="0" w:after="0"/>
              <w:jc w:val="center"/>
              <w:rPr>
                <w:rFonts w:cs="Calibri"/>
                <w:color w:val="FFFFFF"/>
                <w:sz w:val="22"/>
                <w:szCs w:val="22"/>
              </w:rPr>
            </w:pPr>
            <w:r w:rsidRPr="00642347">
              <w:rPr>
                <w:rFonts w:cs="Calibri"/>
                <w:color w:val="FFFFFF"/>
                <w:sz w:val="22"/>
                <w:szCs w:val="22"/>
              </w:rPr>
              <w:t>Alston</w:t>
            </w:r>
          </w:p>
        </w:tc>
        <w:tc>
          <w:tcPr>
            <w:tcW w:w="593" w:type="pct"/>
            <w:shd w:val="clear" w:color="000000" w:fill="008080"/>
            <w:vAlign w:val="bottom"/>
            <w:hideMark/>
          </w:tcPr>
          <w:p w14:paraId="584F8FA1" w14:textId="77777777" w:rsidR="001F27D2" w:rsidRPr="00642347" w:rsidRDefault="001F27D2" w:rsidP="00642347">
            <w:pPr>
              <w:spacing w:before="0" w:after="0"/>
              <w:jc w:val="center"/>
              <w:rPr>
                <w:rFonts w:cs="Calibri"/>
                <w:color w:val="FFFFFF"/>
                <w:sz w:val="22"/>
                <w:szCs w:val="22"/>
              </w:rPr>
            </w:pPr>
            <w:r w:rsidRPr="00642347">
              <w:rPr>
                <w:rFonts w:cs="Calibri"/>
                <w:color w:val="FFFFFF"/>
                <w:sz w:val="22"/>
                <w:szCs w:val="22"/>
              </w:rPr>
              <w:t>HMA5</w:t>
            </w:r>
          </w:p>
          <w:p w14:paraId="7F460753" w14:textId="77777777" w:rsidR="001F27D2" w:rsidRPr="00642347" w:rsidRDefault="001F27D2" w:rsidP="00642347">
            <w:pPr>
              <w:spacing w:before="0" w:after="0"/>
              <w:jc w:val="center"/>
              <w:rPr>
                <w:rFonts w:cs="Calibri"/>
                <w:color w:val="FFFFFF"/>
                <w:sz w:val="22"/>
                <w:szCs w:val="22"/>
              </w:rPr>
            </w:pPr>
            <w:r w:rsidRPr="00642347">
              <w:rPr>
                <w:rFonts w:cs="Calibri"/>
                <w:color w:val="FFFFFF"/>
                <w:sz w:val="22"/>
                <w:szCs w:val="22"/>
              </w:rPr>
              <w:t>West of M6</w:t>
            </w:r>
          </w:p>
        </w:tc>
        <w:tc>
          <w:tcPr>
            <w:tcW w:w="513" w:type="pct"/>
            <w:shd w:val="clear" w:color="000000" w:fill="008080"/>
            <w:vAlign w:val="bottom"/>
            <w:hideMark/>
          </w:tcPr>
          <w:p w14:paraId="3C93F450" w14:textId="5124253D" w:rsidR="001F27D2" w:rsidRPr="00642347" w:rsidRDefault="0030287C" w:rsidP="00642347">
            <w:pPr>
              <w:spacing w:before="0" w:after="0"/>
              <w:jc w:val="center"/>
              <w:rPr>
                <w:rFonts w:cs="Calibri"/>
                <w:color w:val="FFFFFF"/>
                <w:sz w:val="22"/>
                <w:szCs w:val="22"/>
              </w:rPr>
            </w:pPr>
            <w:r w:rsidRPr="001F27D2">
              <w:rPr>
                <w:rFonts w:cs="Calibri"/>
                <w:color w:val="FFFFFF"/>
                <w:sz w:val="22"/>
                <w:szCs w:val="22"/>
              </w:rPr>
              <w:t>Eden Distric</w:t>
            </w:r>
            <w:r>
              <w:rPr>
                <w:rFonts w:cs="Calibri"/>
                <w:color w:val="FFFFFF"/>
                <w:sz w:val="22"/>
                <w:szCs w:val="22"/>
              </w:rPr>
              <w:t>t-wide average</w:t>
            </w:r>
          </w:p>
        </w:tc>
      </w:tr>
      <w:tr w:rsidR="001F27D2" w:rsidRPr="00642347" w14:paraId="5EC20889" w14:textId="77777777" w:rsidTr="001F27D2">
        <w:trPr>
          <w:trHeight w:val="320"/>
        </w:trPr>
        <w:tc>
          <w:tcPr>
            <w:tcW w:w="1077" w:type="pct"/>
            <w:shd w:val="clear" w:color="auto" w:fill="auto"/>
            <w:noWrap/>
            <w:vAlign w:val="bottom"/>
            <w:hideMark/>
          </w:tcPr>
          <w:p w14:paraId="78A41478" w14:textId="77777777" w:rsidR="001F27D2" w:rsidRPr="00642347" w:rsidRDefault="001F27D2" w:rsidP="00642347">
            <w:pPr>
              <w:spacing w:before="0" w:after="0"/>
              <w:rPr>
                <w:rFonts w:cs="Calibri"/>
                <w:sz w:val="22"/>
                <w:szCs w:val="22"/>
              </w:rPr>
            </w:pPr>
            <w:r w:rsidRPr="00642347">
              <w:rPr>
                <w:rFonts w:cs="Calibri"/>
                <w:sz w:val="22"/>
                <w:szCs w:val="22"/>
              </w:rPr>
              <w:t>Social Rent</w:t>
            </w:r>
          </w:p>
        </w:tc>
        <w:tc>
          <w:tcPr>
            <w:tcW w:w="593" w:type="pct"/>
            <w:shd w:val="clear" w:color="auto" w:fill="auto"/>
            <w:noWrap/>
            <w:vAlign w:val="bottom"/>
            <w:hideMark/>
          </w:tcPr>
          <w:p w14:paraId="49B23335" w14:textId="77777777" w:rsidR="001F27D2" w:rsidRPr="00642347" w:rsidRDefault="001F27D2" w:rsidP="00642347">
            <w:pPr>
              <w:spacing w:before="0" w:after="0"/>
              <w:jc w:val="center"/>
              <w:rPr>
                <w:rFonts w:cs="Calibri"/>
                <w:color w:val="000000"/>
                <w:sz w:val="22"/>
                <w:szCs w:val="22"/>
              </w:rPr>
            </w:pPr>
            <w:r w:rsidRPr="00642347">
              <w:rPr>
                <w:rFonts w:cs="Calibri"/>
                <w:sz w:val="22"/>
                <w:szCs w:val="22"/>
              </w:rPr>
              <w:t>£20,205</w:t>
            </w:r>
          </w:p>
        </w:tc>
        <w:tc>
          <w:tcPr>
            <w:tcW w:w="544" w:type="pct"/>
            <w:shd w:val="clear" w:color="auto" w:fill="auto"/>
            <w:noWrap/>
            <w:vAlign w:val="bottom"/>
            <w:hideMark/>
          </w:tcPr>
          <w:p w14:paraId="54635C95" w14:textId="77777777" w:rsidR="001F27D2" w:rsidRPr="00642347" w:rsidRDefault="001F27D2" w:rsidP="00642347">
            <w:pPr>
              <w:spacing w:before="0" w:after="0"/>
              <w:jc w:val="center"/>
              <w:rPr>
                <w:rFonts w:cs="Calibri"/>
                <w:color w:val="000000"/>
                <w:sz w:val="22"/>
                <w:szCs w:val="22"/>
              </w:rPr>
            </w:pPr>
            <w:r w:rsidRPr="00642347">
              <w:rPr>
                <w:rFonts w:cs="Calibri"/>
                <w:sz w:val="22"/>
                <w:szCs w:val="22"/>
              </w:rPr>
              <w:t>£20,205</w:t>
            </w:r>
          </w:p>
        </w:tc>
        <w:tc>
          <w:tcPr>
            <w:tcW w:w="593" w:type="pct"/>
            <w:shd w:val="clear" w:color="auto" w:fill="auto"/>
            <w:noWrap/>
            <w:vAlign w:val="bottom"/>
            <w:hideMark/>
          </w:tcPr>
          <w:p w14:paraId="02E3A24A" w14:textId="77777777" w:rsidR="001F27D2" w:rsidRPr="00642347" w:rsidRDefault="001F27D2" w:rsidP="00642347">
            <w:pPr>
              <w:spacing w:before="0" w:after="0"/>
              <w:jc w:val="center"/>
              <w:rPr>
                <w:rFonts w:cs="Calibri"/>
                <w:color w:val="000000"/>
                <w:sz w:val="22"/>
                <w:szCs w:val="22"/>
              </w:rPr>
            </w:pPr>
            <w:r w:rsidRPr="00642347">
              <w:rPr>
                <w:rFonts w:cs="Calibri"/>
                <w:sz w:val="22"/>
                <w:szCs w:val="22"/>
              </w:rPr>
              <w:t>£20,205</w:t>
            </w:r>
          </w:p>
        </w:tc>
        <w:tc>
          <w:tcPr>
            <w:tcW w:w="593" w:type="pct"/>
            <w:shd w:val="clear" w:color="auto" w:fill="auto"/>
            <w:noWrap/>
            <w:vAlign w:val="bottom"/>
            <w:hideMark/>
          </w:tcPr>
          <w:p w14:paraId="71D5A268" w14:textId="77777777" w:rsidR="001F27D2" w:rsidRPr="00642347" w:rsidRDefault="001F27D2" w:rsidP="00642347">
            <w:pPr>
              <w:spacing w:before="0" w:after="0"/>
              <w:jc w:val="center"/>
              <w:rPr>
                <w:rFonts w:cs="Calibri"/>
                <w:color w:val="000000"/>
                <w:sz w:val="22"/>
                <w:szCs w:val="22"/>
              </w:rPr>
            </w:pPr>
            <w:r w:rsidRPr="00642347">
              <w:rPr>
                <w:rFonts w:cs="Calibri"/>
                <w:sz w:val="22"/>
                <w:szCs w:val="22"/>
              </w:rPr>
              <w:t>£20,205</w:t>
            </w:r>
          </w:p>
        </w:tc>
        <w:tc>
          <w:tcPr>
            <w:tcW w:w="494" w:type="pct"/>
            <w:shd w:val="clear" w:color="auto" w:fill="auto"/>
            <w:noWrap/>
            <w:vAlign w:val="bottom"/>
            <w:hideMark/>
          </w:tcPr>
          <w:p w14:paraId="2BC47276" w14:textId="77777777" w:rsidR="001F27D2" w:rsidRPr="00642347" w:rsidRDefault="001F27D2" w:rsidP="00642347">
            <w:pPr>
              <w:spacing w:before="0" w:after="0"/>
              <w:jc w:val="center"/>
              <w:rPr>
                <w:rFonts w:cs="Calibri"/>
                <w:color w:val="000000"/>
                <w:sz w:val="22"/>
                <w:szCs w:val="22"/>
              </w:rPr>
            </w:pPr>
            <w:r w:rsidRPr="00642347">
              <w:rPr>
                <w:rFonts w:cs="Calibri"/>
                <w:sz w:val="22"/>
                <w:szCs w:val="22"/>
              </w:rPr>
              <w:t>£20,205</w:t>
            </w:r>
          </w:p>
        </w:tc>
        <w:tc>
          <w:tcPr>
            <w:tcW w:w="593" w:type="pct"/>
            <w:shd w:val="clear" w:color="auto" w:fill="auto"/>
            <w:noWrap/>
            <w:vAlign w:val="bottom"/>
            <w:hideMark/>
          </w:tcPr>
          <w:p w14:paraId="2A67DB08" w14:textId="77777777" w:rsidR="001F27D2" w:rsidRPr="00642347" w:rsidRDefault="001F27D2" w:rsidP="00642347">
            <w:pPr>
              <w:spacing w:before="0" w:after="0"/>
              <w:jc w:val="center"/>
              <w:rPr>
                <w:rFonts w:cs="Calibri"/>
                <w:color w:val="000000"/>
                <w:sz w:val="22"/>
                <w:szCs w:val="22"/>
              </w:rPr>
            </w:pPr>
            <w:r w:rsidRPr="00642347">
              <w:rPr>
                <w:rFonts w:cs="Calibri"/>
                <w:sz w:val="22"/>
                <w:szCs w:val="22"/>
              </w:rPr>
              <w:t>£20,205</w:t>
            </w:r>
          </w:p>
        </w:tc>
        <w:tc>
          <w:tcPr>
            <w:tcW w:w="513" w:type="pct"/>
            <w:shd w:val="clear" w:color="auto" w:fill="auto"/>
            <w:noWrap/>
            <w:vAlign w:val="bottom"/>
            <w:hideMark/>
          </w:tcPr>
          <w:p w14:paraId="6D4A844A" w14:textId="77777777" w:rsidR="001F27D2" w:rsidRPr="00642347" w:rsidRDefault="001F27D2" w:rsidP="00642347">
            <w:pPr>
              <w:spacing w:before="0" w:after="0"/>
              <w:jc w:val="center"/>
              <w:rPr>
                <w:rFonts w:cs="Calibri"/>
                <w:color w:val="000000"/>
                <w:sz w:val="22"/>
                <w:szCs w:val="22"/>
              </w:rPr>
            </w:pPr>
            <w:r w:rsidRPr="00642347">
              <w:rPr>
                <w:rFonts w:cs="Calibri"/>
                <w:sz w:val="22"/>
                <w:szCs w:val="22"/>
              </w:rPr>
              <w:t>£20,205</w:t>
            </w:r>
          </w:p>
        </w:tc>
      </w:tr>
      <w:tr w:rsidR="0002639A" w:rsidRPr="00642347" w14:paraId="3C523ACA" w14:textId="77777777" w:rsidTr="001F27D2">
        <w:trPr>
          <w:trHeight w:val="320"/>
        </w:trPr>
        <w:tc>
          <w:tcPr>
            <w:tcW w:w="1077" w:type="pct"/>
            <w:shd w:val="clear" w:color="auto" w:fill="auto"/>
            <w:noWrap/>
            <w:vAlign w:val="bottom"/>
            <w:hideMark/>
          </w:tcPr>
          <w:p w14:paraId="54CE6123" w14:textId="77777777" w:rsidR="0002639A" w:rsidRPr="00642347" w:rsidRDefault="0002639A" w:rsidP="0002639A">
            <w:pPr>
              <w:spacing w:before="0" w:after="0"/>
              <w:rPr>
                <w:rFonts w:cs="Calibri"/>
                <w:sz w:val="22"/>
                <w:szCs w:val="22"/>
              </w:rPr>
            </w:pPr>
            <w:r w:rsidRPr="00642347">
              <w:rPr>
                <w:rFonts w:cs="Calibri"/>
                <w:sz w:val="22"/>
                <w:szCs w:val="22"/>
              </w:rPr>
              <w:t>Affordable Rent</w:t>
            </w:r>
          </w:p>
        </w:tc>
        <w:tc>
          <w:tcPr>
            <w:tcW w:w="593" w:type="pct"/>
            <w:shd w:val="clear" w:color="auto" w:fill="auto"/>
            <w:noWrap/>
            <w:vAlign w:val="bottom"/>
            <w:hideMark/>
          </w:tcPr>
          <w:p w14:paraId="0C714EBD" w14:textId="1CF8258C" w:rsidR="0002639A" w:rsidRPr="0002639A" w:rsidRDefault="0002639A" w:rsidP="0002639A">
            <w:pPr>
              <w:spacing w:before="0" w:after="0"/>
              <w:jc w:val="center"/>
              <w:rPr>
                <w:rFonts w:cs="Calibri"/>
                <w:color w:val="000000"/>
                <w:sz w:val="22"/>
                <w:szCs w:val="22"/>
              </w:rPr>
            </w:pPr>
            <w:r w:rsidRPr="0002639A">
              <w:rPr>
                <w:rFonts w:cs="Calibri"/>
                <w:color w:val="000000"/>
                <w:sz w:val="22"/>
                <w:szCs w:val="22"/>
              </w:rPr>
              <w:t>£20,813</w:t>
            </w:r>
          </w:p>
        </w:tc>
        <w:tc>
          <w:tcPr>
            <w:tcW w:w="544" w:type="pct"/>
            <w:shd w:val="clear" w:color="auto" w:fill="auto"/>
            <w:noWrap/>
            <w:vAlign w:val="bottom"/>
            <w:hideMark/>
          </w:tcPr>
          <w:p w14:paraId="71E66606" w14:textId="22CC3D4F" w:rsidR="0002639A" w:rsidRPr="0002639A" w:rsidRDefault="0002639A" w:rsidP="0002639A">
            <w:pPr>
              <w:spacing w:before="0" w:after="0"/>
              <w:jc w:val="center"/>
              <w:rPr>
                <w:rFonts w:cs="Calibri"/>
                <w:color w:val="000000"/>
                <w:sz w:val="22"/>
                <w:szCs w:val="22"/>
              </w:rPr>
            </w:pPr>
            <w:r w:rsidRPr="0002639A">
              <w:rPr>
                <w:rFonts w:cs="Calibri"/>
                <w:color w:val="000000"/>
                <w:sz w:val="22"/>
                <w:szCs w:val="22"/>
              </w:rPr>
              <w:t>£25,882</w:t>
            </w:r>
          </w:p>
        </w:tc>
        <w:tc>
          <w:tcPr>
            <w:tcW w:w="593" w:type="pct"/>
            <w:shd w:val="clear" w:color="auto" w:fill="auto"/>
            <w:noWrap/>
            <w:vAlign w:val="bottom"/>
            <w:hideMark/>
          </w:tcPr>
          <w:p w14:paraId="2EE4EB51" w14:textId="39BB6A88" w:rsidR="0002639A" w:rsidRPr="0002639A" w:rsidRDefault="0002639A" w:rsidP="0002639A">
            <w:pPr>
              <w:spacing w:before="0" w:after="0"/>
              <w:jc w:val="center"/>
              <w:rPr>
                <w:rFonts w:cs="Calibri"/>
                <w:color w:val="000000"/>
                <w:sz w:val="22"/>
                <w:szCs w:val="22"/>
              </w:rPr>
            </w:pPr>
            <w:r w:rsidRPr="0002639A">
              <w:rPr>
                <w:rFonts w:cs="Calibri"/>
                <w:color w:val="000000"/>
                <w:sz w:val="22"/>
                <w:szCs w:val="22"/>
              </w:rPr>
              <w:t>£19,123</w:t>
            </w:r>
          </w:p>
        </w:tc>
        <w:tc>
          <w:tcPr>
            <w:tcW w:w="593" w:type="pct"/>
            <w:shd w:val="clear" w:color="auto" w:fill="auto"/>
            <w:noWrap/>
            <w:vAlign w:val="bottom"/>
            <w:hideMark/>
          </w:tcPr>
          <w:p w14:paraId="1F245513" w14:textId="2C86A93B" w:rsidR="0002639A" w:rsidRPr="0002639A" w:rsidRDefault="0002639A" w:rsidP="0002639A">
            <w:pPr>
              <w:spacing w:before="0" w:after="0"/>
              <w:jc w:val="center"/>
              <w:rPr>
                <w:rFonts w:cs="Calibri"/>
                <w:color w:val="000000"/>
                <w:sz w:val="22"/>
                <w:szCs w:val="22"/>
              </w:rPr>
            </w:pPr>
            <w:r w:rsidRPr="0002639A">
              <w:rPr>
                <w:rFonts w:cs="Calibri"/>
                <w:color w:val="000000"/>
                <w:sz w:val="22"/>
                <w:szCs w:val="22"/>
              </w:rPr>
              <w:t>£19,968</w:t>
            </w:r>
          </w:p>
        </w:tc>
        <w:tc>
          <w:tcPr>
            <w:tcW w:w="494" w:type="pct"/>
            <w:shd w:val="clear" w:color="auto" w:fill="auto"/>
            <w:noWrap/>
            <w:vAlign w:val="bottom"/>
            <w:hideMark/>
          </w:tcPr>
          <w:p w14:paraId="4FE07ACA" w14:textId="220EC97C" w:rsidR="0002639A" w:rsidRPr="0002639A" w:rsidRDefault="0002639A" w:rsidP="0002639A">
            <w:pPr>
              <w:spacing w:before="0" w:after="0"/>
              <w:jc w:val="center"/>
              <w:rPr>
                <w:rFonts w:cs="Calibri"/>
                <w:color w:val="000000"/>
                <w:sz w:val="22"/>
                <w:szCs w:val="22"/>
              </w:rPr>
            </w:pPr>
            <w:r w:rsidRPr="0002639A">
              <w:rPr>
                <w:rFonts w:cs="Calibri"/>
                <w:color w:val="000000"/>
                <w:sz w:val="22"/>
                <w:szCs w:val="22"/>
              </w:rPr>
              <w:t>£17,318</w:t>
            </w:r>
          </w:p>
        </w:tc>
        <w:tc>
          <w:tcPr>
            <w:tcW w:w="593" w:type="pct"/>
            <w:shd w:val="clear" w:color="auto" w:fill="auto"/>
            <w:noWrap/>
            <w:vAlign w:val="bottom"/>
            <w:hideMark/>
          </w:tcPr>
          <w:p w14:paraId="71D37CC2" w14:textId="391220A5" w:rsidR="0002639A" w:rsidRPr="0002639A" w:rsidRDefault="0002639A" w:rsidP="0002639A">
            <w:pPr>
              <w:spacing w:before="0" w:after="0"/>
              <w:jc w:val="center"/>
              <w:rPr>
                <w:rFonts w:cs="Calibri"/>
                <w:color w:val="000000"/>
                <w:sz w:val="22"/>
                <w:szCs w:val="22"/>
              </w:rPr>
            </w:pPr>
            <w:r w:rsidRPr="0002639A">
              <w:rPr>
                <w:rFonts w:cs="Calibri"/>
                <w:color w:val="000000"/>
                <w:sz w:val="22"/>
                <w:szCs w:val="22"/>
              </w:rPr>
              <w:t>£22,118</w:t>
            </w:r>
          </w:p>
        </w:tc>
        <w:tc>
          <w:tcPr>
            <w:tcW w:w="513" w:type="pct"/>
            <w:shd w:val="clear" w:color="auto" w:fill="auto"/>
            <w:noWrap/>
            <w:vAlign w:val="bottom"/>
            <w:hideMark/>
          </w:tcPr>
          <w:p w14:paraId="59661576" w14:textId="1CDA4D31" w:rsidR="0002639A" w:rsidRPr="0002639A" w:rsidRDefault="0002639A" w:rsidP="0002639A">
            <w:pPr>
              <w:spacing w:before="0" w:after="0"/>
              <w:jc w:val="center"/>
              <w:rPr>
                <w:rFonts w:cs="Calibri"/>
                <w:color w:val="000000"/>
                <w:sz w:val="22"/>
                <w:szCs w:val="22"/>
              </w:rPr>
            </w:pPr>
            <w:r w:rsidRPr="0002639A">
              <w:rPr>
                <w:rFonts w:cs="Calibri"/>
                <w:color w:val="000000"/>
                <w:sz w:val="22"/>
                <w:szCs w:val="22"/>
              </w:rPr>
              <w:t>£21,120</w:t>
            </w:r>
          </w:p>
        </w:tc>
      </w:tr>
      <w:tr w:rsidR="001F27D2" w:rsidRPr="00642347" w14:paraId="32E53579" w14:textId="77777777" w:rsidTr="001F27D2">
        <w:trPr>
          <w:trHeight w:val="320"/>
        </w:trPr>
        <w:tc>
          <w:tcPr>
            <w:tcW w:w="1077" w:type="pct"/>
            <w:shd w:val="clear" w:color="auto" w:fill="auto"/>
            <w:noWrap/>
            <w:vAlign w:val="bottom"/>
            <w:hideMark/>
          </w:tcPr>
          <w:p w14:paraId="39A638F1" w14:textId="77777777" w:rsidR="001F27D2" w:rsidRPr="00642347" w:rsidRDefault="001F27D2" w:rsidP="00642347">
            <w:pPr>
              <w:spacing w:before="0" w:after="0"/>
              <w:rPr>
                <w:rFonts w:cs="Calibri"/>
                <w:sz w:val="22"/>
                <w:szCs w:val="22"/>
              </w:rPr>
            </w:pPr>
            <w:r w:rsidRPr="00642347">
              <w:rPr>
                <w:rFonts w:cs="Calibri"/>
                <w:sz w:val="22"/>
                <w:szCs w:val="22"/>
              </w:rPr>
              <w:t>Market Rent - Lower Quartile</w:t>
            </w:r>
          </w:p>
        </w:tc>
        <w:tc>
          <w:tcPr>
            <w:tcW w:w="593" w:type="pct"/>
            <w:shd w:val="clear" w:color="auto" w:fill="auto"/>
            <w:noWrap/>
            <w:vAlign w:val="bottom"/>
            <w:hideMark/>
          </w:tcPr>
          <w:p w14:paraId="38E33C0F" w14:textId="77777777" w:rsidR="001F27D2" w:rsidRPr="00642347" w:rsidRDefault="001F27D2" w:rsidP="00642347">
            <w:pPr>
              <w:spacing w:before="0" w:after="0"/>
              <w:jc w:val="center"/>
              <w:rPr>
                <w:rFonts w:cs="Calibri"/>
                <w:color w:val="000000"/>
                <w:sz w:val="22"/>
                <w:szCs w:val="22"/>
              </w:rPr>
            </w:pPr>
            <w:r w:rsidRPr="00642347">
              <w:rPr>
                <w:rFonts w:cs="Calibri"/>
                <w:color w:val="000000"/>
                <w:sz w:val="22"/>
                <w:szCs w:val="22"/>
              </w:rPr>
              <w:t>£23,712</w:t>
            </w:r>
          </w:p>
        </w:tc>
        <w:tc>
          <w:tcPr>
            <w:tcW w:w="544" w:type="pct"/>
            <w:shd w:val="clear" w:color="auto" w:fill="auto"/>
            <w:noWrap/>
            <w:vAlign w:val="bottom"/>
            <w:hideMark/>
          </w:tcPr>
          <w:p w14:paraId="0083E25F" w14:textId="77777777" w:rsidR="001F27D2" w:rsidRPr="00642347" w:rsidRDefault="001F27D2" w:rsidP="00642347">
            <w:pPr>
              <w:spacing w:before="0" w:after="0"/>
              <w:jc w:val="center"/>
              <w:rPr>
                <w:rFonts w:cs="Calibri"/>
                <w:color w:val="000000"/>
                <w:sz w:val="22"/>
                <w:szCs w:val="22"/>
              </w:rPr>
            </w:pPr>
            <w:r w:rsidRPr="00642347">
              <w:rPr>
                <w:rFonts w:cs="Calibri"/>
                <w:color w:val="000000"/>
                <w:sz w:val="22"/>
                <w:szCs w:val="22"/>
              </w:rPr>
              <w:t>£28,512</w:t>
            </w:r>
          </w:p>
        </w:tc>
        <w:tc>
          <w:tcPr>
            <w:tcW w:w="593" w:type="pct"/>
            <w:shd w:val="clear" w:color="auto" w:fill="auto"/>
            <w:noWrap/>
            <w:vAlign w:val="bottom"/>
            <w:hideMark/>
          </w:tcPr>
          <w:p w14:paraId="5E8FFE99" w14:textId="77777777" w:rsidR="001F27D2" w:rsidRPr="00642347" w:rsidRDefault="001F27D2" w:rsidP="00642347">
            <w:pPr>
              <w:spacing w:before="0" w:after="0"/>
              <w:jc w:val="center"/>
              <w:rPr>
                <w:rFonts w:cs="Calibri"/>
                <w:color w:val="000000"/>
                <w:sz w:val="22"/>
                <w:szCs w:val="22"/>
              </w:rPr>
            </w:pPr>
            <w:r w:rsidRPr="00642347">
              <w:rPr>
                <w:rFonts w:cs="Calibri"/>
                <w:color w:val="000000"/>
                <w:sz w:val="22"/>
                <w:szCs w:val="22"/>
              </w:rPr>
              <w:t>£21,648</w:t>
            </w:r>
          </w:p>
        </w:tc>
        <w:tc>
          <w:tcPr>
            <w:tcW w:w="593" w:type="pct"/>
            <w:shd w:val="clear" w:color="auto" w:fill="auto"/>
            <w:noWrap/>
            <w:vAlign w:val="bottom"/>
            <w:hideMark/>
          </w:tcPr>
          <w:p w14:paraId="5527143D" w14:textId="77777777" w:rsidR="001F27D2" w:rsidRPr="00642347" w:rsidRDefault="001F27D2" w:rsidP="00642347">
            <w:pPr>
              <w:spacing w:before="0" w:after="0"/>
              <w:jc w:val="center"/>
              <w:rPr>
                <w:rFonts w:cs="Calibri"/>
                <w:color w:val="000000"/>
                <w:sz w:val="22"/>
                <w:szCs w:val="22"/>
              </w:rPr>
            </w:pPr>
            <w:r w:rsidRPr="00642347">
              <w:rPr>
                <w:rFonts w:cs="Calibri"/>
                <w:color w:val="000000"/>
                <w:sz w:val="22"/>
                <w:szCs w:val="22"/>
              </w:rPr>
              <w:t>£21,648</w:t>
            </w:r>
          </w:p>
        </w:tc>
        <w:tc>
          <w:tcPr>
            <w:tcW w:w="494" w:type="pct"/>
            <w:shd w:val="clear" w:color="auto" w:fill="auto"/>
            <w:noWrap/>
            <w:vAlign w:val="bottom"/>
            <w:hideMark/>
          </w:tcPr>
          <w:p w14:paraId="5740599A" w14:textId="77777777" w:rsidR="001F27D2" w:rsidRPr="00642347" w:rsidRDefault="001F27D2" w:rsidP="00642347">
            <w:pPr>
              <w:spacing w:before="0" w:after="0"/>
              <w:jc w:val="center"/>
              <w:rPr>
                <w:rFonts w:cs="Calibri"/>
                <w:color w:val="000000"/>
                <w:sz w:val="22"/>
                <w:szCs w:val="22"/>
              </w:rPr>
            </w:pPr>
            <w:r w:rsidRPr="00642347">
              <w:rPr>
                <w:rFonts w:cs="Calibri"/>
                <w:color w:val="000000"/>
                <w:sz w:val="22"/>
                <w:szCs w:val="22"/>
              </w:rPr>
              <w:t>£18,096</w:t>
            </w:r>
          </w:p>
        </w:tc>
        <w:tc>
          <w:tcPr>
            <w:tcW w:w="593" w:type="pct"/>
            <w:shd w:val="clear" w:color="auto" w:fill="auto"/>
            <w:noWrap/>
            <w:vAlign w:val="bottom"/>
            <w:hideMark/>
          </w:tcPr>
          <w:p w14:paraId="5ABA42EF" w14:textId="77777777" w:rsidR="001F27D2" w:rsidRPr="00642347" w:rsidRDefault="001F27D2" w:rsidP="00642347">
            <w:pPr>
              <w:spacing w:before="0" w:after="0"/>
              <w:jc w:val="center"/>
              <w:rPr>
                <w:rFonts w:cs="Calibri"/>
                <w:color w:val="000000"/>
                <w:sz w:val="22"/>
                <w:szCs w:val="22"/>
              </w:rPr>
            </w:pPr>
            <w:r w:rsidRPr="00642347">
              <w:rPr>
                <w:rFonts w:cs="Calibri"/>
                <w:color w:val="000000"/>
                <w:sz w:val="22"/>
                <w:szCs w:val="22"/>
              </w:rPr>
              <w:t>£25,152</w:t>
            </w:r>
          </w:p>
        </w:tc>
        <w:tc>
          <w:tcPr>
            <w:tcW w:w="513" w:type="pct"/>
            <w:shd w:val="clear" w:color="auto" w:fill="auto"/>
            <w:noWrap/>
            <w:vAlign w:val="bottom"/>
            <w:hideMark/>
          </w:tcPr>
          <w:p w14:paraId="36A6AA6F" w14:textId="77777777" w:rsidR="001F27D2" w:rsidRPr="00642347" w:rsidRDefault="001F27D2" w:rsidP="00642347">
            <w:pPr>
              <w:spacing w:before="0" w:after="0"/>
              <w:jc w:val="center"/>
              <w:rPr>
                <w:rFonts w:cs="Calibri"/>
                <w:color w:val="000000"/>
                <w:sz w:val="22"/>
                <w:szCs w:val="22"/>
              </w:rPr>
            </w:pPr>
            <w:r w:rsidRPr="00642347">
              <w:rPr>
                <w:rFonts w:cs="Calibri"/>
                <w:color w:val="000000"/>
                <w:sz w:val="22"/>
                <w:szCs w:val="22"/>
              </w:rPr>
              <w:t>£22,896</w:t>
            </w:r>
          </w:p>
        </w:tc>
      </w:tr>
      <w:tr w:rsidR="001F27D2" w:rsidRPr="00642347" w14:paraId="78F261EC" w14:textId="77777777" w:rsidTr="001F27D2">
        <w:trPr>
          <w:trHeight w:val="320"/>
        </w:trPr>
        <w:tc>
          <w:tcPr>
            <w:tcW w:w="1077" w:type="pct"/>
            <w:shd w:val="clear" w:color="auto" w:fill="auto"/>
            <w:noWrap/>
            <w:vAlign w:val="bottom"/>
            <w:hideMark/>
          </w:tcPr>
          <w:p w14:paraId="1E4131EF" w14:textId="77777777" w:rsidR="001F27D2" w:rsidRPr="00642347" w:rsidRDefault="001F27D2" w:rsidP="00642347">
            <w:pPr>
              <w:spacing w:before="0" w:after="0"/>
              <w:rPr>
                <w:rFonts w:cs="Calibri"/>
                <w:sz w:val="22"/>
                <w:szCs w:val="22"/>
              </w:rPr>
            </w:pPr>
            <w:r w:rsidRPr="00642347">
              <w:rPr>
                <w:rFonts w:cs="Calibri"/>
                <w:sz w:val="22"/>
                <w:szCs w:val="22"/>
              </w:rPr>
              <w:t>Market Rent - Median</w:t>
            </w:r>
          </w:p>
        </w:tc>
        <w:tc>
          <w:tcPr>
            <w:tcW w:w="593" w:type="pct"/>
            <w:shd w:val="clear" w:color="auto" w:fill="auto"/>
            <w:noWrap/>
            <w:vAlign w:val="bottom"/>
            <w:hideMark/>
          </w:tcPr>
          <w:p w14:paraId="46256289" w14:textId="77777777" w:rsidR="001F27D2" w:rsidRPr="00642347" w:rsidRDefault="001F27D2" w:rsidP="00642347">
            <w:pPr>
              <w:spacing w:before="0" w:after="0"/>
              <w:jc w:val="center"/>
              <w:rPr>
                <w:rFonts w:cs="Calibri"/>
                <w:color w:val="000000"/>
                <w:sz w:val="22"/>
                <w:szCs w:val="22"/>
              </w:rPr>
            </w:pPr>
            <w:r w:rsidRPr="00642347">
              <w:rPr>
                <w:rFonts w:cs="Calibri"/>
                <w:color w:val="000000"/>
                <w:sz w:val="22"/>
                <w:szCs w:val="22"/>
              </w:rPr>
              <w:t>£26,016</w:t>
            </w:r>
          </w:p>
        </w:tc>
        <w:tc>
          <w:tcPr>
            <w:tcW w:w="544" w:type="pct"/>
            <w:shd w:val="clear" w:color="auto" w:fill="auto"/>
            <w:noWrap/>
            <w:vAlign w:val="bottom"/>
            <w:hideMark/>
          </w:tcPr>
          <w:p w14:paraId="2341EAE7" w14:textId="77777777" w:rsidR="001F27D2" w:rsidRPr="00642347" w:rsidRDefault="001F27D2" w:rsidP="00642347">
            <w:pPr>
              <w:spacing w:before="0" w:after="0"/>
              <w:jc w:val="center"/>
              <w:rPr>
                <w:rFonts w:cs="Calibri"/>
                <w:color w:val="000000"/>
                <w:sz w:val="22"/>
                <w:szCs w:val="22"/>
              </w:rPr>
            </w:pPr>
            <w:r w:rsidRPr="00642347">
              <w:rPr>
                <w:rFonts w:cs="Calibri"/>
                <w:color w:val="000000"/>
                <w:sz w:val="22"/>
                <w:szCs w:val="22"/>
              </w:rPr>
              <w:t>£32,352</w:t>
            </w:r>
          </w:p>
        </w:tc>
        <w:tc>
          <w:tcPr>
            <w:tcW w:w="593" w:type="pct"/>
            <w:shd w:val="clear" w:color="auto" w:fill="auto"/>
            <w:noWrap/>
            <w:vAlign w:val="bottom"/>
            <w:hideMark/>
          </w:tcPr>
          <w:p w14:paraId="32DD5E2F" w14:textId="77777777" w:rsidR="001F27D2" w:rsidRPr="00642347" w:rsidRDefault="001F27D2" w:rsidP="00642347">
            <w:pPr>
              <w:spacing w:before="0" w:after="0"/>
              <w:jc w:val="center"/>
              <w:rPr>
                <w:rFonts w:cs="Calibri"/>
                <w:color w:val="000000"/>
                <w:sz w:val="22"/>
                <w:szCs w:val="22"/>
              </w:rPr>
            </w:pPr>
            <w:r w:rsidRPr="00642347">
              <w:rPr>
                <w:rFonts w:cs="Calibri"/>
                <w:color w:val="000000"/>
                <w:sz w:val="22"/>
                <w:szCs w:val="22"/>
              </w:rPr>
              <w:t>£23,904</w:t>
            </w:r>
          </w:p>
        </w:tc>
        <w:tc>
          <w:tcPr>
            <w:tcW w:w="593" w:type="pct"/>
            <w:shd w:val="clear" w:color="auto" w:fill="auto"/>
            <w:noWrap/>
            <w:vAlign w:val="bottom"/>
            <w:hideMark/>
          </w:tcPr>
          <w:p w14:paraId="717308BD" w14:textId="77777777" w:rsidR="001F27D2" w:rsidRPr="00642347" w:rsidRDefault="001F27D2" w:rsidP="00642347">
            <w:pPr>
              <w:spacing w:before="0" w:after="0"/>
              <w:jc w:val="center"/>
              <w:rPr>
                <w:rFonts w:cs="Calibri"/>
                <w:color w:val="000000"/>
                <w:sz w:val="22"/>
                <w:szCs w:val="22"/>
              </w:rPr>
            </w:pPr>
            <w:r w:rsidRPr="00642347">
              <w:rPr>
                <w:rFonts w:cs="Calibri"/>
                <w:color w:val="000000"/>
                <w:sz w:val="22"/>
                <w:szCs w:val="22"/>
              </w:rPr>
              <w:t>£24,960</w:t>
            </w:r>
          </w:p>
        </w:tc>
        <w:tc>
          <w:tcPr>
            <w:tcW w:w="494" w:type="pct"/>
            <w:shd w:val="clear" w:color="auto" w:fill="auto"/>
            <w:noWrap/>
            <w:vAlign w:val="bottom"/>
            <w:hideMark/>
          </w:tcPr>
          <w:p w14:paraId="6523286E" w14:textId="77777777" w:rsidR="001F27D2" w:rsidRPr="00642347" w:rsidRDefault="001F27D2" w:rsidP="00642347">
            <w:pPr>
              <w:spacing w:before="0" w:after="0"/>
              <w:jc w:val="center"/>
              <w:rPr>
                <w:rFonts w:cs="Calibri"/>
                <w:color w:val="000000"/>
                <w:sz w:val="22"/>
                <w:szCs w:val="22"/>
              </w:rPr>
            </w:pPr>
            <w:r w:rsidRPr="00642347">
              <w:rPr>
                <w:rFonts w:cs="Calibri"/>
                <w:color w:val="000000"/>
                <w:sz w:val="22"/>
                <w:szCs w:val="22"/>
              </w:rPr>
              <w:t>£21,648</w:t>
            </w:r>
          </w:p>
        </w:tc>
        <w:tc>
          <w:tcPr>
            <w:tcW w:w="593" w:type="pct"/>
            <w:shd w:val="clear" w:color="auto" w:fill="auto"/>
            <w:noWrap/>
            <w:vAlign w:val="bottom"/>
            <w:hideMark/>
          </w:tcPr>
          <w:p w14:paraId="10D2E1D9" w14:textId="77777777" w:rsidR="001F27D2" w:rsidRPr="00642347" w:rsidRDefault="001F27D2" w:rsidP="00642347">
            <w:pPr>
              <w:spacing w:before="0" w:after="0"/>
              <w:jc w:val="center"/>
              <w:rPr>
                <w:rFonts w:cs="Calibri"/>
                <w:color w:val="000000"/>
                <w:sz w:val="22"/>
                <w:szCs w:val="22"/>
              </w:rPr>
            </w:pPr>
            <w:r w:rsidRPr="00642347">
              <w:rPr>
                <w:rFonts w:cs="Calibri"/>
                <w:color w:val="000000"/>
                <w:sz w:val="22"/>
                <w:szCs w:val="22"/>
              </w:rPr>
              <w:t>£27,648</w:t>
            </w:r>
          </w:p>
        </w:tc>
        <w:tc>
          <w:tcPr>
            <w:tcW w:w="513" w:type="pct"/>
            <w:shd w:val="clear" w:color="auto" w:fill="auto"/>
            <w:noWrap/>
            <w:vAlign w:val="bottom"/>
            <w:hideMark/>
          </w:tcPr>
          <w:p w14:paraId="052F0C2A" w14:textId="77777777" w:rsidR="001F27D2" w:rsidRPr="00642347" w:rsidRDefault="001F27D2" w:rsidP="00642347">
            <w:pPr>
              <w:spacing w:before="0" w:after="0"/>
              <w:jc w:val="center"/>
              <w:rPr>
                <w:rFonts w:cs="Calibri"/>
                <w:color w:val="000000"/>
                <w:sz w:val="22"/>
                <w:szCs w:val="22"/>
              </w:rPr>
            </w:pPr>
            <w:r w:rsidRPr="00642347">
              <w:rPr>
                <w:rFonts w:cs="Calibri"/>
                <w:color w:val="000000"/>
                <w:sz w:val="22"/>
                <w:szCs w:val="22"/>
              </w:rPr>
              <w:t>£26,400</w:t>
            </w:r>
          </w:p>
        </w:tc>
      </w:tr>
      <w:tr w:rsidR="001F27D2" w:rsidRPr="00642347" w14:paraId="0AC0CFC6" w14:textId="77777777" w:rsidTr="001F27D2">
        <w:trPr>
          <w:trHeight w:val="320"/>
        </w:trPr>
        <w:tc>
          <w:tcPr>
            <w:tcW w:w="1077" w:type="pct"/>
            <w:shd w:val="clear" w:color="auto" w:fill="auto"/>
            <w:noWrap/>
            <w:vAlign w:val="bottom"/>
            <w:hideMark/>
          </w:tcPr>
          <w:p w14:paraId="05A3A38F" w14:textId="77777777" w:rsidR="001F27D2" w:rsidRPr="00642347" w:rsidRDefault="001F27D2" w:rsidP="00642347">
            <w:pPr>
              <w:spacing w:before="0" w:after="0"/>
              <w:rPr>
                <w:rFonts w:cs="Calibri"/>
                <w:color w:val="000000"/>
                <w:sz w:val="22"/>
                <w:szCs w:val="22"/>
              </w:rPr>
            </w:pPr>
            <w:r w:rsidRPr="00642347">
              <w:rPr>
                <w:rFonts w:cs="Calibri"/>
                <w:color w:val="000000"/>
                <w:sz w:val="22"/>
                <w:szCs w:val="22"/>
              </w:rPr>
              <w:t>Market Sale - Lower Quartile</w:t>
            </w:r>
          </w:p>
        </w:tc>
        <w:tc>
          <w:tcPr>
            <w:tcW w:w="593" w:type="pct"/>
            <w:shd w:val="clear" w:color="auto" w:fill="auto"/>
            <w:noWrap/>
            <w:vAlign w:val="bottom"/>
            <w:hideMark/>
          </w:tcPr>
          <w:p w14:paraId="71C64C22" w14:textId="77777777" w:rsidR="001F27D2" w:rsidRPr="00642347" w:rsidRDefault="001F27D2" w:rsidP="00642347">
            <w:pPr>
              <w:spacing w:before="0" w:after="0"/>
              <w:jc w:val="center"/>
              <w:rPr>
                <w:rFonts w:cs="Calibri"/>
                <w:color w:val="000000"/>
                <w:sz w:val="22"/>
                <w:szCs w:val="22"/>
              </w:rPr>
            </w:pPr>
            <w:r w:rsidRPr="00642347">
              <w:rPr>
                <w:rFonts w:cs="Calibri"/>
                <w:sz w:val="22"/>
                <w:szCs w:val="22"/>
              </w:rPr>
              <w:t>£31,371</w:t>
            </w:r>
          </w:p>
        </w:tc>
        <w:tc>
          <w:tcPr>
            <w:tcW w:w="544" w:type="pct"/>
            <w:shd w:val="clear" w:color="auto" w:fill="auto"/>
            <w:noWrap/>
            <w:vAlign w:val="bottom"/>
            <w:hideMark/>
          </w:tcPr>
          <w:p w14:paraId="5F63B47A" w14:textId="77777777" w:rsidR="001F27D2" w:rsidRPr="00642347" w:rsidRDefault="001F27D2" w:rsidP="00642347">
            <w:pPr>
              <w:spacing w:before="0" w:after="0"/>
              <w:jc w:val="center"/>
              <w:rPr>
                <w:rFonts w:cs="Calibri"/>
                <w:color w:val="000000"/>
                <w:sz w:val="22"/>
                <w:szCs w:val="22"/>
              </w:rPr>
            </w:pPr>
            <w:r w:rsidRPr="00642347">
              <w:rPr>
                <w:rFonts w:cs="Calibri"/>
                <w:sz w:val="22"/>
                <w:szCs w:val="22"/>
              </w:rPr>
              <w:t>£41,143</w:t>
            </w:r>
          </w:p>
        </w:tc>
        <w:tc>
          <w:tcPr>
            <w:tcW w:w="593" w:type="pct"/>
            <w:shd w:val="clear" w:color="auto" w:fill="auto"/>
            <w:noWrap/>
            <w:vAlign w:val="bottom"/>
            <w:hideMark/>
          </w:tcPr>
          <w:p w14:paraId="0F0F9D8A" w14:textId="77777777" w:rsidR="001F27D2" w:rsidRPr="00642347" w:rsidRDefault="001F27D2" w:rsidP="00642347">
            <w:pPr>
              <w:spacing w:before="0" w:after="0"/>
              <w:jc w:val="center"/>
              <w:rPr>
                <w:rFonts w:cs="Calibri"/>
                <w:color w:val="000000"/>
                <w:sz w:val="22"/>
                <w:szCs w:val="22"/>
              </w:rPr>
            </w:pPr>
            <w:r w:rsidRPr="00642347">
              <w:rPr>
                <w:rFonts w:cs="Calibri"/>
                <w:sz w:val="22"/>
                <w:szCs w:val="22"/>
              </w:rPr>
              <w:t>£35,036</w:t>
            </w:r>
          </w:p>
        </w:tc>
        <w:tc>
          <w:tcPr>
            <w:tcW w:w="593" w:type="pct"/>
            <w:shd w:val="clear" w:color="auto" w:fill="auto"/>
            <w:noWrap/>
            <w:vAlign w:val="bottom"/>
            <w:hideMark/>
          </w:tcPr>
          <w:p w14:paraId="651B7C37" w14:textId="77777777" w:rsidR="001F27D2" w:rsidRPr="00642347" w:rsidRDefault="001F27D2" w:rsidP="00642347">
            <w:pPr>
              <w:spacing w:before="0" w:after="0"/>
              <w:jc w:val="center"/>
              <w:rPr>
                <w:rFonts w:cs="Calibri"/>
                <w:color w:val="000000"/>
                <w:sz w:val="22"/>
                <w:szCs w:val="22"/>
              </w:rPr>
            </w:pPr>
            <w:r w:rsidRPr="00642347">
              <w:rPr>
                <w:rFonts w:cs="Calibri"/>
                <w:sz w:val="22"/>
                <w:szCs w:val="22"/>
              </w:rPr>
              <w:t>£34,971</w:t>
            </w:r>
          </w:p>
        </w:tc>
        <w:tc>
          <w:tcPr>
            <w:tcW w:w="494" w:type="pct"/>
            <w:shd w:val="clear" w:color="auto" w:fill="auto"/>
            <w:noWrap/>
            <w:vAlign w:val="bottom"/>
            <w:hideMark/>
          </w:tcPr>
          <w:p w14:paraId="6A7935F3" w14:textId="77777777" w:rsidR="001F27D2" w:rsidRPr="00642347" w:rsidRDefault="001F27D2" w:rsidP="00642347">
            <w:pPr>
              <w:spacing w:before="0" w:after="0"/>
              <w:jc w:val="center"/>
              <w:rPr>
                <w:rFonts w:cs="Calibri"/>
                <w:color w:val="000000"/>
                <w:sz w:val="22"/>
                <w:szCs w:val="22"/>
              </w:rPr>
            </w:pPr>
            <w:r w:rsidRPr="00642347">
              <w:rPr>
                <w:rFonts w:cs="Calibri"/>
                <w:sz w:val="22"/>
                <w:szCs w:val="22"/>
              </w:rPr>
              <w:t>£32,265</w:t>
            </w:r>
          </w:p>
        </w:tc>
        <w:tc>
          <w:tcPr>
            <w:tcW w:w="593" w:type="pct"/>
            <w:shd w:val="clear" w:color="auto" w:fill="auto"/>
            <w:noWrap/>
            <w:vAlign w:val="bottom"/>
            <w:hideMark/>
          </w:tcPr>
          <w:p w14:paraId="4717A1AA" w14:textId="77777777" w:rsidR="001F27D2" w:rsidRPr="00642347" w:rsidRDefault="001F27D2" w:rsidP="00642347">
            <w:pPr>
              <w:spacing w:before="0" w:after="0"/>
              <w:jc w:val="center"/>
              <w:rPr>
                <w:rFonts w:cs="Calibri"/>
                <w:color w:val="000000"/>
                <w:sz w:val="22"/>
                <w:szCs w:val="22"/>
              </w:rPr>
            </w:pPr>
            <w:r w:rsidRPr="00642347">
              <w:rPr>
                <w:rFonts w:cs="Calibri"/>
                <w:sz w:val="22"/>
                <w:szCs w:val="22"/>
              </w:rPr>
              <w:t>£39,857</w:t>
            </w:r>
          </w:p>
        </w:tc>
        <w:tc>
          <w:tcPr>
            <w:tcW w:w="513" w:type="pct"/>
            <w:shd w:val="clear" w:color="auto" w:fill="auto"/>
            <w:noWrap/>
            <w:vAlign w:val="bottom"/>
            <w:hideMark/>
          </w:tcPr>
          <w:p w14:paraId="70A1D04B" w14:textId="77777777" w:rsidR="001F27D2" w:rsidRPr="00642347" w:rsidRDefault="001F27D2" w:rsidP="00642347">
            <w:pPr>
              <w:spacing w:before="0" w:after="0"/>
              <w:jc w:val="center"/>
              <w:rPr>
                <w:rFonts w:cs="Calibri"/>
                <w:color w:val="000000"/>
                <w:sz w:val="22"/>
                <w:szCs w:val="22"/>
              </w:rPr>
            </w:pPr>
            <w:r w:rsidRPr="00642347">
              <w:rPr>
                <w:rFonts w:cs="Calibri"/>
                <w:sz w:val="22"/>
                <w:szCs w:val="22"/>
              </w:rPr>
              <w:t>£34,714</w:t>
            </w:r>
          </w:p>
        </w:tc>
      </w:tr>
      <w:tr w:rsidR="001F27D2" w:rsidRPr="00642347" w14:paraId="342B179C" w14:textId="77777777" w:rsidTr="001F27D2">
        <w:trPr>
          <w:trHeight w:val="320"/>
        </w:trPr>
        <w:tc>
          <w:tcPr>
            <w:tcW w:w="1077" w:type="pct"/>
            <w:shd w:val="clear" w:color="auto" w:fill="auto"/>
            <w:noWrap/>
            <w:vAlign w:val="bottom"/>
            <w:hideMark/>
          </w:tcPr>
          <w:p w14:paraId="21EFA298" w14:textId="77777777" w:rsidR="001F27D2" w:rsidRPr="00642347" w:rsidRDefault="001F27D2" w:rsidP="00642347">
            <w:pPr>
              <w:spacing w:before="0" w:after="0"/>
              <w:rPr>
                <w:rFonts w:cs="Calibri"/>
                <w:color w:val="000000"/>
                <w:sz w:val="22"/>
                <w:szCs w:val="22"/>
              </w:rPr>
            </w:pPr>
            <w:r w:rsidRPr="00642347">
              <w:rPr>
                <w:rFonts w:cs="Calibri"/>
                <w:color w:val="000000"/>
                <w:sz w:val="22"/>
                <w:szCs w:val="22"/>
              </w:rPr>
              <w:t>Market Sale - Median</w:t>
            </w:r>
          </w:p>
        </w:tc>
        <w:tc>
          <w:tcPr>
            <w:tcW w:w="593" w:type="pct"/>
            <w:shd w:val="clear" w:color="auto" w:fill="auto"/>
            <w:noWrap/>
            <w:vAlign w:val="bottom"/>
            <w:hideMark/>
          </w:tcPr>
          <w:p w14:paraId="013D5586" w14:textId="77777777" w:rsidR="001F27D2" w:rsidRPr="00642347" w:rsidRDefault="001F27D2" w:rsidP="00642347">
            <w:pPr>
              <w:spacing w:before="0" w:after="0"/>
              <w:jc w:val="center"/>
              <w:rPr>
                <w:rFonts w:cs="Calibri"/>
                <w:color w:val="000000"/>
                <w:sz w:val="22"/>
                <w:szCs w:val="22"/>
              </w:rPr>
            </w:pPr>
            <w:r w:rsidRPr="00642347">
              <w:rPr>
                <w:rFonts w:cs="Calibri"/>
                <w:sz w:val="22"/>
                <w:szCs w:val="22"/>
              </w:rPr>
              <w:t>£42,429</w:t>
            </w:r>
          </w:p>
        </w:tc>
        <w:tc>
          <w:tcPr>
            <w:tcW w:w="544" w:type="pct"/>
            <w:shd w:val="clear" w:color="auto" w:fill="auto"/>
            <w:noWrap/>
            <w:vAlign w:val="bottom"/>
            <w:hideMark/>
          </w:tcPr>
          <w:p w14:paraId="2906A0EA" w14:textId="77777777" w:rsidR="001F27D2" w:rsidRPr="00642347" w:rsidRDefault="001F27D2" w:rsidP="00642347">
            <w:pPr>
              <w:spacing w:before="0" w:after="0"/>
              <w:jc w:val="center"/>
              <w:rPr>
                <w:rFonts w:cs="Calibri"/>
                <w:color w:val="000000"/>
                <w:sz w:val="22"/>
                <w:szCs w:val="22"/>
              </w:rPr>
            </w:pPr>
            <w:r w:rsidRPr="00642347">
              <w:rPr>
                <w:rFonts w:cs="Calibri"/>
                <w:sz w:val="22"/>
                <w:szCs w:val="22"/>
              </w:rPr>
              <w:t>£55,286</w:t>
            </w:r>
          </w:p>
        </w:tc>
        <w:tc>
          <w:tcPr>
            <w:tcW w:w="593" w:type="pct"/>
            <w:shd w:val="clear" w:color="auto" w:fill="auto"/>
            <w:noWrap/>
            <w:vAlign w:val="bottom"/>
            <w:hideMark/>
          </w:tcPr>
          <w:p w14:paraId="7E58036D" w14:textId="77777777" w:rsidR="001F27D2" w:rsidRPr="00642347" w:rsidRDefault="001F27D2" w:rsidP="00642347">
            <w:pPr>
              <w:spacing w:before="0" w:after="0"/>
              <w:jc w:val="center"/>
              <w:rPr>
                <w:rFonts w:cs="Calibri"/>
                <w:color w:val="000000"/>
                <w:sz w:val="22"/>
                <w:szCs w:val="22"/>
              </w:rPr>
            </w:pPr>
            <w:r w:rsidRPr="00642347">
              <w:rPr>
                <w:rFonts w:cs="Calibri"/>
                <w:sz w:val="22"/>
                <w:szCs w:val="22"/>
              </w:rPr>
              <w:t>£46,286</w:t>
            </w:r>
          </w:p>
        </w:tc>
        <w:tc>
          <w:tcPr>
            <w:tcW w:w="593" w:type="pct"/>
            <w:shd w:val="clear" w:color="auto" w:fill="auto"/>
            <w:noWrap/>
            <w:vAlign w:val="bottom"/>
            <w:hideMark/>
          </w:tcPr>
          <w:p w14:paraId="118870D0" w14:textId="77777777" w:rsidR="001F27D2" w:rsidRPr="00642347" w:rsidRDefault="001F27D2" w:rsidP="00642347">
            <w:pPr>
              <w:spacing w:before="0" w:after="0"/>
              <w:jc w:val="center"/>
              <w:rPr>
                <w:rFonts w:cs="Calibri"/>
                <w:color w:val="000000"/>
                <w:sz w:val="22"/>
                <w:szCs w:val="22"/>
              </w:rPr>
            </w:pPr>
            <w:r w:rsidRPr="00642347">
              <w:rPr>
                <w:rFonts w:cs="Calibri"/>
                <w:sz w:val="22"/>
                <w:szCs w:val="22"/>
              </w:rPr>
              <w:t>£45,000</w:t>
            </w:r>
          </w:p>
        </w:tc>
        <w:tc>
          <w:tcPr>
            <w:tcW w:w="494" w:type="pct"/>
            <w:shd w:val="clear" w:color="auto" w:fill="auto"/>
            <w:noWrap/>
            <w:vAlign w:val="bottom"/>
            <w:hideMark/>
          </w:tcPr>
          <w:p w14:paraId="3A5C8F57" w14:textId="77777777" w:rsidR="001F27D2" w:rsidRPr="00642347" w:rsidRDefault="001F27D2" w:rsidP="00642347">
            <w:pPr>
              <w:spacing w:before="0" w:after="0"/>
              <w:jc w:val="center"/>
              <w:rPr>
                <w:rFonts w:cs="Calibri"/>
                <w:color w:val="000000"/>
                <w:sz w:val="22"/>
                <w:szCs w:val="22"/>
              </w:rPr>
            </w:pPr>
            <w:r w:rsidRPr="00642347">
              <w:rPr>
                <w:rFonts w:cs="Calibri"/>
                <w:sz w:val="22"/>
                <w:szCs w:val="22"/>
              </w:rPr>
              <w:t>£45,900</w:t>
            </w:r>
          </w:p>
        </w:tc>
        <w:tc>
          <w:tcPr>
            <w:tcW w:w="593" w:type="pct"/>
            <w:shd w:val="clear" w:color="auto" w:fill="auto"/>
            <w:noWrap/>
            <w:vAlign w:val="bottom"/>
            <w:hideMark/>
          </w:tcPr>
          <w:p w14:paraId="0BF3C3CA" w14:textId="77777777" w:rsidR="001F27D2" w:rsidRPr="00642347" w:rsidRDefault="001F27D2" w:rsidP="00642347">
            <w:pPr>
              <w:spacing w:before="0" w:after="0"/>
              <w:jc w:val="center"/>
              <w:rPr>
                <w:rFonts w:cs="Calibri"/>
                <w:color w:val="000000"/>
                <w:sz w:val="22"/>
                <w:szCs w:val="22"/>
              </w:rPr>
            </w:pPr>
            <w:r w:rsidRPr="00642347">
              <w:rPr>
                <w:rFonts w:cs="Calibri"/>
                <w:sz w:val="22"/>
                <w:szCs w:val="22"/>
              </w:rPr>
              <w:t>£62,743</w:t>
            </w:r>
          </w:p>
        </w:tc>
        <w:tc>
          <w:tcPr>
            <w:tcW w:w="513" w:type="pct"/>
            <w:shd w:val="clear" w:color="auto" w:fill="auto"/>
            <w:noWrap/>
            <w:vAlign w:val="bottom"/>
            <w:hideMark/>
          </w:tcPr>
          <w:p w14:paraId="21AAE54A" w14:textId="77777777" w:rsidR="001F27D2" w:rsidRPr="00642347" w:rsidRDefault="001F27D2" w:rsidP="00642347">
            <w:pPr>
              <w:spacing w:before="0" w:after="0"/>
              <w:jc w:val="center"/>
              <w:rPr>
                <w:rFonts w:cs="Calibri"/>
                <w:color w:val="000000"/>
                <w:sz w:val="22"/>
                <w:szCs w:val="22"/>
              </w:rPr>
            </w:pPr>
            <w:r w:rsidRPr="00642347">
              <w:rPr>
                <w:rFonts w:cs="Calibri"/>
                <w:sz w:val="22"/>
                <w:szCs w:val="22"/>
              </w:rPr>
              <w:t>£47,379</w:t>
            </w:r>
          </w:p>
        </w:tc>
      </w:tr>
      <w:tr w:rsidR="001F27D2" w:rsidRPr="00642347" w14:paraId="4273A057" w14:textId="77777777" w:rsidTr="001F27D2">
        <w:trPr>
          <w:trHeight w:val="320"/>
        </w:trPr>
        <w:tc>
          <w:tcPr>
            <w:tcW w:w="1077" w:type="pct"/>
            <w:shd w:val="clear" w:color="auto" w:fill="auto"/>
            <w:noWrap/>
            <w:vAlign w:val="bottom"/>
            <w:hideMark/>
          </w:tcPr>
          <w:p w14:paraId="74357956" w14:textId="77777777" w:rsidR="001F27D2" w:rsidRPr="00642347" w:rsidRDefault="001F27D2" w:rsidP="00642347">
            <w:pPr>
              <w:spacing w:before="0" w:after="0"/>
              <w:rPr>
                <w:rFonts w:cs="Calibri"/>
                <w:color w:val="000000"/>
                <w:sz w:val="22"/>
                <w:szCs w:val="22"/>
              </w:rPr>
            </w:pPr>
            <w:r w:rsidRPr="00642347">
              <w:rPr>
                <w:rFonts w:cs="Calibri"/>
                <w:color w:val="000000"/>
                <w:sz w:val="22"/>
                <w:szCs w:val="22"/>
              </w:rPr>
              <w:t>Market Sale - Average</w:t>
            </w:r>
          </w:p>
        </w:tc>
        <w:tc>
          <w:tcPr>
            <w:tcW w:w="593" w:type="pct"/>
            <w:shd w:val="clear" w:color="auto" w:fill="auto"/>
            <w:noWrap/>
            <w:vAlign w:val="bottom"/>
            <w:hideMark/>
          </w:tcPr>
          <w:p w14:paraId="427CC4E3" w14:textId="77777777" w:rsidR="001F27D2" w:rsidRPr="00642347" w:rsidRDefault="001F27D2" w:rsidP="00642347">
            <w:pPr>
              <w:spacing w:before="0" w:after="0"/>
              <w:jc w:val="center"/>
              <w:rPr>
                <w:rFonts w:cs="Calibri"/>
                <w:color w:val="000000"/>
                <w:sz w:val="22"/>
                <w:szCs w:val="22"/>
              </w:rPr>
            </w:pPr>
            <w:r w:rsidRPr="00642347">
              <w:rPr>
                <w:rFonts w:cs="Calibri"/>
                <w:sz w:val="22"/>
                <w:szCs w:val="22"/>
              </w:rPr>
              <w:t>£50,199</w:t>
            </w:r>
          </w:p>
        </w:tc>
        <w:tc>
          <w:tcPr>
            <w:tcW w:w="544" w:type="pct"/>
            <w:shd w:val="clear" w:color="auto" w:fill="auto"/>
            <w:noWrap/>
            <w:vAlign w:val="bottom"/>
            <w:hideMark/>
          </w:tcPr>
          <w:p w14:paraId="479A20FD" w14:textId="77777777" w:rsidR="001F27D2" w:rsidRPr="00642347" w:rsidRDefault="001F27D2" w:rsidP="00642347">
            <w:pPr>
              <w:spacing w:before="0" w:after="0"/>
              <w:jc w:val="center"/>
              <w:rPr>
                <w:rFonts w:cs="Calibri"/>
                <w:color w:val="000000"/>
                <w:sz w:val="22"/>
                <w:szCs w:val="22"/>
              </w:rPr>
            </w:pPr>
            <w:r w:rsidRPr="00642347">
              <w:rPr>
                <w:rFonts w:cs="Calibri"/>
                <w:sz w:val="22"/>
                <w:szCs w:val="22"/>
              </w:rPr>
              <w:t>£59,329</w:t>
            </w:r>
          </w:p>
        </w:tc>
        <w:tc>
          <w:tcPr>
            <w:tcW w:w="593" w:type="pct"/>
            <w:shd w:val="clear" w:color="auto" w:fill="auto"/>
            <w:noWrap/>
            <w:vAlign w:val="bottom"/>
            <w:hideMark/>
          </w:tcPr>
          <w:p w14:paraId="7EF072A8" w14:textId="77777777" w:rsidR="001F27D2" w:rsidRPr="00642347" w:rsidRDefault="001F27D2" w:rsidP="00642347">
            <w:pPr>
              <w:spacing w:before="0" w:after="0"/>
              <w:jc w:val="center"/>
              <w:rPr>
                <w:rFonts w:cs="Calibri"/>
                <w:color w:val="000000"/>
                <w:sz w:val="22"/>
                <w:szCs w:val="22"/>
              </w:rPr>
            </w:pPr>
            <w:r w:rsidRPr="00642347">
              <w:rPr>
                <w:rFonts w:cs="Calibri"/>
                <w:sz w:val="22"/>
                <w:szCs w:val="22"/>
              </w:rPr>
              <w:t>£51,429</w:t>
            </w:r>
          </w:p>
        </w:tc>
        <w:tc>
          <w:tcPr>
            <w:tcW w:w="593" w:type="pct"/>
            <w:shd w:val="clear" w:color="auto" w:fill="auto"/>
            <w:noWrap/>
            <w:vAlign w:val="bottom"/>
            <w:hideMark/>
          </w:tcPr>
          <w:p w14:paraId="696B94AF" w14:textId="77777777" w:rsidR="001F27D2" w:rsidRPr="00642347" w:rsidRDefault="001F27D2" w:rsidP="00642347">
            <w:pPr>
              <w:spacing w:before="0" w:after="0"/>
              <w:jc w:val="center"/>
              <w:rPr>
                <w:rFonts w:cs="Calibri"/>
                <w:color w:val="000000"/>
                <w:sz w:val="22"/>
                <w:szCs w:val="22"/>
              </w:rPr>
            </w:pPr>
            <w:r w:rsidRPr="00642347">
              <w:rPr>
                <w:rFonts w:cs="Calibri"/>
                <w:sz w:val="22"/>
                <w:szCs w:val="22"/>
              </w:rPr>
              <w:t>£53,633</w:t>
            </w:r>
          </w:p>
        </w:tc>
        <w:tc>
          <w:tcPr>
            <w:tcW w:w="494" w:type="pct"/>
            <w:shd w:val="clear" w:color="auto" w:fill="auto"/>
            <w:noWrap/>
            <w:vAlign w:val="bottom"/>
            <w:hideMark/>
          </w:tcPr>
          <w:p w14:paraId="5F33EEF0" w14:textId="77777777" w:rsidR="001F27D2" w:rsidRPr="00642347" w:rsidRDefault="001F27D2" w:rsidP="00642347">
            <w:pPr>
              <w:spacing w:before="0" w:after="0"/>
              <w:jc w:val="center"/>
              <w:rPr>
                <w:rFonts w:cs="Calibri"/>
                <w:color w:val="000000"/>
                <w:sz w:val="22"/>
                <w:szCs w:val="22"/>
              </w:rPr>
            </w:pPr>
            <w:r w:rsidRPr="00642347">
              <w:rPr>
                <w:rFonts w:cs="Calibri"/>
                <w:sz w:val="22"/>
                <w:szCs w:val="22"/>
              </w:rPr>
              <w:t>£51,505</w:t>
            </w:r>
          </w:p>
        </w:tc>
        <w:tc>
          <w:tcPr>
            <w:tcW w:w="593" w:type="pct"/>
            <w:shd w:val="clear" w:color="auto" w:fill="auto"/>
            <w:noWrap/>
            <w:vAlign w:val="bottom"/>
            <w:hideMark/>
          </w:tcPr>
          <w:p w14:paraId="66626692" w14:textId="77777777" w:rsidR="001F27D2" w:rsidRPr="00642347" w:rsidRDefault="001F27D2" w:rsidP="00642347">
            <w:pPr>
              <w:spacing w:before="0" w:after="0"/>
              <w:jc w:val="center"/>
              <w:rPr>
                <w:rFonts w:cs="Calibri"/>
                <w:color w:val="000000"/>
                <w:sz w:val="22"/>
                <w:szCs w:val="22"/>
              </w:rPr>
            </w:pPr>
            <w:r w:rsidRPr="00642347">
              <w:rPr>
                <w:rFonts w:cs="Calibri"/>
                <w:sz w:val="22"/>
                <w:szCs w:val="22"/>
              </w:rPr>
              <w:t>£73,313</w:t>
            </w:r>
          </w:p>
        </w:tc>
        <w:tc>
          <w:tcPr>
            <w:tcW w:w="513" w:type="pct"/>
            <w:shd w:val="clear" w:color="auto" w:fill="auto"/>
            <w:noWrap/>
            <w:vAlign w:val="bottom"/>
            <w:hideMark/>
          </w:tcPr>
          <w:p w14:paraId="6805D2C4" w14:textId="77777777" w:rsidR="001F27D2" w:rsidRPr="00642347" w:rsidRDefault="001F27D2" w:rsidP="00642347">
            <w:pPr>
              <w:spacing w:before="0" w:after="0"/>
              <w:jc w:val="center"/>
              <w:rPr>
                <w:rFonts w:cs="Calibri"/>
                <w:color w:val="000000"/>
                <w:sz w:val="22"/>
                <w:szCs w:val="22"/>
              </w:rPr>
            </w:pPr>
            <w:r w:rsidRPr="00642347">
              <w:rPr>
                <w:rFonts w:cs="Calibri"/>
                <w:sz w:val="22"/>
                <w:szCs w:val="22"/>
              </w:rPr>
              <w:t>£55,424</w:t>
            </w:r>
          </w:p>
        </w:tc>
      </w:tr>
      <w:tr w:rsidR="001F27D2" w:rsidRPr="00642347" w14:paraId="6503D5AB" w14:textId="77777777" w:rsidTr="001F27D2">
        <w:trPr>
          <w:trHeight w:val="320"/>
        </w:trPr>
        <w:tc>
          <w:tcPr>
            <w:tcW w:w="1077" w:type="pct"/>
            <w:shd w:val="clear" w:color="auto" w:fill="auto"/>
            <w:noWrap/>
            <w:vAlign w:val="bottom"/>
            <w:hideMark/>
          </w:tcPr>
          <w:p w14:paraId="68DAFC19" w14:textId="77777777" w:rsidR="001F27D2" w:rsidRPr="00642347" w:rsidRDefault="001F27D2" w:rsidP="00642347">
            <w:pPr>
              <w:spacing w:before="0" w:after="0"/>
              <w:rPr>
                <w:rFonts w:cs="Calibri"/>
                <w:color w:val="000000"/>
                <w:sz w:val="22"/>
                <w:szCs w:val="22"/>
              </w:rPr>
            </w:pPr>
            <w:r w:rsidRPr="00642347">
              <w:rPr>
                <w:rFonts w:cs="Calibri"/>
                <w:color w:val="000000"/>
                <w:sz w:val="22"/>
                <w:szCs w:val="22"/>
              </w:rPr>
              <w:t>Starter Home</w:t>
            </w:r>
          </w:p>
        </w:tc>
        <w:tc>
          <w:tcPr>
            <w:tcW w:w="593" w:type="pct"/>
            <w:shd w:val="clear" w:color="auto" w:fill="auto"/>
            <w:noWrap/>
            <w:vAlign w:val="bottom"/>
            <w:hideMark/>
          </w:tcPr>
          <w:p w14:paraId="34064AC3" w14:textId="77777777" w:rsidR="001F27D2" w:rsidRPr="00642347" w:rsidRDefault="001F27D2" w:rsidP="00642347">
            <w:pPr>
              <w:spacing w:before="0" w:after="0"/>
              <w:jc w:val="center"/>
              <w:rPr>
                <w:rFonts w:cs="Calibri"/>
                <w:color w:val="000000"/>
                <w:sz w:val="22"/>
                <w:szCs w:val="22"/>
              </w:rPr>
            </w:pPr>
            <w:r w:rsidRPr="00642347">
              <w:rPr>
                <w:rFonts w:cs="Calibri"/>
                <w:color w:val="000000"/>
                <w:sz w:val="22"/>
                <w:szCs w:val="22"/>
              </w:rPr>
              <w:t>£44,621</w:t>
            </w:r>
          </w:p>
        </w:tc>
        <w:tc>
          <w:tcPr>
            <w:tcW w:w="544" w:type="pct"/>
            <w:shd w:val="clear" w:color="auto" w:fill="auto"/>
            <w:noWrap/>
            <w:vAlign w:val="bottom"/>
            <w:hideMark/>
          </w:tcPr>
          <w:p w14:paraId="706EE218" w14:textId="77777777" w:rsidR="001F27D2" w:rsidRPr="00642347" w:rsidRDefault="001F27D2" w:rsidP="00642347">
            <w:pPr>
              <w:spacing w:before="0" w:after="0"/>
              <w:jc w:val="center"/>
              <w:rPr>
                <w:rFonts w:cs="Calibri"/>
                <w:color w:val="000000"/>
                <w:sz w:val="22"/>
                <w:szCs w:val="22"/>
              </w:rPr>
            </w:pPr>
            <w:r w:rsidRPr="00642347">
              <w:rPr>
                <w:rFonts w:cs="Calibri"/>
                <w:color w:val="000000"/>
                <w:sz w:val="22"/>
                <w:szCs w:val="22"/>
              </w:rPr>
              <w:t>£52,737</w:t>
            </w:r>
          </w:p>
        </w:tc>
        <w:tc>
          <w:tcPr>
            <w:tcW w:w="593" w:type="pct"/>
            <w:shd w:val="clear" w:color="auto" w:fill="auto"/>
            <w:noWrap/>
            <w:vAlign w:val="bottom"/>
            <w:hideMark/>
          </w:tcPr>
          <w:p w14:paraId="68E4A8F4" w14:textId="77777777" w:rsidR="001F27D2" w:rsidRPr="00642347" w:rsidRDefault="001F27D2" w:rsidP="00642347">
            <w:pPr>
              <w:spacing w:before="0" w:after="0"/>
              <w:jc w:val="center"/>
              <w:rPr>
                <w:rFonts w:cs="Calibri"/>
                <w:color w:val="000000"/>
                <w:sz w:val="22"/>
                <w:szCs w:val="22"/>
              </w:rPr>
            </w:pPr>
            <w:r w:rsidRPr="00642347">
              <w:rPr>
                <w:rFonts w:cs="Calibri"/>
                <w:color w:val="000000"/>
                <w:sz w:val="22"/>
                <w:szCs w:val="22"/>
              </w:rPr>
              <w:t>£45,715</w:t>
            </w:r>
          </w:p>
        </w:tc>
        <w:tc>
          <w:tcPr>
            <w:tcW w:w="593" w:type="pct"/>
            <w:shd w:val="clear" w:color="auto" w:fill="auto"/>
            <w:noWrap/>
            <w:vAlign w:val="bottom"/>
            <w:hideMark/>
          </w:tcPr>
          <w:p w14:paraId="27328AC2" w14:textId="77777777" w:rsidR="001F27D2" w:rsidRPr="00642347" w:rsidRDefault="001F27D2" w:rsidP="00642347">
            <w:pPr>
              <w:spacing w:before="0" w:after="0"/>
              <w:jc w:val="center"/>
              <w:rPr>
                <w:rFonts w:cs="Calibri"/>
                <w:color w:val="000000"/>
                <w:sz w:val="22"/>
                <w:szCs w:val="22"/>
              </w:rPr>
            </w:pPr>
            <w:r w:rsidRPr="00642347">
              <w:rPr>
                <w:rFonts w:cs="Calibri"/>
                <w:color w:val="000000"/>
                <w:sz w:val="22"/>
                <w:szCs w:val="22"/>
              </w:rPr>
              <w:t>£47,674</w:t>
            </w:r>
          </w:p>
        </w:tc>
        <w:tc>
          <w:tcPr>
            <w:tcW w:w="494" w:type="pct"/>
            <w:shd w:val="clear" w:color="auto" w:fill="auto"/>
            <w:noWrap/>
            <w:vAlign w:val="bottom"/>
            <w:hideMark/>
          </w:tcPr>
          <w:p w14:paraId="59020074" w14:textId="77777777" w:rsidR="001F27D2" w:rsidRPr="00642347" w:rsidRDefault="001F27D2" w:rsidP="00642347">
            <w:pPr>
              <w:spacing w:before="0" w:after="0"/>
              <w:jc w:val="center"/>
              <w:rPr>
                <w:rFonts w:cs="Calibri"/>
                <w:color w:val="000000"/>
                <w:sz w:val="22"/>
                <w:szCs w:val="22"/>
              </w:rPr>
            </w:pPr>
            <w:r w:rsidRPr="00642347">
              <w:rPr>
                <w:rFonts w:cs="Calibri"/>
                <w:color w:val="000000"/>
                <w:sz w:val="22"/>
                <w:szCs w:val="22"/>
              </w:rPr>
              <w:t>£45,782</w:t>
            </w:r>
          </w:p>
        </w:tc>
        <w:tc>
          <w:tcPr>
            <w:tcW w:w="593" w:type="pct"/>
            <w:shd w:val="clear" w:color="auto" w:fill="auto"/>
            <w:noWrap/>
            <w:vAlign w:val="bottom"/>
            <w:hideMark/>
          </w:tcPr>
          <w:p w14:paraId="3CD84306" w14:textId="77777777" w:rsidR="001F27D2" w:rsidRPr="00642347" w:rsidRDefault="001F27D2" w:rsidP="00642347">
            <w:pPr>
              <w:spacing w:before="0" w:after="0"/>
              <w:jc w:val="center"/>
              <w:rPr>
                <w:rFonts w:cs="Calibri"/>
                <w:color w:val="000000"/>
                <w:sz w:val="22"/>
                <w:szCs w:val="22"/>
              </w:rPr>
            </w:pPr>
            <w:r w:rsidRPr="00642347">
              <w:rPr>
                <w:rFonts w:cs="Calibri"/>
                <w:color w:val="000000"/>
                <w:sz w:val="22"/>
                <w:szCs w:val="22"/>
              </w:rPr>
              <w:t>£65,167</w:t>
            </w:r>
          </w:p>
        </w:tc>
        <w:tc>
          <w:tcPr>
            <w:tcW w:w="513" w:type="pct"/>
            <w:shd w:val="clear" w:color="auto" w:fill="auto"/>
            <w:noWrap/>
            <w:vAlign w:val="bottom"/>
            <w:hideMark/>
          </w:tcPr>
          <w:p w14:paraId="4F9011B3" w14:textId="77777777" w:rsidR="001F27D2" w:rsidRPr="00642347" w:rsidRDefault="001F27D2" w:rsidP="00642347">
            <w:pPr>
              <w:spacing w:before="0" w:after="0"/>
              <w:jc w:val="center"/>
              <w:rPr>
                <w:rFonts w:cs="Calibri"/>
                <w:color w:val="000000"/>
                <w:sz w:val="22"/>
                <w:szCs w:val="22"/>
              </w:rPr>
            </w:pPr>
            <w:r w:rsidRPr="00642347">
              <w:rPr>
                <w:rFonts w:cs="Calibri"/>
                <w:color w:val="000000"/>
                <w:sz w:val="22"/>
                <w:szCs w:val="22"/>
              </w:rPr>
              <w:t>£49,266</w:t>
            </w:r>
          </w:p>
        </w:tc>
      </w:tr>
      <w:tr w:rsidR="001F27D2" w:rsidRPr="00642347" w14:paraId="2350CB74" w14:textId="77777777" w:rsidTr="001F27D2">
        <w:trPr>
          <w:trHeight w:val="320"/>
        </w:trPr>
        <w:tc>
          <w:tcPr>
            <w:tcW w:w="1077" w:type="pct"/>
            <w:shd w:val="clear" w:color="auto" w:fill="auto"/>
            <w:noWrap/>
            <w:vAlign w:val="bottom"/>
            <w:hideMark/>
          </w:tcPr>
          <w:p w14:paraId="5F28F290" w14:textId="77777777" w:rsidR="001F27D2" w:rsidRPr="00642347" w:rsidRDefault="001F27D2" w:rsidP="00642347">
            <w:pPr>
              <w:spacing w:before="0" w:after="0"/>
              <w:rPr>
                <w:rFonts w:cs="Calibri"/>
                <w:color w:val="000000"/>
                <w:sz w:val="22"/>
                <w:szCs w:val="22"/>
              </w:rPr>
            </w:pPr>
            <w:r w:rsidRPr="00642347">
              <w:rPr>
                <w:rFonts w:cs="Calibri"/>
                <w:color w:val="000000"/>
                <w:sz w:val="22"/>
                <w:szCs w:val="22"/>
              </w:rPr>
              <w:t>Shared ownership (50%)</w:t>
            </w:r>
          </w:p>
        </w:tc>
        <w:tc>
          <w:tcPr>
            <w:tcW w:w="593" w:type="pct"/>
            <w:shd w:val="clear" w:color="auto" w:fill="auto"/>
            <w:noWrap/>
            <w:vAlign w:val="bottom"/>
            <w:hideMark/>
          </w:tcPr>
          <w:p w14:paraId="40EE584D" w14:textId="77777777" w:rsidR="001F27D2" w:rsidRPr="00642347" w:rsidRDefault="001F27D2" w:rsidP="00642347">
            <w:pPr>
              <w:spacing w:before="0" w:after="0"/>
              <w:jc w:val="center"/>
              <w:rPr>
                <w:rFonts w:cs="Calibri"/>
                <w:color w:val="000000"/>
                <w:sz w:val="22"/>
                <w:szCs w:val="22"/>
              </w:rPr>
            </w:pPr>
            <w:r w:rsidRPr="00642347">
              <w:rPr>
                <w:rFonts w:cs="Calibri"/>
                <w:color w:val="000000"/>
                <w:sz w:val="22"/>
                <w:szCs w:val="22"/>
              </w:rPr>
              <w:t>£39,846</w:t>
            </w:r>
          </w:p>
        </w:tc>
        <w:tc>
          <w:tcPr>
            <w:tcW w:w="544" w:type="pct"/>
            <w:shd w:val="clear" w:color="auto" w:fill="auto"/>
            <w:noWrap/>
            <w:vAlign w:val="bottom"/>
            <w:hideMark/>
          </w:tcPr>
          <w:p w14:paraId="12BE6196" w14:textId="77777777" w:rsidR="001F27D2" w:rsidRPr="00642347" w:rsidRDefault="001F27D2" w:rsidP="00642347">
            <w:pPr>
              <w:spacing w:before="0" w:after="0"/>
              <w:jc w:val="center"/>
              <w:rPr>
                <w:rFonts w:cs="Calibri"/>
                <w:color w:val="000000"/>
                <w:sz w:val="22"/>
                <w:szCs w:val="22"/>
              </w:rPr>
            </w:pPr>
            <w:r w:rsidRPr="00642347">
              <w:rPr>
                <w:rFonts w:cs="Calibri"/>
                <w:color w:val="000000"/>
                <w:sz w:val="22"/>
                <w:szCs w:val="22"/>
              </w:rPr>
              <w:t>£49,739</w:t>
            </w:r>
          </w:p>
        </w:tc>
        <w:tc>
          <w:tcPr>
            <w:tcW w:w="593" w:type="pct"/>
            <w:shd w:val="clear" w:color="auto" w:fill="auto"/>
            <w:noWrap/>
            <w:vAlign w:val="bottom"/>
            <w:hideMark/>
          </w:tcPr>
          <w:p w14:paraId="2CB26247" w14:textId="77777777" w:rsidR="001F27D2" w:rsidRPr="00642347" w:rsidRDefault="001F27D2" w:rsidP="00642347">
            <w:pPr>
              <w:spacing w:before="0" w:after="0"/>
              <w:jc w:val="center"/>
              <w:rPr>
                <w:rFonts w:cs="Calibri"/>
                <w:color w:val="000000"/>
                <w:sz w:val="22"/>
                <w:szCs w:val="22"/>
              </w:rPr>
            </w:pPr>
            <w:r w:rsidRPr="00642347">
              <w:rPr>
                <w:rFonts w:cs="Calibri"/>
                <w:color w:val="000000"/>
                <w:sz w:val="22"/>
                <w:szCs w:val="22"/>
              </w:rPr>
              <w:t>£42,814</w:t>
            </w:r>
          </w:p>
        </w:tc>
        <w:tc>
          <w:tcPr>
            <w:tcW w:w="593" w:type="pct"/>
            <w:shd w:val="clear" w:color="auto" w:fill="auto"/>
            <w:noWrap/>
            <w:vAlign w:val="bottom"/>
            <w:hideMark/>
          </w:tcPr>
          <w:p w14:paraId="52710CC4" w14:textId="77777777" w:rsidR="001F27D2" w:rsidRPr="00642347" w:rsidRDefault="001F27D2" w:rsidP="00642347">
            <w:pPr>
              <w:spacing w:before="0" w:after="0"/>
              <w:jc w:val="center"/>
              <w:rPr>
                <w:rFonts w:cs="Calibri"/>
                <w:color w:val="000000"/>
                <w:sz w:val="22"/>
                <w:szCs w:val="22"/>
              </w:rPr>
            </w:pPr>
            <w:r w:rsidRPr="00642347">
              <w:rPr>
                <w:rFonts w:cs="Calibri"/>
                <w:color w:val="000000"/>
                <w:sz w:val="22"/>
                <w:szCs w:val="22"/>
              </w:rPr>
              <w:t>£41,825</w:t>
            </w:r>
          </w:p>
        </w:tc>
        <w:tc>
          <w:tcPr>
            <w:tcW w:w="494" w:type="pct"/>
            <w:shd w:val="clear" w:color="auto" w:fill="auto"/>
            <w:noWrap/>
            <w:vAlign w:val="bottom"/>
            <w:hideMark/>
          </w:tcPr>
          <w:p w14:paraId="5603A646" w14:textId="77777777" w:rsidR="001F27D2" w:rsidRPr="00642347" w:rsidRDefault="001F27D2" w:rsidP="00642347">
            <w:pPr>
              <w:spacing w:before="0" w:after="0"/>
              <w:jc w:val="center"/>
              <w:rPr>
                <w:rFonts w:cs="Calibri"/>
                <w:color w:val="000000"/>
                <w:sz w:val="22"/>
                <w:szCs w:val="22"/>
              </w:rPr>
            </w:pPr>
            <w:r w:rsidRPr="00642347">
              <w:rPr>
                <w:rFonts w:cs="Calibri"/>
                <w:color w:val="000000"/>
                <w:sz w:val="22"/>
                <w:szCs w:val="22"/>
              </w:rPr>
              <w:t>£42,518</w:t>
            </w:r>
          </w:p>
        </w:tc>
        <w:tc>
          <w:tcPr>
            <w:tcW w:w="593" w:type="pct"/>
            <w:shd w:val="clear" w:color="auto" w:fill="auto"/>
            <w:noWrap/>
            <w:vAlign w:val="bottom"/>
            <w:hideMark/>
          </w:tcPr>
          <w:p w14:paraId="650EBAEC" w14:textId="77777777" w:rsidR="001F27D2" w:rsidRPr="00642347" w:rsidRDefault="001F27D2" w:rsidP="00642347">
            <w:pPr>
              <w:spacing w:before="0" w:after="0"/>
              <w:jc w:val="center"/>
              <w:rPr>
                <w:rFonts w:cs="Calibri"/>
                <w:color w:val="000000"/>
                <w:sz w:val="22"/>
                <w:szCs w:val="22"/>
              </w:rPr>
            </w:pPr>
            <w:r w:rsidRPr="00642347">
              <w:rPr>
                <w:rFonts w:cs="Calibri"/>
                <w:color w:val="000000"/>
                <w:sz w:val="22"/>
                <w:szCs w:val="22"/>
              </w:rPr>
              <w:t>£55,477</w:t>
            </w:r>
          </w:p>
        </w:tc>
        <w:tc>
          <w:tcPr>
            <w:tcW w:w="513" w:type="pct"/>
            <w:shd w:val="clear" w:color="auto" w:fill="auto"/>
            <w:noWrap/>
            <w:vAlign w:val="bottom"/>
            <w:hideMark/>
          </w:tcPr>
          <w:p w14:paraId="0125D45E" w14:textId="77777777" w:rsidR="001F27D2" w:rsidRPr="00642347" w:rsidRDefault="001F27D2" w:rsidP="00642347">
            <w:pPr>
              <w:spacing w:before="0" w:after="0"/>
              <w:jc w:val="center"/>
              <w:rPr>
                <w:rFonts w:cs="Calibri"/>
                <w:color w:val="000000"/>
                <w:sz w:val="22"/>
                <w:szCs w:val="22"/>
              </w:rPr>
            </w:pPr>
            <w:r w:rsidRPr="00642347">
              <w:rPr>
                <w:rFonts w:cs="Calibri"/>
                <w:color w:val="000000"/>
                <w:sz w:val="22"/>
                <w:szCs w:val="22"/>
              </w:rPr>
              <w:t>£43,655</w:t>
            </w:r>
          </w:p>
        </w:tc>
      </w:tr>
      <w:tr w:rsidR="001F27D2" w:rsidRPr="00642347" w14:paraId="041421CB" w14:textId="77777777" w:rsidTr="001F27D2">
        <w:trPr>
          <w:trHeight w:val="320"/>
        </w:trPr>
        <w:tc>
          <w:tcPr>
            <w:tcW w:w="1077" w:type="pct"/>
            <w:shd w:val="clear" w:color="auto" w:fill="auto"/>
            <w:noWrap/>
            <w:vAlign w:val="bottom"/>
            <w:hideMark/>
          </w:tcPr>
          <w:p w14:paraId="6D99E88C" w14:textId="77777777" w:rsidR="001F27D2" w:rsidRPr="00642347" w:rsidRDefault="001F27D2" w:rsidP="00642347">
            <w:pPr>
              <w:spacing w:before="0" w:after="0"/>
              <w:rPr>
                <w:rFonts w:cs="Calibri"/>
                <w:color w:val="000000"/>
                <w:sz w:val="22"/>
                <w:szCs w:val="22"/>
              </w:rPr>
            </w:pPr>
            <w:r w:rsidRPr="00642347">
              <w:rPr>
                <w:rFonts w:cs="Calibri"/>
                <w:color w:val="000000"/>
                <w:sz w:val="22"/>
                <w:szCs w:val="22"/>
              </w:rPr>
              <w:t>Shared ownership (25%)</w:t>
            </w:r>
          </w:p>
        </w:tc>
        <w:tc>
          <w:tcPr>
            <w:tcW w:w="593" w:type="pct"/>
            <w:shd w:val="clear" w:color="auto" w:fill="auto"/>
            <w:noWrap/>
            <w:vAlign w:val="bottom"/>
            <w:hideMark/>
          </w:tcPr>
          <w:p w14:paraId="447B2C2C" w14:textId="77777777" w:rsidR="001F27D2" w:rsidRPr="00642347" w:rsidRDefault="001F27D2" w:rsidP="00642347">
            <w:pPr>
              <w:spacing w:before="0" w:after="0"/>
              <w:jc w:val="center"/>
              <w:rPr>
                <w:rFonts w:cs="Calibri"/>
                <w:color w:val="000000"/>
                <w:sz w:val="22"/>
                <w:szCs w:val="22"/>
              </w:rPr>
            </w:pPr>
            <w:r w:rsidRPr="00642347">
              <w:rPr>
                <w:rFonts w:cs="Calibri"/>
                <w:color w:val="000000"/>
                <w:sz w:val="22"/>
                <w:szCs w:val="22"/>
              </w:rPr>
              <w:t>£32,598</w:t>
            </w:r>
          </w:p>
        </w:tc>
        <w:tc>
          <w:tcPr>
            <w:tcW w:w="544" w:type="pct"/>
            <w:shd w:val="clear" w:color="auto" w:fill="auto"/>
            <w:noWrap/>
            <w:vAlign w:val="bottom"/>
            <w:hideMark/>
          </w:tcPr>
          <w:p w14:paraId="445A6608" w14:textId="77777777" w:rsidR="001F27D2" w:rsidRPr="00642347" w:rsidRDefault="001F27D2" w:rsidP="00642347">
            <w:pPr>
              <w:spacing w:before="0" w:after="0"/>
              <w:jc w:val="center"/>
              <w:rPr>
                <w:rFonts w:cs="Calibri"/>
                <w:color w:val="000000"/>
                <w:sz w:val="22"/>
                <w:szCs w:val="22"/>
              </w:rPr>
            </w:pPr>
            <w:r w:rsidRPr="00642347">
              <w:rPr>
                <w:rFonts w:cs="Calibri"/>
                <w:color w:val="000000"/>
                <w:sz w:val="22"/>
                <w:szCs w:val="22"/>
              </w:rPr>
              <w:t>£40,295</w:t>
            </w:r>
          </w:p>
        </w:tc>
        <w:tc>
          <w:tcPr>
            <w:tcW w:w="593" w:type="pct"/>
            <w:shd w:val="clear" w:color="auto" w:fill="auto"/>
            <w:noWrap/>
            <w:vAlign w:val="bottom"/>
            <w:hideMark/>
          </w:tcPr>
          <w:p w14:paraId="5B0916C6" w14:textId="77777777" w:rsidR="001F27D2" w:rsidRPr="00642347" w:rsidRDefault="001F27D2" w:rsidP="00642347">
            <w:pPr>
              <w:spacing w:before="0" w:after="0"/>
              <w:jc w:val="center"/>
              <w:rPr>
                <w:rFonts w:cs="Calibri"/>
                <w:color w:val="000000"/>
                <w:sz w:val="22"/>
                <w:szCs w:val="22"/>
              </w:rPr>
            </w:pPr>
            <w:r w:rsidRPr="00642347">
              <w:rPr>
                <w:rFonts w:cs="Calibri"/>
                <w:color w:val="000000"/>
                <w:sz w:val="22"/>
                <w:szCs w:val="22"/>
              </w:rPr>
              <w:t>£34,907</w:t>
            </w:r>
          </w:p>
        </w:tc>
        <w:tc>
          <w:tcPr>
            <w:tcW w:w="593" w:type="pct"/>
            <w:shd w:val="clear" w:color="auto" w:fill="auto"/>
            <w:noWrap/>
            <w:vAlign w:val="bottom"/>
            <w:hideMark/>
          </w:tcPr>
          <w:p w14:paraId="06BB89EB" w14:textId="77777777" w:rsidR="001F27D2" w:rsidRPr="00642347" w:rsidRDefault="001F27D2" w:rsidP="00642347">
            <w:pPr>
              <w:spacing w:before="0" w:after="0"/>
              <w:jc w:val="center"/>
              <w:rPr>
                <w:rFonts w:cs="Calibri"/>
                <w:color w:val="000000"/>
                <w:sz w:val="22"/>
                <w:szCs w:val="22"/>
              </w:rPr>
            </w:pPr>
            <w:r w:rsidRPr="00642347">
              <w:rPr>
                <w:rFonts w:cs="Calibri"/>
                <w:color w:val="000000"/>
                <w:sz w:val="22"/>
                <w:szCs w:val="22"/>
              </w:rPr>
              <w:t>£34,138</w:t>
            </w:r>
          </w:p>
        </w:tc>
        <w:tc>
          <w:tcPr>
            <w:tcW w:w="494" w:type="pct"/>
            <w:shd w:val="clear" w:color="auto" w:fill="auto"/>
            <w:noWrap/>
            <w:vAlign w:val="bottom"/>
            <w:hideMark/>
          </w:tcPr>
          <w:p w14:paraId="63A6A3A2" w14:textId="77777777" w:rsidR="001F27D2" w:rsidRPr="00642347" w:rsidRDefault="001F27D2" w:rsidP="00642347">
            <w:pPr>
              <w:spacing w:before="0" w:after="0"/>
              <w:jc w:val="center"/>
              <w:rPr>
                <w:rFonts w:cs="Calibri"/>
                <w:color w:val="000000"/>
                <w:sz w:val="22"/>
                <w:szCs w:val="22"/>
              </w:rPr>
            </w:pPr>
            <w:r w:rsidRPr="00642347">
              <w:rPr>
                <w:rFonts w:cs="Calibri"/>
                <w:color w:val="000000"/>
                <w:sz w:val="22"/>
                <w:szCs w:val="22"/>
              </w:rPr>
              <w:t>£34,676</w:t>
            </w:r>
          </w:p>
        </w:tc>
        <w:tc>
          <w:tcPr>
            <w:tcW w:w="593" w:type="pct"/>
            <w:shd w:val="clear" w:color="auto" w:fill="auto"/>
            <w:noWrap/>
            <w:vAlign w:val="bottom"/>
            <w:hideMark/>
          </w:tcPr>
          <w:p w14:paraId="0AE05E96" w14:textId="77777777" w:rsidR="001F27D2" w:rsidRPr="00642347" w:rsidRDefault="001F27D2" w:rsidP="00642347">
            <w:pPr>
              <w:spacing w:before="0" w:after="0"/>
              <w:jc w:val="center"/>
              <w:rPr>
                <w:rFonts w:cs="Calibri"/>
                <w:color w:val="000000"/>
                <w:sz w:val="22"/>
                <w:szCs w:val="22"/>
              </w:rPr>
            </w:pPr>
            <w:r w:rsidRPr="00642347">
              <w:rPr>
                <w:rFonts w:cs="Calibri"/>
                <w:color w:val="000000"/>
                <w:sz w:val="22"/>
                <w:szCs w:val="22"/>
              </w:rPr>
              <w:t>£44,759</w:t>
            </w:r>
          </w:p>
        </w:tc>
        <w:tc>
          <w:tcPr>
            <w:tcW w:w="513" w:type="pct"/>
            <w:shd w:val="clear" w:color="auto" w:fill="auto"/>
            <w:noWrap/>
            <w:vAlign w:val="bottom"/>
            <w:hideMark/>
          </w:tcPr>
          <w:p w14:paraId="5C996713" w14:textId="77777777" w:rsidR="001F27D2" w:rsidRPr="00642347" w:rsidRDefault="001F27D2" w:rsidP="00642347">
            <w:pPr>
              <w:spacing w:before="0" w:after="0"/>
              <w:jc w:val="center"/>
              <w:rPr>
                <w:rFonts w:cs="Calibri"/>
                <w:color w:val="000000"/>
                <w:sz w:val="22"/>
                <w:szCs w:val="22"/>
              </w:rPr>
            </w:pPr>
            <w:r w:rsidRPr="00642347">
              <w:rPr>
                <w:rFonts w:cs="Calibri"/>
                <w:color w:val="000000"/>
                <w:sz w:val="22"/>
                <w:szCs w:val="22"/>
              </w:rPr>
              <w:t>£35,561</w:t>
            </w:r>
          </w:p>
        </w:tc>
      </w:tr>
      <w:tr w:rsidR="0002639A" w:rsidRPr="00642347" w14:paraId="11A0CC20" w14:textId="77777777" w:rsidTr="001F27D2">
        <w:trPr>
          <w:trHeight w:val="320"/>
        </w:trPr>
        <w:tc>
          <w:tcPr>
            <w:tcW w:w="1077" w:type="pct"/>
            <w:shd w:val="clear" w:color="auto" w:fill="auto"/>
            <w:noWrap/>
            <w:vAlign w:val="bottom"/>
            <w:hideMark/>
          </w:tcPr>
          <w:p w14:paraId="13610CB7" w14:textId="77777777" w:rsidR="0002639A" w:rsidRPr="00642347" w:rsidRDefault="0002639A" w:rsidP="0002639A">
            <w:pPr>
              <w:spacing w:before="0" w:after="0"/>
              <w:rPr>
                <w:rFonts w:cs="Calibri"/>
                <w:color w:val="000000"/>
                <w:sz w:val="22"/>
                <w:szCs w:val="22"/>
              </w:rPr>
            </w:pPr>
            <w:r w:rsidRPr="00642347">
              <w:rPr>
                <w:rFonts w:cs="Calibri"/>
                <w:color w:val="000000"/>
                <w:sz w:val="22"/>
                <w:szCs w:val="22"/>
              </w:rPr>
              <w:t>Help to buy</w:t>
            </w:r>
          </w:p>
        </w:tc>
        <w:tc>
          <w:tcPr>
            <w:tcW w:w="593" w:type="pct"/>
            <w:shd w:val="clear" w:color="auto" w:fill="auto"/>
            <w:noWrap/>
            <w:vAlign w:val="bottom"/>
            <w:hideMark/>
          </w:tcPr>
          <w:p w14:paraId="0D318327" w14:textId="2B111AAF" w:rsidR="0002639A" w:rsidRPr="0002639A" w:rsidRDefault="0002639A" w:rsidP="0002639A">
            <w:pPr>
              <w:spacing w:before="0" w:after="0"/>
              <w:jc w:val="center"/>
              <w:rPr>
                <w:rFonts w:cs="Calibri"/>
                <w:color w:val="000000"/>
                <w:sz w:val="22"/>
                <w:szCs w:val="22"/>
              </w:rPr>
            </w:pPr>
            <w:r w:rsidRPr="0002639A">
              <w:rPr>
                <w:rFonts w:cs="Calibri"/>
                <w:color w:val="000000"/>
                <w:sz w:val="22"/>
                <w:szCs w:val="22"/>
              </w:rPr>
              <w:t>£33,000</w:t>
            </w:r>
          </w:p>
        </w:tc>
        <w:tc>
          <w:tcPr>
            <w:tcW w:w="544" w:type="pct"/>
            <w:shd w:val="clear" w:color="auto" w:fill="auto"/>
            <w:noWrap/>
            <w:vAlign w:val="bottom"/>
            <w:hideMark/>
          </w:tcPr>
          <w:p w14:paraId="3F812B43" w14:textId="027862AA" w:rsidR="0002639A" w:rsidRPr="0002639A" w:rsidRDefault="0002639A" w:rsidP="0002639A">
            <w:pPr>
              <w:spacing w:before="0" w:after="0"/>
              <w:jc w:val="center"/>
              <w:rPr>
                <w:rFonts w:cs="Calibri"/>
                <w:color w:val="000000"/>
                <w:sz w:val="22"/>
                <w:szCs w:val="22"/>
              </w:rPr>
            </w:pPr>
            <w:r w:rsidRPr="0002639A">
              <w:rPr>
                <w:rFonts w:cs="Calibri"/>
                <w:color w:val="000000"/>
                <w:sz w:val="22"/>
                <w:szCs w:val="22"/>
              </w:rPr>
              <w:t>£43,000</w:t>
            </w:r>
          </w:p>
        </w:tc>
        <w:tc>
          <w:tcPr>
            <w:tcW w:w="593" w:type="pct"/>
            <w:shd w:val="clear" w:color="auto" w:fill="auto"/>
            <w:noWrap/>
            <w:vAlign w:val="bottom"/>
            <w:hideMark/>
          </w:tcPr>
          <w:p w14:paraId="596576BD" w14:textId="13ABE184" w:rsidR="0002639A" w:rsidRPr="0002639A" w:rsidRDefault="0002639A" w:rsidP="0002639A">
            <w:pPr>
              <w:spacing w:before="0" w:after="0"/>
              <w:jc w:val="center"/>
              <w:rPr>
                <w:rFonts w:cs="Calibri"/>
                <w:color w:val="000000"/>
                <w:sz w:val="22"/>
                <w:szCs w:val="22"/>
              </w:rPr>
            </w:pPr>
            <w:r w:rsidRPr="0002639A">
              <w:rPr>
                <w:rFonts w:cs="Calibri"/>
                <w:color w:val="000000"/>
                <w:sz w:val="22"/>
                <w:szCs w:val="22"/>
              </w:rPr>
              <w:t>£36,000</w:t>
            </w:r>
          </w:p>
        </w:tc>
        <w:tc>
          <w:tcPr>
            <w:tcW w:w="593" w:type="pct"/>
            <w:shd w:val="clear" w:color="auto" w:fill="auto"/>
            <w:noWrap/>
            <w:vAlign w:val="bottom"/>
            <w:hideMark/>
          </w:tcPr>
          <w:p w14:paraId="248922DA" w14:textId="7D67EF33" w:rsidR="0002639A" w:rsidRPr="0002639A" w:rsidRDefault="0002639A" w:rsidP="0002639A">
            <w:pPr>
              <w:spacing w:before="0" w:after="0"/>
              <w:jc w:val="center"/>
              <w:rPr>
                <w:rFonts w:cs="Calibri"/>
                <w:color w:val="000000"/>
                <w:sz w:val="22"/>
                <w:szCs w:val="22"/>
              </w:rPr>
            </w:pPr>
            <w:r w:rsidRPr="0002639A">
              <w:rPr>
                <w:rFonts w:cs="Calibri"/>
                <w:color w:val="000000"/>
                <w:sz w:val="22"/>
                <w:szCs w:val="22"/>
              </w:rPr>
              <w:t>£35,000</w:t>
            </w:r>
          </w:p>
        </w:tc>
        <w:tc>
          <w:tcPr>
            <w:tcW w:w="494" w:type="pct"/>
            <w:shd w:val="clear" w:color="auto" w:fill="auto"/>
            <w:noWrap/>
            <w:vAlign w:val="bottom"/>
            <w:hideMark/>
          </w:tcPr>
          <w:p w14:paraId="3C0AD824" w14:textId="04B216D3" w:rsidR="0002639A" w:rsidRPr="0002639A" w:rsidRDefault="0002639A" w:rsidP="0002639A">
            <w:pPr>
              <w:spacing w:before="0" w:after="0"/>
              <w:jc w:val="center"/>
              <w:rPr>
                <w:rFonts w:cs="Calibri"/>
                <w:color w:val="000000"/>
                <w:sz w:val="22"/>
                <w:szCs w:val="22"/>
              </w:rPr>
            </w:pPr>
            <w:r w:rsidRPr="0002639A">
              <w:rPr>
                <w:rFonts w:cs="Calibri"/>
                <w:color w:val="000000"/>
                <w:sz w:val="22"/>
                <w:szCs w:val="22"/>
              </w:rPr>
              <w:t>£35,700</w:t>
            </w:r>
          </w:p>
        </w:tc>
        <w:tc>
          <w:tcPr>
            <w:tcW w:w="593" w:type="pct"/>
            <w:shd w:val="clear" w:color="auto" w:fill="auto"/>
            <w:noWrap/>
            <w:vAlign w:val="bottom"/>
            <w:hideMark/>
          </w:tcPr>
          <w:p w14:paraId="0712B9D8" w14:textId="20270DA8" w:rsidR="0002639A" w:rsidRPr="0002639A" w:rsidRDefault="0002639A" w:rsidP="0002639A">
            <w:pPr>
              <w:spacing w:before="0" w:after="0"/>
              <w:jc w:val="center"/>
              <w:rPr>
                <w:rFonts w:cs="Calibri"/>
                <w:color w:val="000000"/>
                <w:sz w:val="22"/>
                <w:szCs w:val="22"/>
              </w:rPr>
            </w:pPr>
            <w:r w:rsidRPr="0002639A">
              <w:rPr>
                <w:rFonts w:cs="Calibri"/>
                <w:color w:val="000000"/>
                <w:sz w:val="22"/>
                <w:szCs w:val="22"/>
              </w:rPr>
              <w:t>£48,800</w:t>
            </w:r>
          </w:p>
        </w:tc>
        <w:tc>
          <w:tcPr>
            <w:tcW w:w="513" w:type="pct"/>
            <w:shd w:val="clear" w:color="auto" w:fill="auto"/>
            <w:noWrap/>
            <w:vAlign w:val="bottom"/>
            <w:hideMark/>
          </w:tcPr>
          <w:p w14:paraId="747041FF" w14:textId="60BA9B7D" w:rsidR="0002639A" w:rsidRPr="0002639A" w:rsidRDefault="0002639A" w:rsidP="0002639A">
            <w:pPr>
              <w:spacing w:before="0" w:after="0"/>
              <w:jc w:val="center"/>
              <w:rPr>
                <w:rFonts w:cs="Calibri"/>
                <w:color w:val="000000"/>
                <w:sz w:val="22"/>
                <w:szCs w:val="22"/>
              </w:rPr>
            </w:pPr>
            <w:r w:rsidRPr="0002639A">
              <w:rPr>
                <w:rFonts w:cs="Calibri"/>
                <w:color w:val="000000"/>
                <w:sz w:val="22"/>
                <w:szCs w:val="22"/>
              </w:rPr>
              <w:t>£36,850</w:t>
            </w:r>
          </w:p>
        </w:tc>
      </w:tr>
      <w:tr w:rsidR="0030287C" w:rsidRPr="00642347" w14:paraId="434BCC49" w14:textId="77777777" w:rsidTr="001F27D2">
        <w:trPr>
          <w:trHeight w:val="320"/>
        </w:trPr>
        <w:tc>
          <w:tcPr>
            <w:tcW w:w="1077" w:type="pct"/>
            <w:shd w:val="clear" w:color="auto" w:fill="auto"/>
            <w:noWrap/>
            <w:vAlign w:val="bottom"/>
          </w:tcPr>
          <w:p w14:paraId="56630D75" w14:textId="75F70A4C" w:rsidR="0030287C" w:rsidRPr="00642347" w:rsidRDefault="0030287C" w:rsidP="0030287C">
            <w:pPr>
              <w:spacing w:before="0" w:after="0"/>
              <w:rPr>
                <w:rFonts w:cs="Calibri"/>
                <w:color w:val="000000"/>
                <w:sz w:val="22"/>
                <w:szCs w:val="22"/>
              </w:rPr>
            </w:pPr>
            <w:r>
              <w:rPr>
                <w:rFonts w:cs="Calibri"/>
                <w:color w:val="000000"/>
                <w:sz w:val="22"/>
                <w:szCs w:val="22"/>
              </w:rPr>
              <w:t>Discounted sale</w:t>
            </w:r>
          </w:p>
        </w:tc>
        <w:tc>
          <w:tcPr>
            <w:tcW w:w="593" w:type="pct"/>
            <w:shd w:val="clear" w:color="auto" w:fill="auto"/>
            <w:noWrap/>
            <w:vAlign w:val="bottom"/>
          </w:tcPr>
          <w:p w14:paraId="31081C8B" w14:textId="689177EF" w:rsidR="0030287C" w:rsidRPr="0030287C" w:rsidRDefault="0030287C" w:rsidP="0030287C">
            <w:pPr>
              <w:spacing w:before="0" w:after="0"/>
              <w:jc w:val="center"/>
              <w:rPr>
                <w:rFonts w:cs="Calibri"/>
                <w:color w:val="000000"/>
                <w:sz w:val="22"/>
                <w:szCs w:val="22"/>
              </w:rPr>
            </w:pPr>
            <w:r w:rsidRPr="0030287C">
              <w:rPr>
                <w:rFonts w:cs="Calibri"/>
                <w:color w:val="000000"/>
                <w:sz w:val="22"/>
                <w:szCs w:val="22"/>
              </w:rPr>
              <w:t>£31,793</w:t>
            </w:r>
          </w:p>
        </w:tc>
        <w:tc>
          <w:tcPr>
            <w:tcW w:w="544" w:type="pct"/>
            <w:shd w:val="clear" w:color="auto" w:fill="auto"/>
            <w:noWrap/>
            <w:vAlign w:val="bottom"/>
          </w:tcPr>
          <w:p w14:paraId="1F3BCE93" w14:textId="7B43927B" w:rsidR="0030287C" w:rsidRPr="0030287C" w:rsidRDefault="0030287C" w:rsidP="0030287C">
            <w:pPr>
              <w:spacing w:before="0" w:after="0"/>
              <w:jc w:val="center"/>
              <w:rPr>
                <w:rFonts w:cs="Calibri"/>
                <w:color w:val="000000"/>
                <w:sz w:val="22"/>
                <w:szCs w:val="22"/>
              </w:rPr>
            </w:pPr>
            <w:r w:rsidRPr="0030287C">
              <w:rPr>
                <w:rFonts w:cs="Calibri"/>
                <w:color w:val="000000"/>
                <w:sz w:val="22"/>
                <w:szCs w:val="22"/>
              </w:rPr>
              <w:t>£37,575</w:t>
            </w:r>
          </w:p>
        </w:tc>
        <w:tc>
          <w:tcPr>
            <w:tcW w:w="593" w:type="pct"/>
            <w:shd w:val="clear" w:color="auto" w:fill="auto"/>
            <w:noWrap/>
            <w:vAlign w:val="bottom"/>
          </w:tcPr>
          <w:p w14:paraId="54709B38" w14:textId="6A5769E6" w:rsidR="0030287C" w:rsidRPr="0030287C" w:rsidRDefault="0030287C" w:rsidP="0030287C">
            <w:pPr>
              <w:spacing w:before="0" w:after="0"/>
              <w:jc w:val="center"/>
              <w:rPr>
                <w:rFonts w:cs="Calibri"/>
                <w:color w:val="000000"/>
                <w:sz w:val="22"/>
                <w:szCs w:val="22"/>
              </w:rPr>
            </w:pPr>
            <w:r w:rsidRPr="0030287C">
              <w:rPr>
                <w:rFonts w:cs="Calibri"/>
                <w:color w:val="000000"/>
                <w:sz w:val="22"/>
                <w:szCs w:val="22"/>
              </w:rPr>
              <w:t>£32,572</w:t>
            </w:r>
          </w:p>
        </w:tc>
        <w:tc>
          <w:tcPr>
            <w:tcW w:w="593" w:type="pct"/>
            <w:shd w:val="clear" w:color="auto" w:fill="auto"/>
            <w:noWrap/>
            <w:vAlign w:val="bottom"/>
          </w:tcPr>
          <w:p w14:paraId="7EFF878F" w14:textId="36868814" w:rsidR="0030287C" w:rsidRPr="0030287C" w:rsidRDefault="0030287C" w:rsidP="0030287C">
            <w:pPr>
              <w:spacing w:before="0" w:after="0"/>
              <w:jc w:val="center"/>
              <w:rPr>
                <w:rFonts w:cs="Calibri"/>
                <w:color w:val="000000"/>
                <w:sz w:val="22"/>
                <w:szCs w:val="22"/>
              </w:rPr>
            </w:pPr>
            <w:r w:rsidRPr="0030287C">
              <w:rPr>
                <w:rFonts w:cs="Calibri"/>
                <w:color w:val="000000"/>
                <w:sz w:val="22"/>
                <w:szCs w:val="22"/>
              </w:rPr>
              <w:t>£33,967</w:t>
            </w:r>
          </w:p>
        </w:tc>
        <w:tc>
          <w:tcPr>
            <w:tcW w:w="494" w:type="pct"/>
            <w:shd w:val="clear" w:color="auto" w:fill="auto"/>
            <w:noWrap/>
            <w:vAlign w:val="bottom"/>
          </w:tcPr>
          <w:p w14:paraId="2C007F72" w14:textId="621F33D7" w:rsidR="0030287C" w:rsidRPr="0030287C" w:rsidRDefault="0030287C" w:rsidP="0030287C">
            <w:pPr>
              <w:spacing w:before="0" w:after="0"/>
              <w:jc w:val="center"/>
              <w:rPr>
                <w:rFonts w:cs="Calibri"/>
                <w:color w:val="000000"/>
                <w:sz w:val="22"/>
                <w:szCs w:val="22"/>
              </w:rPr>
            </w:pPr>
            <w:r w:rsidRPr="0030287C">
              <w:rPr>
                <w:rFonts w:cs="Calibri"/>
                <w:color w:val="000000"/>
                <w:sz w:val="22"/>
                <w:szCs w:val="22"/>
              </w:rPr>
              <w:t>£32,620</w:t>
            </w:r>
          </w:p>
        </w:tc>
        <w:tc>
          <w:tcPr>
            <w:tcW w:w="593" w:type="pct"/>
            <w:shd w:val="clear" w:color="auto" w:fill="auto"/>
            <w:noWrap/>
            <w:vAlign w:val="bottom"/>
          </w:tcPr>
          <w:p w14:paraId="2A26140E" w14:textId="6214B15F" w:rsidR="0030287C" w:rsidRPr="0030287C" w:rsidRDefault="0030287C" w:rsidP="0030287C">
            <w:pPr>
              <w:spacing w:before="0" w:after="0"/>
              <w:jc w:val="center"/>
              <w:rPr>
                <w:rFonts w:cs="Calibri"/>
                <w:color w:val="000000"/>
                <w:sz w:val="22"/>
                <w:szCs w:val="22"/>
              </w:rPr>
            </w:pPr>
            <w:r w:rsidRPr="0030287C">
              <w:rPr>
                <w:rFonts w:cs="Calibri"/>
                <w:color w:val="000000"/>
                <w:sz w:val="22"/>
                <w:szCs w:val="22"/>
              </w:rPr>
              <w:t>£46,431</w:t>
            </w:r>
          </w:p>
        </w:tc>
        <w:tc>
          <w:tcPr>
            <w:tcW w:w="513" w:type="pct"/>
            <w:shd w:val="clear" w:color="auto" w:fill="auto"/>
            <w:noWrap/>
            <w:vAlign w:val="bottom"/>
          </w:tcPr>
          <w:p w14:paraId="11DC162F" w14:textId="4EE5636D" w:rsidR="0030287C" w:rsidRPr="0030287C" w:rsidRDefault="0030287C" w:rsidP="0030287C">
            <w:pPr>
              <w:spacing w:before="0" w:after="0"/>
              <w:jc w:val="center"/>
              <w:rPr>
                <w:rFonts w:cs="Calibri"/>
                <w:color w:val="000000"/>
                <w:sz w:val="22"/>
                <w:szCs w:val="22"/>
              </w:rPr>
            </w:pPr>
            <w:r w:rsidRPr="0030287C">
              <w:rPr>
                <w:rFonts w:cs="Calibri"/>
                <w:color w:val="000000"/>
                <w:sz w:val="22"/>
                <w:szCs w:val="22"/>
              </w:rPr>
              <w:t>£35,102</w:t>
            </w:r>
          </w:p>
        </w:tc>
      </w:tr>
    </w:tbl>
    <w:p w14:paraId="3D0DB426" w14:textId="77777777" w:rsidR="00642347" w:rsidRDefault="00642347" w:rsidP="00642347">
      <w:pPr>
        <w:pStyle w:val="Reporttext"/>
        <w:numPr>
          <w:ilvl w:val="0"/>
          <w:numId w:val="0"/>
        </w:numPr>
        <w:rPr>
          <w:sz w:val="20"/>
          <w:szCs w:val="20"/>
        </w:rPr>
      </w:pPr>
      <w:r w:rsidRPr="002B2A7F">
        <w:rPr>
          <w:sz w:val="20"/>
          <w:szCs w:val="20"/>
        </w:rPr>
        <w:t>Source: Data produced by</w:t>
      </w:r>
      <w:r>
        <w:rPr>
          <w:sz w:val="20"/>
          <w:szCs w:val="20"/>
        </w:rPr>
        <w:t xml:space="preserve">: </w:t>
      </w:r>
      <w:r w:rsidRPr="002B2A7F">
        <w:rPr>
          <w:sz w:val="20"/>
          <w:szCs w:val="20"/>
        </w:rPr>
        <w:t>Land Registry © Crown copyright</w:t>
      </w:r>
      <w:r>
        <w:rPr>
          <w:sz w:val="20"/>
          <w:szCs w:val="20"/>
        </w:rPr>
        <w:t xml:space="preserve"> and database right</w:t>
      </w:r>
      <w:r w:rsidRPr="002B2A7F">
        <w:rPr>
          <w:sz w:val="20"/>
          <w:szCs w:val="20"/>
        </w:rPr>
        <w:t xml:space="preserve"> 2018</w:t>
      </w:r>
      <w:r>
        <w:rPr>
          <w:sz w:val="20"/>
          <w:szCs w:val="20"/>
        </w:rPr>
        <w:t xml:space="preserve">.  This data is licensed under the Open Government Licence v3.0; </w:t>
      </w:r>
      <w:r w:rsidRPr="002B2A7F">
        <w:rPr>
          <w:sz w:val="20"/>
          <w:szCs w:val="20"/>
        </w:rPr>
        <w:t>©</w:t>
      </w:r>
      <w:r>
        <w:rPr>
          <w:sz w:val="20"/>
          <w:szCs w:val="20"/>
        </w:rPr>
        <w:t xml:space="preserve"> 2018 Zoopla Limited.  All rights reserved; CLG</w:t>
      </w:r>
    </w:p>
    <w:p w14:paraId="4B9500F2" w14:textId="77777777" w:rsidR="001F27D2" w:rsidRPr="002B2A7F" w:rsidRDefault="001F27D2" w:rsidP="001F27D2">
      <w:pPr>
        <w:rPr>
          <w:rFonts w:asciiTheme="minorHAnsi" w:hAnsiTheme="minorHAnsi" w:cs="Calibri"/>
          <w:sz w:val="20"/>
          <w:szCs w:val="20"/>
        </w:rPr>
      </w:pPr>
      <w:r w:rsidRPr="002B2A7F">
        <w:rPr>
          <w:rFonts w:asciiTheme="minorHAnsi" w:hAnsiTheme="minorHAnsi" w:cs="Calibri"/>
          <w:sz w:val="20"/>
          <w:szCs w:val="20"/>
        </w:rPr>
        <w:t>Assumes a 10% deposit</w:t>
      </w:r>
    </w:p>
    <w:p w14:paraId="2E5211EA" w14:textId="77777777" w:rsidR="001F27D2" w:rsidRPr="002B2A7F" w:rsidRDefault="001F27D2" w:rsidP="001F27D2">
      <w:pPr>
        <w:rPr>
          <w:rFonts w:asciiTheme="minorHAnsi" w:hAnsiTheme="minorHAnsi" w:cs="Calibri"/>
          <w:sz w:val="20"/>
          <w:szCs w:val="20"/>
        </w:rPr>
      </w:pPr>
      <w:r w:rsidRPr="002B2A7F">
        <w:rPr>
          <w:rFonts w:asciiTheme="minorHAnsi" w:hAnsiTheme="minorHAnsi" w:cs="Calibri"/>
          <w:sz w:val="20"/>
          <w:szCs w:val="20"/>
        </w:rPr>
        <w:br w:type="page"/>
      </w: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3037"/>
        <w:gridCol w:w="7561"/>
        <w:gridCol w:w="3514"/>
      </w:tblGrid>
      <w:tr w:rsidR="001F27D2" w:rsidRPr="00642347" w14:paraId="3CCF0BAF" w14:textId="77777777" w:rsidTr="001F27D2">
        <w:tc>
          <w:tcPr>
            <w:tcW w:w="5000" w:type="pct"/>
            <w:gridSpan w:val="3"/>
            <w:shd w:val="clear" w:color="auto" w:fill="009999"/>
            <w:noWrap/>
            <w:vAlign w:val="bottom"/>
            <w:hideMark/>
          </w:tcPr>
          <w:p w14:paraId="1D861B39" w14:textId="77777777" w:rsidR="001F27D2" w:rsidRPr="00642347" w:rsidRDefault="001F27D2" w:rsidP="00642347">
            <w:pPr>
              <w:pStyle w:val="Tableheading1"/>
              <w:rPr>
                <w:color w:val="000000"/>
              </w:rPr>
            </w:pPr>
            <w:bookmarkStart w:id="259" w:name="_Toc531122933"/>
            <w:bookmarkStart w:id="260" w:name="_Toc532812470"/>
            <w:r w:rsidRPr="00642347">
              <w:lastRenderedPageBreak/>
              <w:t>Table 3.6</w:t>
            </w:r>
            <w:r w:rsidRPr="00642347">
              <w:tab/>
              <w:t>Assumptions in assessing income required for alternative tenure options</w:t>
            </w:r>
            <w:bookmarkEnd w:id="259"/>
            <w:bookmarkEnd w:id="260"/>
          </w:p>
        </w:tc>
      </w:tr>
      <w:tr w:rsidR="001F27D2" w:rsidRPr="00642347" w14:paraId="347E0790" w14:textId="77777777" w:rsidTr="001F27D2">
        <w:tc>
          <w:tcPr>
            <w:tcW w:w="1076" w:type="pct"/>
            <w:shd w:val="clear" w:color="auto" w:fill="009999"/>
            <w:noWrap/>
            <w:vAlign w:val="bottom"/>
            <w:hideMark/>
          </w:tcPr>
          <w:p w14:paraId="6E001855" w14:textId="77777777" w:rsidR="001F27D2" w:rsidRPr="00642347" w:rsidRDefault="001F27D2" w:rsidP="00642347">
            <w:pPr>
              <w:spacing w:beforeLines="30" w:before="72" w:afterLines="30" w:after="72"/>
              <w:rPr>
                <w:rFonts w:cs="Calibri"/>
                <w:b/>
                <w:bCs/>
                <w:color w:val="FFFFFF"/>
                <w:sz w:val="22"/>
                <w:szCs w:val="22"/>
              </w:rPr>
            </w:pPr>
            <w:r w:rsidRPr="00642347">
              <w:rPr>
                <w:rFonts w:cs="Calibri"/>
                <w:b/>
                <w:bCs/>
                <w:color w:val="FFFFFF"/>
                <w:sz w:val="22"/>
                <w:szCs w:val="22"/>
              </w:rPr>
              <w:t>Tenure</w:t>
            </w:r>
          </w:p>
        </w:tc>
        <w:tc>
          <w:tcPr>
            <w:tcW w:w="2679" w:type="pct"/>
            <w:shd w:val="clear" w:color="auto" w:fill="009999"/>
            <w:vAlign w:val="bottom"/>
            <w:hideMark/>
          </w:tcPr>
          <w:p w14:paraId="14B253F7" w14:textId="77777777" w:rsidR="001F27D2" w:rsidRPr="00642347" w:rsidRDefault="001F27D2" w:rsidP="00642347">
            <w:pPr>
              <w:spacing w:beforeLines="30" w:before="72" w:afterLines="30" w:after="72"/>
              <w:rPr>
                <w:rFonts w:cs="Calibri"/>
                <w:b/>
                <w:bCs/>
                <w:color w:val="FFFFFF"/>
                <w:sz w:val="22"/>
                <w:szCs w:val="22"/>
              </w:rPr>
            </w:pPr>
            <w:r w:rsidRPr="00642347">
              <w:rPr>
                <w:rFonts w:cs="Calibri"/>
                <w:b/>
                <w:bCs/>
                <w:color w:val="FFFFFF"/>
                <w:sz w:val="22"/>
                <w:szCs w:val="22"/>
              </w:rPr>
              <w:t>Tenure price assumptions</w:t>
            </w:r>
          </w:p>
        </w:tc>
        <w:tc>
          <w:tcPr>
            <w:tcW w:w="1245" w:type="pct"/>
            <w:shd w:val="clear" w:color="auto" w:fill="009999"/>
            <w:vAlign w:val="bottom"/>
            <w:hideMark/>
          </w:tcPr>
          <w:p w14:paraId="184BF18A" w14:textId="77777777" w:rsidR="001F27D2" w:rsidRPr="00642347" w:rsidRDefault="001F27D2" w:rsidP="00642347">
            <w:pPr>
              <w:spacing w:beforeLines="30" w:before="72" w:afterLines="30" w:after="72"/>
              <w:rPr>
                <w:rFonts w:cs="Calibri"/>
                <w:b/>
                <w:bCs/>
                <w:color w:val="FFFFFF"/>
                <w:sz w:val="22"/>
                <w:szCs w:val="22"/>
              </w:rPr>
            </w:pPr>
            <w:r w:rsidRPr="00642347">
              <w:rPr>
                <w:rFonts w:cs="Calibri"/>
                <w:b/>
                <w:bCs/>
                <w:color w:val="FFFFFF"/>
                <w:sz w:val="22"/>
                <w:szCs w:val="22"/>
              </w:rPr>
              <w:t>Affordability assumptions</w:t>
            </w:r>
          </w:p>
        </w:tc>
      </w:tr>
      <w:tr w:rsidR="001F27D2" w:rsidRPr="00642347" w14:paraId="06DD05F0" w14:textId="77777777" w:rsidTr="001F27D2">
        <w:tc>
          <w:tcPr>
            <w:tcW w:w="1076" w:type="pct"/>
            <w:shd w:val="clear" w:color="auto" w:fill="auto"/>
            <w:noWrap/>
            <w:hideMark/>
          </w:tcPr>
          <w:p w14:paraId="61F4DD47" w14:textId="77777777" w:rsidR="001F27D2" w:rsidRPr="00642347" w:rsidRDefault="001F27D2" w:rsidP="00642347">
            <w:pPr>
              <w:spacing w:beforeLines="30" w:before="72" w:afterLines="30" w:after="72"/>
              <w:rPr>
                <w:rFonts w:cs="Calibri"/>
                <w:color w:val="000000"/>
                <w:sz w:val="22"/>
                <w:szCs w:val="22"/>
              </w:rPr>
            </w:pPr>
            <w:r w:rsidRPr="00642347">
              <w:rPr>
                <w:rFonts w:cs="Calibri"/>
                <w:color w:val="000000"/>
                <w:sz w:val="22"/>
                <w:szCs w:val="22"/>
              </w:rPr>
              <w:t xml:space="preserve">Social rent </w:t>
            </w:r>
          </w:p>
        </w:tc>
        <w:tc>
          <w:tcPr>
            <w:tcW w:w="2679" w:type="pct"/>
            <w:shd w:val="clear" w:color="auto" w:fill="auto"/>
            <w:hideMark/>
          </w:tcPr>
          <w:p w14:paraId="09D9CEF4" w14:textId="77777777" w:rsidR="001F27D2" w:rsidRPr="00642347" w:rsidRDefault="001F27D2" w:rsidP="00642347">
            <w:pPr>
              <w:spacing w:beforeLines="30" w:before="72" w:afterLines="30" w:after="72"/>
              <w:rPr>
                <w:rFonts w:cs="Calibri"/>
                <w:color w:val="000000"/>
                <w:sz w:val="22"/>
                <w:szCs w:val="22"/>
              </w:rPr>
            </w:pPr>
            <w:r w:rsidRPr="00642347">
              <w:rPr>
                <w:rFonts w:cs="Calibri"/>
                <w:color w:val="000000"/>
                <w:sz w:val="22"/>
                <w:szCs w:val="22"/>
              </w:rPr>
              <w:t>Prevailing prices</w:t>
            </w:r>
          </w:p>
        </w:tc>
        <w:tc>
          <w:tcPr>
            <w:tcW w:w="1245" w:type="pct"/>
            <w:shd w:val="clear" w:color="auto" w:fill="auto"/>
            <w:hideMark/>
          </w:tcPr>
          <w:p w14:paraId="03E5182C" w14:textId="77777777" w:rsidR="001F27D2" w:rsidRPr="00642347" w:rsidRDefault="001F27D2" w:rsidP="00642347">
            <w:pPr>
              <w:spacing w:beforeLines="30" w:before="72" w:afterLines="30" w:after="72"/>
              <w:rPr>
                <w:rFonts w:cs="Calibri"/>
                <w:color w:val="000000"/>
                <w:sz w:val="22"/>
                <w:szCs w:val="22"/>
              </w:rPr>
            </w:pPr>
            <w:r w:rsidRPr="00642347">
              <w:rPr>
                <w:rFonts w:cs="Calibri"/>
                <w:color w:val="000000"/>
                <w:sz w:val="22"/>
                <w:szCs w:val="22"/>
              </w:rPr>
              <w:t>Affordability 25% of income</w:t>
            </w:r>
          </w:p>
        </w:tc>
      </w:tr>
      <w:tr w:rsidR="001F27D2" w:rsidRPr="00642347" w14:paraId="3BA45F49" w14:textId="77777777" w:rsidTr="001F27D2">
        <w:tc>
          <w:tcPr>
            <w:tcW w:w="1076" w:type="pct"/>
            <w:shd w:val="clear" w:color="auto" w:fill="auto"/>
            <w:noWrap/>
            <w:hideMark/>
          </w:tcPr>
          <w:p w14:paraId="68397345" w14:textId="77777777" w:rsidR="001F27D2" w:rsidRPr="00642347" w:rsidRDefault="001F27D2" w:rsidP="00642347">
            <w:pPr>
              <w:spacing w:beforeLines="30" w:before="72" w:afterLines="30" w:after="72"/>
              <w:rPr>
                <w:rFonts w:cs="Calibri"/>
                <w:color w:val="000000"/>
                <w:sz w:val="22"/>
                <w:szCs w:val="22"/>
              </w:rPr>
            </w:pPr>
            <w:r w:rsidRPr="00642347">
              <w:rPr>
                <w:rFonts w:cs="Calibri"/>
                <w:sz w:val="22"/>
                <w:szCs w:val="22"/>
              </w:rPr>
              <w:t>Affordable rent</w:t>
            </w:r>
          </w:p>
        </w:tc>
        <w:tc>
          <w:tcPr>
            <w:tcW w:w="2679" w:type="pct"/>
            <w:shd w:val="clear" w:color="auto" w:fill="auto"/>
            <w:hideMark/>
          </w:tcPr>
          <w:p w14:paraId="7F0808E9" w14:textId="4980376E" w:rsidR="001F27D2" w:rsidRPr="00642347" w:rsidRDefault="0002639A" w:rsidP="00642347">
            <w:pPr>
              <w:spacing w:beforeLines="30" w:before="72" w:afterLines="30" w:after="72"/>
              <w:rPr>
                <w:rFonts w:cs="Calibri"/>
                <w:color w:val="000000"/>
                <w:sz w:val="22"/>
                <w:szCs w:val="22"/>
              </w:rPr>
            </w:pPr>
            <w:r>
              <w:rPr>
                <w:rFonts w:cs="Calibri"/>
                <w:color w:val="000000"/>
                <w:sz w:val="22"/>
                <w:szCs w:val="22"/>
              </w:rPr>
              <w:t>80% of average market rent</w:t>
            </w:r>
          </w:p>
        </w:tc>
        <w:tc>
          <w:tcPr>
            <w:tcW w:w="1245" w:type="pct"/>
            <w:shd w:val="clear" w:color="auto" w:fill="auto"/>
            <w:hideMark/>
          </w:tcPr>
          <w:p w14:paraId="724AD398" w14:textId="77777777" w:rsidR="001F27D2" w:rsidRPr="00642347" w:rsidRDefault="001F27D2" w:rsidP="00642347">
            <w:pPr>
              <w:spacing w:beforeLines="30" w:before="72" w:afterLines="30" w:after="72"/>
              <w:rPr>
                <w:rFonts w:cs="Calibri"/>
                <w:color w:val="000000"/>
                <w:sz w:val="22"/>
                <w:szCs w:val="22"/>
              </w:rPr>
            </w:pPr>
            <w:r w:rsidRPr="00642347">
              <w:rPr>
                <w:rFonts w:cs="Calibri"/>
                <w:sz w:val="22"/>
                <w:szCs w:val="22"/>
              </w:rPr>
              <w:t>Affordability 25% of income</w:t>
            </w:r>
          </w:p>
        </w:tc>
      </w:tr>
      <w:tr w:rsidR="001F27D2" w:rsidRPr="00642347" w14:paraId="65E24889" w14:textId="77777777" w:rsidTr="001F27D2">
        <w:tc>
          <w:tcPr>
            <w:tcW w:w="1076" w:type="pct"/>
            <w:shd w:val="clear" w:color="auto" w:fill="auto"/>
            <w:noWrap/>
            <w:hideMark/>
          </w:tcPr>
          <w:p w14:paraId="2BE8511B" w14:textId="77777777" w:rsidR="001F27D2" w:rsidRPr="00642347" w:rsidRDefault="001F27D2" w:rsidP="00642347">
            <w:pPr>
              <w:spacing w:beforeLines="30" w:before="72" w:afterLines="30" w:after="72"/>
              <w:rPr>
                <w:rFonts w:cs="Calibri"/>
                <w:color w:val="000000"/>
                <w:sz w:val="22"/>
                <w:szCs w:val="22"/>
              </w:rPr>
            </w:pPr>
            <w:r w:rsidRPr="00642347">
              <w:rPr>
                <w:rFonts w:cs="Calibri"/>
                <w:color w:val="000000"/>
                <w:sz w:val="22"/>
                <w:szCs w:val="22"/>
              </w:rPr>
              <w:t>Market Rent – lower quartile</w:t>
            </w:r>
          </w:p>
        </w:tc>
        <w:tc>
          <w:tcPr>
            <w:tcW w:w="2679" w:type="pct"/>
            <w:shd w:val="clear" w:color="auto" w:fill="auto"/>
            <w:hideMark/>
          </w:tcPr>
          <w:p w14:paraId="0A7C4DA2" w14:textId="77777777" w:rsidR="001F27D2" w:rsidRPr="00642347" w:rsidRDefault="001F27D2" w:rsidP="00642347">
            <w:pPr>
              <w:spacing w:beforeLines="30" w:before="72" w:afterLines="30" w:after="72"/>
              <w:rPr>
                <w:rFonts w:cs="Calibri"/>
                <w:color w:val="000000"/>
                <w:sz w:val="22"/>
                <w:szCs w:val="22"/>
              </w:rPr>
            </w:pPr>
            <w:r w:rsidRPr="00642347">
              <w:rPr>
                <w:rFonts w:cs="Calibri"/>
                <w:color w:val="000000"/>
                <w:sz w:val="22"/>
                <w:szCs w:val="22"/>
              </w:rPr>
              <w:t>Prevailing prices</w:t>
            </w:r>
          </w:p>
        </w:tc>
        <w:tc>
          <w:tcPr>
            <w:tcW w:w="1245" w:type="pct"/>
            <w:shd w:val="clear" w:color="auto" w:fill="auto"/>
            <w:hideMark/>
          </w:tcPr>
          <w:p w14:paraId="5DBAE4A4" w14:textId="77777777" w:rsidR="001F27D2" w:rsidRPr="00642347" w:rsidRDefault="001F27D2" w:rsidP="00642347">
            <w:pPr>
              <w:spacing w:beforeLines="30" w:before="72" w:afterLines="30" w:after="72"/>
              <w:rPr>
                <w:rFonts w:cs="Calibri"/>
                <w:color w:val="000000"/>
                <w:sz w:val="22"/>
                <w:szCs w:val="22"/>
              </w:rPr>
            </w:pPr>
            <w:r w:rsidRPr="00642347">
              <w:rPr>
                <w:rFonts w:cs="Calibri"/>
                <w:color w:val="000000"/>
                <w:sz w:val="22"/>
                <w:szCs w:val="22"/>
              </w:rPr>
              <w:t>Affordability 25% of income</w:t>
            </w:r>
          </w:p>
        </w:tc>
      </w:tr>
      <w:tr w:rsidR="001F27D2" w:rsidRPr="00642347" w14:paraId="36EDB01C" w14:textId="77777777" w:rsidTr="001F27D2">
        <w:tc>
          <w:tcPr>
            <w:tcW w:w="1076" w:type="pct"/>
            <w:shd w:val="clear" w:color="auto" w:fill="auto"/>
            <w:noWrap/>
            <w:hideMark/>
          </w:tcPr>
          <w:p w14:paraId="35058B42" w14:textId="77777777" w:rsidR="001F27D2" w:rsidRPr="00642347" w:rsidRDefault="001F27D2" w:rsidP="00642347">
            <w:pPr>
              <w:spacing w:beforeLines="30" w:before="72" w:afterLines="30" w:after="72"/>
              <w:rPr>
                <w:rFonts w:cs="Calibri"/>
                <w:color w:val="000000"/>
                <w:sz w:val="22"/>
                <w:szCs w:val="22"/>
              </w:rPr>
            </w:pPr>
            <w:r w:rsidRPr="00642347">
              <w:rPr>
                <w:rFonts w:cs="Calibri"/>
                <w:color w:val="000000"/>
                <w:sz w:val="22"/>
                <w:szCs w:val="22"/>
              </w:rPr>
              <w:t>Market Rent – median</w:t>
            </w:r>
          </w:p>
        </w:tc>
        <w:tc>
          <w:tcPr>
            <w:tcW w:w="2679" w:type="pct"/>
            <w:shd w:val="clear" w:color="auto" w:fill="auto"/>
            <w:hideMark/>
          </w:tcPr>
          <w:p w14:paraId="30BC3480" w14:textId="77777777" w:rsidR="001F27D2" w:rsidRPr="00642347" w:rsidRDefault="001F27D2" w:rsidP="00642347">
            <w:pPr>
              <w:spacing w:beforeLines="30" w:before="72" w:afterLines="30" w:after="72"/>
              <w:rPr>
                <w:rFonts w:cs="Calibri"/>
                <w:color w:val="000000"/>
                <w:sz w:val="22"/>
                <w:szCs w:val="22"/>
              </w:rPr>
            </w:pPr>
            <w:r w:rsidRPr="00642347">
              <w:rPr>
                <w:rFonts w:cs="Calibri"/>
                <w:color w:val="000000"/>
                <w:sz w:val="22"/>
                <w:szCs w:val="22"/>
              </w:rPr>
              <w:t>Prevailing prices</w:t>
            </w:r>
          </w:p>
        </w:tc>
        <w:tc>
          <w:tcPr>
            <w:tcW w:w="1245" w:type="pct"/>
            <w:shd w:val="clear" w:color="auto" w:fill="auto"/>
            <w:hideMark/>
          </w:tcPr>
          <w:p w14:paraId="3F36DDF4" w14:textId="77777777" w:rsidR="001F27D2" w:rsidRPr="00642347" w:rsidRDefault="001F27D2" w:rsidP="00642347">
            <w:pPr>
              <w:spacing w:beforeLines="30" w:before="72" w:afterLines="30" w:after="72"/>
              <w:rPr>
                <w:rFonts w:cs="Calibri"/>
                <w:color w:val="000000"/>
                <w:sz w:val="22"/>
                <w:szCs w:val="22"/>
              </w:rPr>
            </w:pPr>
            <w:r w:rsidRPr="00642347">
              <w:rPr>
                <w:rFonts w:cs="Calibri"/>
                <w:color w:val="000000"/>
                <w:sz w:val="22"/>
                <w:szCs w:val="22"/>
              </w:rPr>
              <w:t>Affordability 25% of income</w:t>
            </w:r>
          </w:p>
        </w:tc>
      </w:tr>
      <w:tr w:rsidR="001F27D2" w:rsidRPr="00642347" w14:paraId="26347783" w14:textId="77777777" w:rsidTr="001F27D2">
        <w:tc>
          <w:tcPr>
            <w:tcW w:w="1076" w:type="pct"/>
            <w:shd w:val="clear" w:color="auto" w:fill="auto"/>
            <w:noWrap/>
            <w:hideMark/>
          </w:tcPr>
          <w:p w14:paraId="5789ED2D" w14:textId="77777777" w:rsidR="001F27D2" w:rsidRPr="00642347" w:rsidRDefault="001F27D2" w:rsidP="00642347">
            <w:pPr>
              <w:spacing w:beforeLines="30" w:before="72" w:afterLines="30" w:after="72"/>
              <w:rPr>
                <w:rFonts w:cs="Calibri"/>
                <w:color w:val="000000"/>
                <w:sz w:val="22"/>
                <w:szCs w:val="22"/>
              </w:rPr>
            </w:pPr>
            <w:r w:rsidRPr="00642347">
              <w:rPr>
                <w:rFonts w:cs="Calibri"/>
                <w:color w:val="000000"/>
                <w:sz w:val="22"/>
                <w:szCs w:val="22"/>
              </w:rPr>
              <w:t>Market Rent – upper quartile</w:t>
            </w:r>
          </w:p>
        </w:tc>
        <w:tc>
          <w:tcPr>
            <w:tcW w:w="2679" w:type="pct"/>
            <w:shd w:val="clear" w:color="auto" w:fill="auto"/>
            <w:hideMark/>
          </w:tcPr>
          <w:p w14:paraId="615CAA5E" w14:textId="77777777" w:rsidR="001F27D2" w:rsidRPr="00642347" w:rsidRDefault="001F27D2" w:rsidP="00642347">
            <w:pPr>
              <w:spacing w:beforeLines="30" w:before="72" w:afterLines="30" w:after="72"/>
              <w:rPr>
                <w:rFonts w:cs="Calibri"/>
                <w:color w:val="000000"/>
                <w:sz w:val="22"/>
                <w:szCs w:val="22"/>
              </w:rPr>
            </w:pPr>
            <w:r w:rsidRPr="00642347">
              <w:rPr>
                <w:rFonts w:cs="Calibri"/>
                <w:color w:val="000000"/>
                <w:sz w:val="22"/>
                <w:szCs w:val="22"/>
              </w:rPr>
              <w:t>Prevailing prices</w:t>
            </w:r>
          </w:p>
        </w:tc>
        <w:tc>
          <w:tcPr>
            <w:tcW w:w="1245" w:type="pct"/>
            <w:shd w:val="clear" w:color="auto" w:fill="auto"/>
            <w:hideMark/>
          </w:tcPr>
          <w:p w14:paraId="3B00BBE1" w14:textId="77777777" w:rsidR="001F27D2" w:rsidRPr="00642347" w:rsidRDefault="001F27D2" w:rsidP="00642347">
            <w:pPr>
              <w:spacing w:beforeLines="30" w:before="72" w:afterLines="30" w:after="72"/>
              <w:rPr>
                <w:rFonts w:cs="Calibri"/>
                <w:color w:val="000000"/>
                <w:sz w:val="22"/>
                <w:szCs w:val="22"/>
              </w:rPr>
            </w:pPr>
            <w:r w:rsidRPr="00642347">
              <w:rPr>
                <w:rFonts w:cs="Calibri"/>
                <w:color w:val="000000"/>
                <w:sz w:val="22"/>
                <w:szCs w:val="22"/>
              </w:rPr>
              <w:t>Affordability 25% of income</w:t>
            </w:r>
          </w:p>
        </w:tc>
      </w:tr>
      <w:tr w:rsidR="001F27D2" w:rsidRPr="00642347" w14:paraId="0B6707E2" w14:textId="77777777" w:rsidTr="001F27D2">
        <w:tc>
          <w:tcPr>
            <w:tcW w:w="1076" w:type="pct"/>
            <w:shd w:val="clear" w:color="auto" w:fill="auto"/>
            <w:noWrap/>
            <w:hideMark/>
          </w:tcPr>
          <w:p w14:paraId="45D9AF16" w14:textId="77777777" w:rsidR="001F27D2" w:rsidRPr="00642347" w:rsidRDefault="001F27D2" w:rsidP="00642347">
            <w:pPr>
              <w:spacing w:beforeLines="30" w:before="72" w:afterLines="30" w:after="72"/>
              <w:rPr>
                <w:rFonts w:cs="Calibri"/>
                <w:color w:val="000000"/>
                <w:sz w:val="22"/>
                <w:szCs w:val="22"/>
              </w:rPr>
            </w:pPr>
            <w:r w:rsidRPr="00642347">
              <w:rPr>
                <w:rFonts w:cs="Calibri"/>
                <w:color w:val="000000"/>
                <w:sz w:val="22"/>
                <w:szCs w:val="22"/>
              </w:rPr>
              <w:t>Market Sale – lower quartile</w:t>
            </w:r>
          </w:p>
        </w:tc>
        <w:tc>
          <w:tcPr>
            <w:tcW w:w="2679" w:type="pct"/>
            <w:shd w:val="clear" w:color="auto" w:fill="auto"/>
            <w:hideMark/>
          </w:tcPr>
          <w:p w14:paraId="4B1EB84E" w14:textId="77777777" w:rsidR="001F27D2" w:rsidRPr="00642347" w:rsidRDefault="001F27D2" w:rsidP="00642347">
            <w:pPr>
              <w:spacing w:beforeLines="30" w:before="72" w:afterLines="30" w:after="72"/>
              <w:rPr>
                <w:rFonts w:cs="Calibri"/>
                <w:color w:val="000000"/>
                <w:sz w:val="22"/>
                <w:szCs w:val="22"/>
              </w:rPr>
            </w:pPr>
            <w:r w:rsidRPr="00642347">
              <w:rPr>
                <w:rFonts w:cs="Calibri"/>
                <w:color w:val="000000"/>
                <w:sz w:val="22"/>
                <w:szCs w:val="22"/>
              </w:rPr>
              <w:t>Prevailing prices</w:t>
            </w:r>
          </w:p>
        </w:tc>
        <w:tc>
          <w:tcPr>
            <w:tcW w:w="1245" w:type="pct"/>
            <w:shd w:val="clear" w:color="auto" w:fill="auto"/>
            <w:hideMark/>
          </w:tcPr>
          <w:p w14:paraId="749175F4" w14:textId="77777777" w:rsidR="001F27D2" w:rsidRPr="00642347" w:rsidRDefault="001F27D2" w:rsidP="00642347">
            <w:pPr>
              <w:spacing w:beforeLines="30" w:before="72" w:afterLines="30" w:after="72"/>
              <w:rPr>
                <w:rFonts w:cs="Calibri"/>
                <w:color w:val="000000"/>
                <w:sz w:val="22"/>
                <w:szCs w:val="22"/>
              </w:rPr>
            </w:pPr>
            <w:r w:rsidRPr="00642347">
              <w:rPr>
                <w:rFonts w:cs="Calibri"/>
                <w:color w:val="000000"/>
                <w:sz w:val="22"/>
                <w:szCs w:val="22"/>
              </w:rPr>
              <w:t>90% LTV,  3.5x income</w:t>
            </w:r>
          </w:p>
        </w:tc>
      </w:tr>
      <w:tr w:rsidR="001F27D2" w:rsidRPr="00642347" w14:paraId="63B0845E" w14:textId="77777777" w:rsidTr="001F27D2">
        <w:tc>
          <w:tcPr>
            <w:tcW w:w="1076" w:type="pct"/>
            <w:shd w:val="clear" w:color="auto" w:fill="auto"/>
            <w:noWrap/>
            <w:hideMark/>
          </w:tcPr>
          <w:p w14:paraId="0AA60E7F" w14:textId="77777777" w:rsidR="001F27D2" w:rsidRPr="00642347" w:rsidRDefault="001F27D2" w:rsidP="00642347">
            <w:pPr>
              <w:spacing w:beforeLines="30" w:before="72" w:afterLines="30" w:after="72"/>
              <w:rPr>
                <w:rFonts w:cs="Calibri"/>
                <w:color w:val="000000"/>
                <w:sz w:val="22"/>
                <w:szCs w:val="22"/>
              </w:rPr>
            </w:pPr>
            <w:r w:rsidRPr="00642347">
              <w:rPr>
                <w:rFonts w:cs="Calibri"/>
                <w:color w:val="000000"/>
                <w:sz w:val="22"/>
                <w:szCs w:val="22"/>
              </w:rPr>
              <w:t>Market Sale – median</w:t>
            </w:r>
          </w:p>
        </w:tc>
        <w:tc>
          <w:tcPr>
            <w:tcW w:w="2679" w:type="pct"/>
            <w:shd w:val="clear" w:color="auto" w:fill="auto"/>
            <w:hideMark/>
          </w:tcPr>
          <w:p w14:paraId="1F86C3C1" w14:textId="77777777" w:rsidR="001F27D2" w:rsidRPr="00642347" w:rsidRDefault="001F27D2" w:rsidP="00642347">
            <w:pPr>
              <w:spacing w:beforeLines="30" w:before="72" w:afterLines="30" w:after="72"/>
              <w:rPr>
                <w:rFonts w:cs="Calibri"/>
                <w:color w:val="000000"/>
                <w:sz w:val="22"/>
                <w:szCs w:val="22"/>
              </w:rPr>
            </w:pPr>
            <w:r w:rsidRPr="00642347">
              <w:rPr>
                <w:rFonts w:cs="Calibri"/>
                <w:color w:val="000000"/>
                <w:sz w:val="22"/>
                <w:szCs w:val="22"/>
              </w:rPr>
              <w:t>Prevailing prices</w:t>
            </w:r>
          </w:p>
        </w:tc>
        <w:tc>
          <w:tcPr>
            <w:tcW w:w="1245" w:type="pct"/>
            <w:shd w:val="clear" w:color="auto" w:fill="auto"/>
            <w:hideMark/>
          </w:tcPr>
          <w:p w14:paraId="10107DA3" w14:textId="77777777" w:rsidR="001F27D2" w:rsidRPr="00642347" w:rsidRDefault="001F27D2" w:rsidP="00642347">
            <w:pPr>
              <w:spacing w:beforeLines="30" w:before="72" w:afterLines="30" w:after="72"/>
              <w:rPr>
                <w:rFonts w:cs="Calibri"/>
                <w:color w:val="000000"/>
                <w:sz w:val="22"/>
                <w:szCs w:val="22"/>
              </w:rPr>
            </w:pPr>
            <w:r w:rsidRPr="00642347">
              <w:rPr>
                <w:rFonts w:cs="Calibri"/>
                <w:color w:val="000000"/>
                <w:sz w:val="22"/>
                <w:szCs w:val="22"/>
              </w:rPr>
              <w:t>90% LTV,  3.5x income</w:t>
            </w:r>
          </w:p>
        </w:tc>
      </w:tr>
      <w:tr w:rsidR="001F27D2" w:rsidRPr="00642347" w14:paraId="5ADF3400" w14:textId="77777777" w:rsidTr="001F27D2">
        <w:tc>
          <w:tcPr>
            <w:tcW w:w="1076" w:type="pct"/>
            <w:shd w:val="clear" w:color="auto" w:fill="auto"/>
            <w:noWrap/>
            <w:hideMark/>
          </w:tcPr>
          <w:p w14:paraId="05D30629" w14:textId="77777777" w:rsidR="001F27D2" w:rsidRPr="00642347" w:rsidRDefault="001F27D2" w:rsidP="00642347">
            <w:pPr>
              <w:spacing w:beforeLines="30" w:before="72" w:afterLines="30" w:after="72"/>
              <w:rPr>
                <w:rFonts w:cs="Calibri"/>
                <w:color w:val="000000"/>
                <w:sz w:val="22"/>
                <w:szCs w:val="22"/>
              </w:rPr>
            </w:pPr>
            <w:r w:rsidRPr="00642347">
              <w:rPr>
                <w:rFonts w:cs="Calibri"/>
                <w:color w:val="000000"/>
                <w:sz w:val="22"/>
                <w:szCs w:val="22"/>
              </w:rPr>
              <w:t>Market Sale – average</w:t>
            </w:r>
          </w:p>
        </w:tc>
        <w:tc>
          <w:tcPr>
            <w:tcW w:w="2679" w:type="pct"/>
            <w:shd w:val="clear" w:color="auto" w:fill="auto"/>
            <w:hideMark/>
          </w:tcPr>
          <w:p w14:paraId="0B9FF79D" w14:textId="77777777" w:rsidR="001F27D2" w:rsidRPr="00642347" w:rsidRDefault="001F27D2" w:rsidP="00642347">
            <w:pPr>
              <w:spacing w:beforeLines="30" w:before="72" w:afterLines="30" w:after="72"/>
              <w:rPr>
                <w:rFonts w:cs="Calibri"/>
                <w:color w:val="000000"/>
                <w:sz w:val="22"/>
                <w:szCs w:val="22"/>
              </w:rPr>
            </w:pPr>
            <w:r w:rsidRPr="00642347">
              <w:rPr>
                <w:rFonts w:cs="Calibri"/>
                <w:color w:val="000000"/>
                <w:sz w:val="22"/>
                <w:szCs w:val="22"/>
              </w:rPr>
              <w:t>Prevailing prices</w:t>
            </w:r>
          </w:p>
        </w:tc>
        <w:tc>
          <w:tcPr>
            <w:tcW w:w="1245" w:type="pct"/>
            <w:shd w:val="clear" w:color="auto" w:fill="auto"/>
            <w:hideMark/>
          </w:tcPr>
          <w:p w14:paraId="12EAF5AA" w14:textId="77777777" w:rsidR="001F27D2" w:rsidRPr="00642347" w:rsidRDefault="001F27D2" w:rsidP="00642347">
            <w:pPr>
              <w:spacing w:beforeLines="30" w:before="72" w:afterLines="30" w:after="72"/>
              <w:rPr>
                <w:rFonts w:cs="Calibri"/>
                <w:color w:val="000000"/>
                <w:sz w:val="22"/>
                <w:szCs w:val="22"/>
              </w:rPr>
            </w:pPr>
            <w:r w:rsidRPr="00642347">
              <w:rPr>
                <w:rFonts w:cs="Calibri"/>
                <w:color w:val="000000"/>
                <w:sz w:val="22"/>
                <w:szCs w:val="22"/>
              </w:rPr>
              <w:t>90% LTV,  3.5x income</w:t>
            </w:r>
          </w:p>
        </w:tc>
      </w:tr>
      <w:tr w:rsidR="001F27D2" w:rsidRPr="00642347" w14:paraId="2003F919" w14:textId="77777777" w:rsidTr="001F27D2">
        <w:tc>
          <w:tcPr>
            <w:tcW w:w="1076" w:type="pct"/>
            <w:shd w:val="clear" w:color="auto" w:fill="auto"/>
            <w:noWrap/>
            <w:hideMark/>
          </w:tcPr>
          <w:p w14:paraId="3FDADB83" w14:textId="77777777" w:rsidR="001F27D2" w:rsidRPr="00642347" w:rsidRDefault="001F27D2" w:rsidP="00642347">
            <w:pPr>
              <w:spacing w:beforeLines="30" w:before="72" w:afterLines="30" w:after="72"/>
              <w:rPr>
                <w:rFonts w:cs="Calibri"/>
                <w:color w:val="000000"/>
                <w:sz w:val="22"/>
                <w:szCs w:val="22"/>
              </w:rPr>
            </w:pPr>
            <w:r w:rsidRPr="00642347">
              <w:rPr>
                <w:rFonts w:cs="Calibri"/>
                <w:color w:val="000000"/>
                <w:sz w:val="22"/>
                <w:szCs w:val="22"/>
              </w:rPr>
              <w:t>Starter Home</w:t>
            </w:r>
          </w:p>
        </w:tc>
        <w:tc>
          <w:tcPr>
            <w:tcW w:w="2679" w:type="pct"/>
            <w:shd w:val="clear" w:color="auto" w:fill="auto"/>
            <w:hideMark/>
          </w:tcPr>
          <w:p w14:paraId="4A23FF90" w14:textId="77777777" w:rsidR="001F27D2" w:rsidRPr="00642347" w:rsidRDefault="001F27D2" w:rsidP="00642347">
            <w:pPr>
              <w:spacing w:beforeLines="30" w:before="72" w:afterLines="30" w:after="72"/>
              <w:rPr>
                <w:rFonts w:cs="Calibri"/>
                <w:color w:val="000000"/>
                <w:sz w:val="22"/>
                <w:szCs w:val="22"/>
              </w:rPr>
            </w:pPr>
            <w:r w:rsidRPr="00642347">
              <w:rPr>
                <w:rFonts w:cs="Calibri"/>
                <w:color w:val="000000"/>
                <w:sz w:val="22"/>
                <w:szCs w:val="22"/>
              </w:rPr>
              <w:t>20% discount on full value (assumed to be average), 10% deposit on discounted portion, remainder mortgage based on 3.5x income</w:t>
            </w:r>
          </w:p>
        </w:tc>
        <w:tc>
          <w:tcPr>
            <w:tcW w:w="1245" w:type="pct"/>
            <w:shd w:val="clear" w:color="auto" w:fill="auto"/>
            <w:hideMark/>
          </w:tcPr>
          <w:p w14:paraId="62102262" w14:textId="77777777" w:rsidR="001F27D2" w:rsidRPr="00642347" w:rsidRDefault="001F27D2" w:rsidP="00642347">
            <w:pPr>
              <w:spacing w:beforeLines="30" w:before="72" w:afterLines="30" w:after="72"/>
              <w:rPr>
                <w:rFonts w:cs="Calibri"/>
                <w:color w:val="000000"/>
                <w:sz w:val="22"/>
                <w:szCs w:val="22"/>
              </w:rPr>
            </w:pPr>
            <w:r w:rsidRPr="00642347">
              <w:rPr>
                <w:rFonts w:cs="Calibri"/>
                <w:color w:val="000000"/>
                <w:sz w:val="22"/>
                <w:szCs w:val="22"/>
              </w:rPr>
              <w:t>90% LTV,  3.5x income</w:t>
            </w:r>
          </w:p>
        </w:tc>
      </w:tr>
      <w:tr w:rsidR="001F27D2" w:rsidRPr="00642347" w14:paraId="0E369698" w14:textId="77777777" w:rsidTr="001F27D2">
        <w:tc>
          <w:tcPr>
            <w:tcW w:w="1076" w:type="pct"/>
            <w:shd w:val="clear" w:color="auto" w:fill="auto"/>
            <w:noWrap/>
            <w:hideMark/>
          </w:tcPr>
          <w:p w14:paraId="5377F259" w14:textId="77777777" w:rsidR="001F27D2" w:rsidRPr="00642347" w:rsidRDefault="001F27D2" w:rsidP="00642347">
            <w:pPr>
              <w:spacing w:beforeLines="30" w:before="72" w:afterLines="30" w:after="72"/>
              <w:rPr>
                <w:rFonts w:cs="Calibri"/>
                <w:color w:val="000000"/>
                <w:sz w:val="22"/>
                <w:szCs w:val="22"/>
              </w:rPr>
            </w:pPr>
            <w:r w:rsidRPr="00642347">
              <w:rPr>
                <w:rFonts w:cs="Calibri"/>
                <w:color w:val="000000"/>
                <w:sz w:val="22"/>
                <w:szCs w:val="22"/>
              </w:rPr>
              <w:t>Shared ownership (50%)</w:t>
            </w:r>
          </w:p>
        </w:tc>
        <w:tc>
          <w:tcPr>
            <w:tcW w:w="2679" w:type="pct"/>
            <w:shd w:val="clear" w:color="auto" w:fill="auto"/>
            <w:hideMark/>
          </w:tcPr>
          <w:p w14:paraId="3B991800" w14:textId="741EACE7" w:rsidR="001F27D2" w:rsidRPr="00642347" w:rsidRDefault="001F27D2" w:rsidP="00642347">
            <w:pPr>
              <w:spacing w:beforeLines="30" w:before="72" w:afterLines="30" w:after="72"/>
              <w:rPr>
                <w:rFonts w:cs="Calibri"/>
                <w:color w:val="000000"/>
                <w:sz w:val="22"/>
                <w:szCs w:val="22"/>
              </w:rPr>
            </w:pPr>
            <w:r w:rsidRPr="00642347">
              <w:rPr>
                <w:rFonts w:cs="Calibri"/>
                <w:color w:val="000000"/>
                <w:sz w:val="22"/>
                <w:szCs w:val="22"/>
              </w:rPr>
              <w:t>Total price based on median price and 50% ownership. Mortgage based on 40%. 10% deposit required, annual service change £395</w:t>
            </w:r>
            <w:r w:rsidR="00216BFB">
              <w:rPr>
                <w:rFonts w:cs="Calibri"/>
                <w:color w:val="000000"/>
                <w:sz w:val="22"/>
                <w:szCs w:val="22"/>
              </w:rPr>
              <w:t>.</w:t>
            </w:r>
            <w:r w:rsidRPr="00642347">
              <w:rPr>
                <w:rFonts w:cs="Calibri"/>
                <w:color w:val="000000"/>
                <w:sz w:val="22"/>
                <w:szCs w:val="22"/>
              </w:rPr>
              <w:t xml:space="preserve"> Annual rent based on 2.75% of remaining equity</w:t>
            </w:r>
          </w:p>
        </w:tc>
        <w:tc>
          <w:tcPr>
            <w:tcW w:w="1245" w:type="pct"/>
            <w:shd w:val="clear" w:color="auto" w:fill="auto"/>
            <w:hideMark/>
          </w:tcPr>
          <w:p w14:paraId="7B3A7F67" w14:textId="77777777" w:rsidR="001F27D2" w:rsidRPr="00642347" w:rsidRDefault="001F27D2" w:rsidP="00642347">
            <w:pPr>
              <w:spacing w:beforeLines="30" w:before="72" w:afterLines="30" w:after="72"/>
              <w:rPr>
                <w:rFonts w:cs="Calibri"/>
                <w:color w:val="000000"/>
                <w:sz w:val="22"/>
                <w:szCs w:val="22"/>
              </w:rPr>
            </w:pPr>
            <w:r w:rsidRPr="00642347">
              <w:rPr>
                <w:rFonts w:cs="Calibri"/>
                <w:color w:val="000000"/>
                <w:sz w:val="22"/>
                <w:szCs w:val="22"/>
              </w:rPr>
              <w:t>90% LTV,  3.5x income for equity and 25% of income for rental element</w:t>
            </w:r>
          </w:p>
        </w:tc>
      </w:tr>
      <w:tr w:rsidR="001F27D2" w:rsidRPr="00642347" w14:paraId="1A8C9211" w14:textId="77777777" w:rsidTr="001F27D2">
        <w:tc>
          <w:tcPr>
            <w:tcW w:w="1076" w:type="pct"/>
            <w:shd w:val="clear" w:color="auto" w:fill="auto"/>
            <w:noWrap/>
            <w:hideMark/>
          </w:tcPr>
          <w:p w14:paraId="5F3C0894" w14:textId="77777777" w:rsidR="001F27D2" w:rsidRPr="00642347" w:rsidRDefault="001F27D2" w:rsidP="00642347">
            <w:pPr>
              <w:spacing w:beforeLines="30" w:before="72" w:afterLines="30" w:after="72"/>
              <w:rPr>
                <w:rFonts w:cs="Calibri"/>
                <w:color w:val="000000"/>
                <w:sz w:val="22"/>
                <w:szCs w:val="22"/>
              </w:rPr>
            </w:pPr>
            <w:r w:rsidRPr="00642347">
              <w:rPr>
                <w:rFonts w:cs="Calibri"/>
                <w:color w:val="000000"/>
                <w:sz w:val="22"/>
                <w:szCs w:val="22"/>
              </w:rPr>
              <w:t>Shared ownership (25%)</w:t>
            </w:r>
          </w:p>
        </w:tc>
        <w:tc>
          <w:tcPr>
            <w:tcW w:w="2679" w:type="pct"/>
            <w:shd w:val="clear" w:color="auto" w:fill="auto"/>
            <w:hideMark/>
          </w:tcPr>
          <w:p w14:paraId="1D21FAEC" w14:textId="690AFC43" w:rsidR="001F27D2" w:rsidRPr="00642347" w:rsidRDefault="001F27D2" w:rsidP="00642347">
            <w:pPr>
              <w:spacing w:beforeLines="30" w:before="72" w:afterLines="30" w:after="72"/>
              <w:rPr>
                <w:rFonts w:cs="Calibri"/>
                <w:color w:val="000000"/>
                <w:sz w:val="22"/>
                <w:szCs w:val="22"/>
              </w:rPr>
            </w:pPr>
            <w:r w:rsidRPr="00642347">
              <w:rPr>
                <w:rFonts w:cs="Calibri"/>
                <w:color w:val="000000"/>
                <w:sz w:val="22"/>
                <w:szCs w:val="22"/>
              </w:rPr>
              <w:t>Total price based on median price and 25% ownership. Mortgage based on 20%. 5% deposit required, annual service change £395</w:t>
            </w:r>
            <w:r w:rsidR="00216BFB">
              <w:rPr>
                <w:rFonts w:cs="Calibri"/>
                <w:color w:val="000000"/>
                <w:sz w:val="22"/>
                <w:szCs w:val="22"/>
              </w:rPr>
              <w:t>.</w:t>
            </w:r>
            <w:r w:rsidRPr="00642347">
              <w:rPr>
                <w:rFonts w:cs="Calibri"/>
                <w:color w:val="000000"/>
                <w:sz w:val="22"/>
                <w:szCs w:val="22"/>
              </w:rPr>
              <w:t xml:space="preserve"> Annual rent based on 2.75% of remaining equity</w:t>
            </w:r>
          </w:p>
        </w:tc>
        <w:tc>
          <w:tcPr>
            <w:tcW w:w="1245" w:type="pct"/>
            <w:shd w:val="clear" w:color="auto" w:fill="auto"/>
            <w:hideMark/>
          </w:tcPr>
          <w:p w14:paraId="3BA3EB74" w14:textId="77777777" w:rsidR="001F27D2" w:rsidRPr="00642347" w:rsidRDefault="001F27D2" w:rsidP="00642347">
            <w:pPr>
              <w:spacing w:beforeLines="30" w:before="72" w:afterLines="30" w:after="72"/>
              <w:rPr>
                <w:rFonts w:cs="Calibri"/>
                <w:color w:val="000000"/>
                <w:sz w:val="22"/>
                <w:szCs w:val="22"/>
              </w:rPr>
            </w:pPr>
            <w:r w:rsidRPr="00642347">
              <w:rPr>
                <w:rFonts w:cs="Calibri"/>
                <w:color w:val="000000"/>
                <w:sz w:val="22"/>
                <w:szCs w:val="22"/>
              </w:rPr>
              <w:t>90% LTV,  3.5x income for equity and 25% of income for rental element</w:t>
            </w:r>
          </w:p>
        </w:tc>
      </w:tr>
      <w:tr w:rsidR="001F27D2" w:rsidRPr="00642347" w14:paraId="2F95B5B5" w14:textId="77777777" w:rsidTr="001F27D2">
        <w:tc>
          <w:tcPr>
            <w:tcW w:w="1076" w:type="pct"/>
            <w:shd w:val="clear" w:color="auto" w:fill="auto"/>
            <w:noWrap/>
            <w:hideMark/>
          </w:tcPr>
          <w:p w14:paraId="1DCC503F" w14:textId="77777777" w:rsidR="001F27D2" w:rsidRPr="00642347" w:rsidRDefault="001F27D2" w:rsidP="00642347">
            <w:pPr>
              <w:spacing w:beforeLines="30" w:before="72" w:afterLines="30" w:after="72"/>
              <w:rPr>
                <w:rFonts w:cs="Calibri"/>
                <w:color w:val="000000"/>
                <w:sz w:val="22"/>
                <w:szCs w:val="22"/>
              </w:rPr>
            </w:pPr>
            <w:r w:rsidRPr="00642347">
              <w:rPr>
                <w:rFonts w:cs="Calibri"/>
                <w:color w:val="000000"/>
                <w:sz w:val="22"/>
                <w:szCs w:val="22"/>
              </w:rPr>
              <w:t>Help to buy</w:t>
            </w:r>
          </w:p>
        </w:tc>
        <w:tc>
          <w:tcPr>
            <w:tcW w:w="2679" w:type="pct"/>
            <w:shd w:val="clear" w:color="auto" w:fill="auto"/>
            <w:hideMark/>
          </w:tcPr>
          <w:p w14:paraId="422F51F6" w14:textId="77777777" w:rsidR="001F27D2" w:rsidRPr="00642347" w:rsidRDefault="001F27D2" w:rsidP="00642347">
            <w:pPr>
              <w:spacing w:beforeLines="30" w:before="72" w:afterLines="30" w:after="72"/>
              <w:rPr>
                <w:rFonts w:cs="Calibri"/>
                <w:color w:val="000000"/>
                <w:sz w:val="22"/>
                <w:szCs w:val="22"/>
              </w:rPr>
            </w:pPr>
            <w:r w:rsidRPr="00642347">
              <w:rPr>
                <w:rFonts w:cs="Calibri"/>
                <w:color w:val="000000"/>
                <w:sz w:val="22"/>
                <w:szCs w:val="22"/>
              </w:rPr>
              <w:t>Total price based on median price. Mortgage based on 75% equity. 20% loan and deposit of 5%. Loan fee of 1.75% in year 6 of outstanding equity loan increasing annually from yr7 at RPI+1%</w:t>
            </w:r>
          </w:p>
        </w:tc>
        <w:tc>
          <w:tcPr>
            <w:tcW w:w="1245" w:type="pct"/>
            <w:shd w:val="clear" w:color="auto" w:fill="auto"/>
            <w:hideMark/>
          </w:tcPr>
          <w:p w14:paraId="2C681260" w14:textId="77777777" w:rsidR="001F27D2" w:rsidRPr="00642347" w:rsidRDefault="001F27D2" w:rsidP="00642347">
            <w:pPr>
              <w:spacing w:beforeLines="30" w:before="72" w:afterLines="30" w:after="72"/>
              <w:rPr>
                <w:rFonts w:cs="Calibri"/>
                <w:color w:val="000000"/>
                <w:sz w:val="22"/>
                <w:szCs w:val="22"/>
              </w:rPr>
            </w:pPr>
            <w:r w:rsidRPr="00642347">
              <w:rPr>
                <w:rFonts w:cs="Calibri"/>
                <w:color w:val="000000"/>
                <w:sz w:val="22"/>
                <w:szCs w:val="22"/>
              </w:rPr>
              <w:t>70% LTV,  3.5x income</w:t>
            </w:r>
          </w:p>
        </w:tc>
      </w:tr>
      <w:tr w:rsidR="007D2E66" w:rsidRPr="00642347" w14:paraId="29B48FEC" w14:textId="77777777" w:rsidTr="001F27D2">
        <w:tc>
          <w:tcPr>
            <w:tcW w:w="1076" w:type="pct"/>
            <w:shd w:val="clear" w:color="auto" w:fill="auto"/>
            <w:noWrap/>
          </w:tcPr>
          <w:p w14:paraId="147E178F" w14:textId="42859553" w:rsidR="007D2E66" w:rsidRPr="00642347" w:rsidRDefault="007D2E66" w:rsidP="007D2E66">
            <w:pPr>
              <w:spacing w:beforeLines="30" w:before="72" w:afterLines="30" w:after="72"/>
              <w:rPr>
                <w:rFonts w:cs="Calibri"/>
                <w:color w:val="000000"/>
                <w:sz w:val="22"/>
                <w:szCs w:val="22"/>
              </w:rPr>
            </w:pPr>
            <w:r>
              <w:rPr>
                <w:rFonts w:cs="Calibri"/>
                <w:color w:val="000000"/>
                <w:sz w:val="22"/>
                <w:szCs w:val="22"/>
              </w:rPr>
              <w:t xml:space="preserve">Discounted </w:t>
            </w:r>
            <w:r w:rsidR="0030287C">
              <w:rPr>
                <w:rFonts w:cs="Calibri"/>
                <w:color w:val="000000"/>
                <w:sz w:val="22"/>
                <w:szCs w:val="22"/>
              </w:rPr>
              <w:t>Sale</w:t>
            </w:r>
          </w:p>
        </w:tc>
        <w:tc>
          <w:tcPr>
            <w:tcW w:w="2679" w:type="pct"/>
            <w:shd w:val="clear" w:color="auto" w:fill="auto"/>
          </w:tcPr>
          <w:p w14:paraId="445A73E2" w14:textId="0E34B47A" w:rsidR="007D2E66" w:rsidRPr="00642347" w:rsidRDefault="007D2E66" w:rsidP="007D2E66">
            <w:pPr>
              <w:spacing w:beforeLines="30" w:before="72" w:afterLines="30" w:after="72"/>
              <w:rPr>
                <w:rFonts w:cs="Calibri"/>
                <w:color w:val="000000"/>
                <w:sz w:val="22"/>
                <w:szCs w:val="22"/>
              </w:rPr>
            </w:pPr>
            <w:r w:rsidRPr="00642347">
              <w:rPr>
                <w:rFonts w:cs="Calibri"/>
                <w:color w:val="000000"/>
                <w:sz w:val="22"/>
                <w:szCs w:val="22"/>
              </w:rPr>
              <w:t xml:space="preserve">Total price based on </w:t>
            </w:r>
            <w:r>
              <w:rPr>
                <w:rFonts w:cs="Calibri"/>
                <w:color w:val="000000"/>
                <w:sz w:val="22"/>
                <w:szCs w:val="22"/>
              </w:rPr>
              <w:t>average</w:t>
            </w:r>
            <w:r w:rsidRPr="00642347">
              <w:rPr>
                <w:rFonts w:cs="Calibri"/>
                <w:color w:val="000000"/>
                <w:sz w:val="22"/>
                <w:szCs w:val="22"/>
              </w:rPr>
              <w:t xml:space="preserve"> price. Mortgage based on</w:t>
            </w:r>
            <w:r>
              <w:rPr>
                <w:rFonts w:cs="Calibri"/>
                <w:color w:val="000000"/>
                <w:sz w:val="22"/>
                <w:szCs w:val="22"/>
              </w:rPr>
              <w:t xml:space="preserve"> 60</w:t>
            </w:r>
            <w:r w:rsidRPr="00642347">
              <w:rPr>
                <w:rFonts w:cs="Calibri"/>
                <w:color w:val="000000"/>
                <w:sz w:val="22"/>
                <w:szCs w:val="22"/>
              </w:rPr>
              <w:t>% equity</w:t>
            </w:r>
            <w:r>
              <w:rPr>
                <w:rFonts w:cs="Calibri"/>
                <w:color w:val="000000"/>
                <w:sz w:val="22"/>
                <w:szCs w:val="22"/>
              </w:rPr>
              <w:t xml:space="preserve"> and 5% deposit</w:t>
            </w:r>
          </w:p>
        </w:tc>
        <w:tc>
          <w:tcPr>
            <w:tcW w:w="1245" w:type="pct"/>
            <w:shd w:val="clear" w:color="auto" w:fill="auto"/>
          </w:tcPr>
          <w:p w14:paraId="5D1C8203" w14:textId="5283A0D0" w:rsidR="007D2E66" w:rsidRPr="00642347" w:rsidRDefault="0030287C" w:rsidP="007D2E66">
            <w:pPr>
              <w:spacing w:beforeLines="30" w:before="72" w:afterLines="30" w:after="72"/>
              <w:rPr>
                <w:rFonts w:cs="Calibri"/>
                <w:color w:val="000000"/>
                <w:sz w:val="22"/>
                <w:szCs w:val="22"/>
              </w:rPr>
            </w:pPr>
            <w:r>
              <w:rPr>
                <w:rFonts w:cs="Calibri"/>
                <w:color w:val="000000"/>
                <w:sz w:val="22"/>
                <w:szCs w:val="22"/>
              </w:rPr>
              <w:t>55% LTV, 3.5x income</w:t>
            </w:r>
          </w:p>
        </w:tc>
      </w:tr>
    </w:tbl>
    <w:p w14:paraId="1D68A983" w14:textId="77777777" w:rsidR="001F27D2" w:rsidRPr="002B2A7F" w:rsidRDefault="001F27D2" w:rsidP="001F27D2">
      <w:pPr>
        <w:pStyle w:val="Reporttext"/>
        <w:numPr>
          <w:ilvl w:val="0"/>
          <w:numId w:val="0"/>
        </w:numPr>
      </w:pPr>
    </w:p>
    <w:p w14:paraId="533BC860" w14:textId="77777777" w:rsidR="001F27D2" w:rsidRPr="002B2A7F" w:rsidRDefault="001F27D2" w:rsidP="001F27D2">
      <w:pPr>
        <w:pStyle w:val="Reporttext"/>
        <w:numPr>
          <w:ilvl w:val="0"/>
          <w:numId w:val="0"/>
        </w:numPr>
        <w:sectPr w:rsidR="001F27D2" w:rsidRPr="002B2A7F" w:rsidSect="002B41F6">
          <w:headerReference w:type="default" r:id="rId28"/>
          <w:footerReference w:type="default" r:id="rId29"/>
          <w:pgSz w:w="16838" w:h="11906" w:orient="landscape"/>
          <w:pgMar w:top="1440" w:right="1276" w:bottom="1134" w:left="1440" w:header="708" w:footer="708" w:gutter="0"/>
          <w:cols w:space="708"/>
          <w:docGrid w:linePitch="360"/>
        </w:sectPr>
      </w:pPr>
    </w:p>
    <w:p w14:paraId="3782F726" w14:textId="3D395638" w:rsidR="001F27D2" w:rsidRDefault="001F27D2" w:rsidP="001F27D2">
      <w:pPr>
        <w:pStyle w:val="Reporttext"/>
      </w:pPr>
      <w:r w:rsidRPr="002B2A7F">
        <w:lastRenderedPageBreak/>
        <w:t xml:space="preserve">Table </w:t>
      </w:r>
      <w:r>
        <w:t>3</w:t>
      </w:r>
      <w:r w:rsidRPr="002B2A7F">
        <w:t>.7 below states the income required for each tenure option across Eden District as a whole.</w:t>
      </w:r>
    </w:p>
    <w:p w14:paraId="5BAD6E8B" w14:textId="77777777" w:rsidR="00642347" w:rsidRPr="006713C4" w:rsidRDefault="00642347" w:rsidP="003106AD"/>
    <w:tbl>
      <w:tblPr>
        <w:tblW w:w="8602" w:type="dxa"/>
        <w:tblInd w:w="720"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6460"/>
        <w:gridCol w:w="2142"/>
      </w:tblGrid>
      <w:tr w:rsidR="001F27D2" w:rsidRPr="00642347" w14:paraId="7094BD0D" w14:textId="77777777" w:rsidTr="001F27D2">
        <w:tc>
          <w:tcPr>
            <w:tcW w:w="8602" w:type="dxa"/>
            <w:gridSpan w:val="2"/>
            <w:shd w:val="clear" w:color="000000" w:fill="008080"/>
            <w:noWrap/>
            <w:vAlign w:val="bottom"/>
            <w:hideMark/>
          </w:tcPr>
          <w:p w14:paraId="3DA7FCA9" w14:textId="021BD75D" w:rsidR="001F27D2" w:rsidRPr="00642347" w:rsidRDefault="001F27D2" w:rsidP="006713C4">
            <w:pPr>
              <w:pStyle w:val="Tableheading1"/>
              <w:spacing w:before="0" w:after="0"/>
            </w:pPr>
            <w:bookmarkStart w:id="261" w:name="_Toc531122934"/>
            <w:bookmarkStart w:id="262" w:name="_Toc532812471"/>
            <w:r w:rsidRPr="00642347">
              <w:t>Table 3.7</w:t>
            </w:r>
            <w:r w:rsidRPr="00642347">
              <w:tab/>
            </w:r>
            <w:r w:rsidR="0002639A">
              <w:t>I</w:t>
            </w:r>
            <w:r w:rsidRPr="00642347">
              <w:t>ncome required to fund each tenure option</w:t>
            </w:r>
            <w:bookmarkEnd w:id="261"/>
            <w:bookmarkEnd w:id="262"/>
          </w:p>
        </w:tc>
      </w:tr>
      <w:tr w:rsidR="001F27D2" w:rsidRPr="00642347" w14:paraId="5E7693FB" w14:textId="77777777" w:rsidTr="001F27D2">
        <w:tc>
          <w:tcPr>
            <w:tcW w:w="6460" w:type="dxa"/>
            <w:shd w:val="clear" w:color="000000" w:fill="008080"/>
            <w:noWrap/>
            <w:vAlign w:val="bottom"/>
            <w:hideMark/>
          </w:tcPr>
          <w:p w14:paraId="15259DE0" w14:textId="77777777" w:rsidR="001F27D2" w:rsidRPr="00642347" w:rsidRDefault="001F27D2" w:rsidP="00642347">
            <w:pPr>
              <w:spacing w:before="0" w:after="0"/>
              <w:rPr>
                <w:rFonts w:cs="Calibri"/>
                <w:b/>
                <w:bCs/>
                <w:color w:val="FFFFFF"/>
                <w:sz w:val="22"/>
                <w:szCs w:val="22"/>
              </w:rPr>
            </w:pPr>
            <w:r w:rsidRPr="00642347">
              <w:rPr>
                <w:rFonts w:cs="Calibri"/>
                <w:b/>
                <w:bCs/>
                <w:color w:val="FFFFFF"/>
                <w:sz w:val="22"/>
                <w:szCs w:val="22"/>
              </w:rPr>
              <w:t>Tenure</w:t>
            </w:r>
          </w:p>
        </w:tc>
        <w:tc>
          <w:tcPr>
            <w:tcW w:w="2142" w:type="dxa"/>
            <w:shd w:val="clear" w:color="000000" w:fill="008080"/>
            <w:vAlign w:val="bottom"/>
            <w:hideMark/>
          </w:tcPr>
          <w:p w14:paraId="5F26617B" w14:textId="77777777" w:rsidR="001F27D2" w:rsidRPr="00642347" w:rsidRDefault="001F27D2" w:rsidP="00642347">
            <w:pPr>
              <w:spacing w:before="0" w:after="0"/>
              <w:jc w:val="center"/>
              <w:rPr>
                <w:rFonts w:cs="Calibri"/>
                <w:b/>
                <w:color w:val="FFFFFF"/>
                <w:sz w:val="22"/>
                <w:szCs w:val="22"/>
              </w:rPr>
            </w:pPr>
            <w:r w:rsidRPr="00642347">
              <w:rPr>
                <w:rFonts w:cs="Calibri"/>
                <w:b/>
                <w:color w:val="FFFFFF"/>
                <w:sz w:val="22"/>
                <w:szCs w:val="22"/>
              </w:rPr>
              <w:t>Income Required</w:t>
            </w:r>
          </w:p>
        </w:tc>
      </w:tr>
      <w:tr w:rsidR="001F27D2" w:rsidRPr="00642347" w14:paraId="18C8FE5B" w14:textId="77777777" w:rsidTr="001F27D2">
        <w:tc>
          <w:tcPr>
            <w:tcW w:w="6460" w:type="dxa"/>
            <w:shd w:val="clear" w:color="auto" w:fill="auto"/>
            <w:noWrap/>
            <w:vAlign w:val="bottom"/>
            <w:hideMark/>
          </w:tcPr>
          <w:p w14:paraId="0617FE65" w14:textId="77777777" w:rsidR="001F27D2" w:rsidRPr="00642347" w:rsidRDefault="001F27D2" w:rsidP="00642347">
            <w:pPr>
              <w:spacing w:before="0" w:after="0"/>
              <w:rPr>
                <w:rFonts w:cs="Calibri"/>
                <w:sz w:val="22"/>
                <w:szCs w:val="22"/>
              </w:rPr>
            </w:pPr>
            <w:r w:rsidRPr="00642347">
              <w:rPr>
                <w:rFonts w:cs="Calibri"/>
                <w:sz w:val="22"/>
                <w:szCs w:val="22"/>
              </w:rPr>
              <w:t xml:space="preserve">Social Rent </w:t>
            </w:r>
          </w:p>
        </w:tc>
        <w:tc>
          <w:tcPr>
            <w:tcW w:w="2142" w:type="dxa"/>
            <w:shd w:val="clear" w:color="auto" w:fill="auto"/>
            <w:noWrap/>
            <w:vAlign w:val="bottom"/>
            <w:hideMark/>
          </w:tcPr>
          <w:p w14:paraId="618725FB" w14:textId="77777777" w:rsidR="001F27D2" w:rsidRPr="00642347" w:rsidRDefault="001F27D2" w:rsidP="00642347">
            <w:pPr>
              <w:spacing w:before="0" w:after="0"/>
              <w:jc w:val="center"/>
              <w:rPr>
                <w:rFonts w:cs="Calibri"/>
                <w:sz w:val="22"/>
                <w:szCs w:val="22"/>
              </w:rPr>
            </w:pPr>
            <w:r w:rsidRPr="00642347">
              <w:rPr>
                <w:rFonts w:cs="Calibri"/>
                <w:sz w:val="22"/>
                <w:szCs w:val="22"/>
              </w:rPr>
              <w:t>£20,205</w:t>
            </w:r>
          </w:p>
        </w:tc>
      </w:tr>
      <w:tr w:rsidR="001F27D2" w:rsidRPr="00642347" w14:paraId="2325D038" w14:textId="77777777" w:rsidTr="001F27D2">
        <w:tc>
          <w:tcPr>
            <w:tcW w:w="6460" w:type="dxa"/>
            <w:shd w:val="clear" w:color="auto" w:fill="auto"/>
            <w:noWrap/>
            <w:vAlign w:val="bottom"/>
            <w:hideMark/>
          </w:tcPr>
          <w:p w14:paraId="71D2994F" w14:textId="6C282DD0" w:rsidR="001F27D2" w:rsidRPr="00642347" w:rsidRDefault="001F27D2" w:rsidP="00642347">
            <w:pPr>
              <w:spacing w:before="0" w:after="0"/>
              <w:rPr>
                <w:rFonts w:cs="Calibri"/>
                <w:sz w:val="22"/>
                <w:szCs w:val="22"/>
              </w:rPr>
            </w:pPr>
            <w:r w:rsidRPr="00642347">
              <w:rPr>
                <w:rFonts w:cs="Calibri"/>
                <w:sz w:val="22"/>
                <w:szCs w:val="22"/>
              </w:rPr>
              <w:t xml:space="preserve">Affordable Rent </w:t>
            </w:r>
          </w:p>
        </w:tc>
        <w:tc>
          <w:tcPr>
            <w:tcW w:w="2142" w:type="dxa"/>
            <w:shd w:val="clear" w:color="auto" w:fill="auto"/>
            <w:noWrap/>
            <w:vAlign w:val="bottom"/>
            <w:hideMark/>
          </w:tcPr>
          <w:p w14:paraId="37506B01" w14:textId="54E72B64" w:rsidR="001F27D2" w:rsidRPr="00642347" w:rsidRDefault="001F27D2" w:rsidP="00642347">
            <w:pPr>
              <w:spacing w:before="0" w:after="0"/>
              <w:jc w:val="center"/>
              <w:rPr>
                <w:rFonts w:cs="Calibri"/>
                <w:sz w:val="22"/>
                <w:szCs w:val="22"/>
              </w:rPr>
            </w:pPr>
            <w:r w:rsidRPr="00642347">
              <w:rPr>
                <w:rFonts w:cs="Calibri"/>
                <w:sz w:val="22"/>
                <w:szCs w:val="22"/>
              </w:rPr>
              <w:t>£</w:t>
            </w:r>
            <w:r w:rsidR="0002639A">
              <w:rPr>
                <w:rFonts w:cs="Calibri"/>
                <w:sz w:val="22"/>
                <w:szCs w:val="22"/>
              </w:rPr>
              <w:t>21,120</w:t>
            </w:r>
          </w:p>
        </w:tc>
      </w:tr>
      <w:tr w:rsidR="001F27D2" w:rsidRPr="00642347" w14:paraId="70888F23" w14:textId="77777777" w:rsidTr="001F27D2">
        <w:tc>
          <w:tcPr>
            <w:tcW w:w="6460" w:type="dxa"/>
            <w:shd w:val="clear" w:color="auto" w:fill="auto"/>
            <w:noWrap/>
            <w:vAlign w:val="bottom"/>
            <w:hideMark/>
          </w:tcPr>
          <w:p w14:paraId="7CB1B96D" w14:textId="77777777" w:rsidR="001F27D2" w:rsidRPr="00642347" w:rsidRDefault="001F27D2" w:rsidP="00642347">
            <w:pPr>
              <w:spacing w:before="0" w:after="0"/>
              <w:rPr>
                <w:rFonts w:cs="Calibri"/>
                <w:sz w:val="22"/>
                <w:szCs w:val="22"/>
              </w:rPr>
            </w:pPr>
            <w:r w:rsidRPr="00642347">
              <w:rPr>
                <w:rFonts w:cs="Calibri"/>
                <w:sz w:val="22"/>
                <w:szCs w:val="22"/>
              </w:rPr>
              <w:t>Market Rent - Lower Quartile</w:t>
            </w:r>
          </w:p>
        </w:tc>
        <w:tc>
          <w:tcPr>
            <w:tcW w:w="2142" w:type="dxa"/>
            <w:shd w:val="clear" w:color="auto" w:fill="auto"/>
            <w:noWrap/>
            <w:vAlign w:val="bottom"/>
            <w:hideMark/>
          </w:tcPr>
          <w:p w14:paraId="49237692" w14:textId="77777777" w:rsidR="001F27D2" w:rsidRPr="00642347" w:rsidRDefault="001F27D2" w:rsidP="00642347">
            <w:pPr>
              <w:spacing w:before="0" w:after="0"/>
              <w:jc w:val="center"/>
              <w:rPr>
                <w:rFonts w:cs="Calibri"/>
                <w:sz w:val="22"/>
                <w:szCs w:val="22"/>
              </w:rPr>
            </w:pPr>
            <w:r w:rsidRPr="00642347">
              <w:rPr>
                <w:rFonts w:cs="Calibri"/>
                <w:color w:val="000000"/>
                <w:sz w:val="22"/>
                <w:szCs w:val="22"/>
              </w:rPr>
              <w:t>£22,896</w:t>
            </w:r>
          </w:p>
        </w:tc>
      </w:tr>
      <w:tr w:rsidR="001F27D2" w:rsidRPr="00642347" w14:paraId="20FA45A3" w14:textId="77777777" w:rsidTr="001F27D2">
        <w:tc>
          <w:tcPr>
            <w:tcW w:w="6460" w:type="dxa"/>
            <w:shd w:val="clear" w:color="auto" w:fill="auto"/>
            <w:noWrap/>
            <w:vAlign w:val="bottom"/>
            <w:hideMark/>
          </w:tcPr>
          <w:p w14:paraId="41E81239" w14:textId="77777777" w:rsidR="001F27D2" w:rsidRPr="00642347" w:rsidRDefault="001F27D2" w:rsidP="00642347">
            <w:pPr>
              <w:spacing w:before="0" w:after="0"/>
              <w:rPr>
                <w:rFonts w:cs="Calibri"/>
                <w:sz w:val="22"/>
                <w:szCs w:val="22"/>
              </w:rPr>
            </w:pPr>
            <w:r w:rsidRPr="00642347">
              <w:rPr>
                <w:rFonts w:cs="Calibri"/>
                <w:sz w:val="22"/>
                <w:szCs w:val="22"/>
              </w:rPr>
              <w:t>Market Rent - Median</w:t>
            </w:r>
          </w:p>
        </w:tc>
        <w:tc>
          <w:tcPr>
            <w:tcW w:w="2142" w:type="dxa"/>
            <w:shd w:val="clear" w:color="auto" w:fill="auto"/>
            <w:noWrap/>
            <w:vAlign w:val="bottom"/>
            <w:hideMark/>
          </w:tcPr>
          <w:p w14:paraId="7F0FECBF" w14:textId="77777777" w:rsidR="001F27D2" w:rsidRPr="00642347" w:rsidRDefault="001F27D2" w:rsidP="00642347">
            <w:pPr>
              <w:spacing w:before="0" w:after="0"/>
              <w:jc w:val="center"/>
              <w:rPr>
                <w:rFonts w:cs="Calibri"/>
                <w:sz w:val="22"/>
                <w:szCs w:val="22"/>
              </w:rPr>
            </w:pPr>
            <w:r w:rsidRPr="00642347">
              <w:rPr>
                <w:rFonts w:cs="Calibri"/>
                <w:color w:val="000000"/>
                <w:sz w:val="22"/>
                <w:szCs w:val="22"/>
              </w:rPr>
              <w:t>£26,400</w:t>
            </w:r>
          </w:p>
        </w:tc>
      </w:tr>
      <w:tr w:rsidR="001F27D2" w:rsidRPr="00642347" w14:paraId="3A4905EC" w14:textId="77777777" w:rsidTr="001F27D2">
        <w:tc>
          <w:tcPr>
            <w:tcW w:w="6460" w:type="dxa"/>
            <w:shd w:val="clear" w:color="auto" w:fill="auto"/>
            <w:noWrap/>
            <w:vAlign w:val="bottom"/>
          </w:tcPr>
          <w:p w14:paraId="3C4E4792" w14:textId="77777777" w:rsidR="001F27D2" w:rsidRPr="00642347" w:rsidRDefault="001F27D2" w:rsidP="00642347">
            <w:pPr>
              <w:spacing w:before="0" w:after="0"/>
              <w:rPr>
                <w:rFonts w:cs="Calibri"/>
                <w:sz w:val="22"/>
                <w:szCs w:val="22"/>
              </w:rPr>
            </w:pPr>
            <w:r w:rsidRPr="00642347">
              <w:rPr>
                <w:rFonts w:cs="Calibri"/>
                <w:sz w:val="22"/>
                <w:szCs w:val="22"/>
              </w:rPr>
              <w:t>Market Sale - Lower Quartile (assumes 10% deposit)</w:t>
            </w:r>
          </w:p>
        </w:tc>
        <w:tc>
          <w:tcPr>
            <w:tcW w:w="2142" w:type="dxa"/>
            <w:shd w:val="clear" w:color="auto" w:fill="auto"/>
            <w:noWrap/>
            <w:vAlign w:val="bottom"/>
          </w:tcPr>
          <w:p w14:paraId="221C7F36" w14:textId="77777777" w:rsidR="001F27D2" w:rsidRPr="00642347" w:rsidRDefault="001F27D2" w:rsidP="00642347">
            <w:pPr>
              <w:spacing w:before="0" w:after="0"/>
              <w:jc w:val="center"/>
              <w:rPr>
                <w:rFonts w:cs="Calibri"/>
                <w:sz w:val="22"/>
                <w:szCs w:val="22"/>
              </w:rPr>
            </w:pPr>
            <w:r w:rsidRPr="00642347">
              <w:rPr>
                <w:rFonts w:cs="Calibri"/>
                <w:sz w:val="22"/>
                <w:szCs w:val="22"/>
              </w:rPr>
              <w:t>£34,714</w:t>
            </w:r>
          </w:p>
        </w:tc>
      </w:tr>
      <w:tr w:rsidR="001F27D2" w:rsidRPr="00642347" w14:paraId="6A30428C" w14:textId="77777777" w:rsidTr="001F27D2">
        <w:tc>
          <w:tcPr>
            <w:tcW w:w="6460" w:type="dxa"/>
            <w:shd w:val="clear" w:color="000000" w:fill="FFFFFF"/>
            <w:noWrap/>
            <w:vAlign w:val="bottom"/>
          </w:tcPr>
          <w:p w14:paraId="1E74F744" w14:textId="77777777" w:rsidR="001F27D2" w:rsidRPr="00642347" w:rsidRDefault="001F27D2" w:rsidP="00642347">
            <w:pPr>
              <w:spacing w:before="0" w:after="0"/>
              <w:rPr>
                <w:rFonts w:cs="Calibri"/>
                <w:sz w:val="22"/>
                <w:szCs w:val="22"/>
              </w:rPr>
            </w:pPr>
            <w:r w:rsidRPr="00642347">
              <w:rPr>
                <w:rFonts w:cs="Calibri"/>
                <w:color w:val="000000"/>
                <w:sz w:val="22"/>
                <w:szCs w:val="22"/>
              </w:rPr>
              <w:t>Market Sale - Median (assumes 10% deposit)</w:t>
            </w:r>
          </w:p>
        </w:tc>
        <w:tc>
          <w:tcPr>
            <w:tcW w:w="2142" w:type="dxa"/>
            <w:shd w:val="clear" w:color="000000" w:fill="FFFFFF"/>
            <w:noWrap/>
            <w:vAlign w:val="bottom"/>
          </w:tcPr>
          <w:p w14:paraId="083EBEF4" w14:textId="77777777" w:rsidR="001F27D2" w:rsidRPr="00642347" w:rsidRDefault="001F27D2" w:rsidP="00642347">
            <w:pPr>
              <w:spacing w:before="0" w:after="0"/>
              <w:jc w:val="center"/>
              <w:rPr>
                <w:rFonts w:cs="Calibri"/>
                <w:sz w:val="22"/>
                <w:szCs w:val="22"/>
              </w:rPr>
            </w:pPr>
            <w:r w:rsidRPr="00642347">
              <w:rPr>
                <w:rFonts w:cs="Calibri"/>
                <w:sz w:val="22"/>
                <w:szCs w:val="22"/>
              </w:rPr>
              <w:t>£47,379</w:t>
            </w:r>
          </w:p>
        </w:tc>
      </w:tr>
      <w:tr w:rsidR="001F27D2" w:rsidRPr="00642347" w14:paraId="54A479B5" w14:textId="77777777" w:rsidTr="001F27D2">
        <w:tc>
          <w:tcPr>
            <w:tcW w:w="6460" w:type="dxa"/>
            <w:shd w:val="clear" w:color="auto" w:fill="auto"/>
            <w:noWrap/>
            <w:vAlign w:val="bottom"/>
          </w:tcPr>
          <w:p w14:paraId="5875DFA2" w14:textId="77777777" w:rsidR="001F27D2" w:rsidRPr="000E031F" w:rsidRDefault="001F27D2" w:rsidP="00642347">
            <w:pPr>
              <w:spacing w:before="0" w:after="0"/>
              <w:rPr>
                <w:rFonts w:cs="Calibri"/>
                <w:color w:val="000000"/>
                <w:sz w:val="22"/>
                <w:szCs w:val="22"/>
                <w:lang w:val="fr-FR"/>
              </w:rPr>
            </w:pPr>
            <w:r w:rsidRPr="000E031F">
              <w:rPr>
                <w:rFonts w:cs="Calibri"/>
                <w:color w:val="000000"/>
                <w:sz w:val="22"/>
                <w:szCs w:val="22"/>
                <w:lang w:val="fr-FR"/>
              </w:rPr>
              <w:t>Market Sale - Average (assumes 10% deposit)</w:t>
            </w:r>
          </w:p>
        </w:tc>
        <w:tc>
          <w:tcPr>
            <w:tcW w:w="2142" w:type="dxa"/>
            <w:shd w:val="clear" w:color="auto" w:fill="auto"/>
            <w:noWrap/>
            <w:vAlign w:val="bottom"/>
          </w:tcPr>
          <w:p w14:paraId="3D111D79" w14:textId="77777777" w:rsidR="001F27D2" w:rsidRPr="00642347" w:rsidRDefault="001F27D2" w:rsidP="00642347">
            <w:pPr>
              <w:spacing w:before="0" w:after="0"/>
              <w:jc w:val="center"/>
              <w:rPr>
                <w:rFonts w:cs="Calibri"/>
                <w:color w:val="000000"/>
                <w:sz w:val="22"/>
                <w:szCs w:val="22"/>
              </w:rPr>
            </w:pPr>
            <w:r w:rsidRPr="00642347">
              <w:rPr>
                <w:rFonts w:cs="Calibri"/>
                <w:sz w:val="22"/>
                <w:szCs w:val="22"/>
              </w:rPr>
              <w:t>£55,424</w:t>
            </w:r>
          </w:p>
        </w:tc>
      </w:tr>
      <w:tr w:rsidR="001F27D2" w:rsidRPr="00642347" w14:paraId="2128D594" w14:textId="77777777" w:rsidTr="001F27D2">
        <w:tc>
          <w:tcPr>
            <w:tcW w:w="6460" w:type="dxa"/>
            <w:shd w:val="clear" w:color="auto" w:fill="auto"/>
            <w:noWrap/>
            <w:vAlign w:val="bottom"/>
          </w:tcPr>
          <w:p w14:paraId="44DDEAEC" w14:textId="77777777" w:rsidR="001F27D2" w:rsidRPr="00642347" w:rsidRDefault="001F27D2" w:rsidP="00642347">
            <w:pPr>
              <w:spacing w:before="0" w:after="0"/>
              <w:rPr>
                <w:rFonts w:cs="Calibri"/>
                <w:color w:val="000000"/>
                <w:sz w:val="22"/>
                <w:szCs w:val="22"/>
              </w:rPr>
            </w:pPr>
            <w:r w:rsidRPr="00642347">
              <w:rPr>
                <w:rFonts w:cs="Calibri"/>
                <w:color w:val="000000"/>
                <w:sz w:val="22"/>
                <w:szCs w:val="22"/>
              </w:rPr>
              <w:t>Starter Home</w:t>
            </w:r>
          </w:p>
        </w:tc>
        <w:tc>
          <w:tcPr>
            <w:tcW w:w="2142" w:type="dxa"/>
            <w:shd w:val="clear" w:color="auto" w:fill="auto"/>
            <w:noWrap/>
            <w:vAlign w:val="bottom"/>
          </w:tcPr>
          <w:p w14:paraId="108A353B" w14:textId="77777777" w:rsidR="001F27D2" w:rsidRPr="00642347" w:rsidRDefault="001F27D2" w:rsidP="00642347">
            <w:pPr>
              <w:spacing w:before="0" w:after="0"/>
              <w:jc w:val="center"/>
              <w:rPr>
                <w:rFonts w:cs="Calibri"/>
                <w:color w:val="000000"/>
                <w:sz w:val="22"/>
                <w:szCs w:val="22"/>
              </w:rPr>
            </w:pPr>
            <w:r w:rsidRPr="00642347">
              <w:rPr>
                <w:rFonts w:cs="Calibri"/>
                <w:color w:val="000000"/>
                <w:sz w:val="22"/>
                <w:szCs w:val="22"/>
              </w:rPr>
              <w:t>£49,266</w:t>
            </w:r>
          </w:p>
        </w:tc>
      </w:tr>
      <w:tr w:rsidR="001F27D2" w:rsidRPr="00642347" w14:paraId="01C6A950" w14:textId="77777777" w:rsidTr="001F27D2">
        <w:tc>
          <w:tcPr>
            <w:tcW w:w="6460" w:type="dxa"/>
            <w:shd w:val="clear" w:color="auto" w:fill="auto"/>
            <w:noWrap/>
            <w:vAlign w:val="bottom"/>
          </w:tcPr>
          <w:p w14:paraId="36964AA2" w14:textId="77777777" w:rsidR="001F27D2" w:rsidRPr="00642347" w:rsidRDefault="001F27D2" w:rsidP="00642347">
            <w:pPr>
              <w:spacing w:before="0" w:after="0"/>
              <w:rPr>
                <w:rFonts w:cs="Calibri"/>
                <w:color w:val="000000"/>
                <w:sz w:val="22"/>
                <w:szCs w:val="22"/>
              </w:rPr>
            </w:pPr>
            <w:r w:rsidRPr="00642347">
              <w:rPr>
                <w:rFonts w:cs="Calibri"/>
                <w:color w:val="000000"/>
                <w:sz w:val="22"/>
                <w:szCs w:val="22"/>
              </w:rPr>
              <w:t>Shared ownership (50%)</w:t>
            </w:r>
          </w:p>
        </w:tc>
        <w:tc>
          <w:tcPr>
            <w:tcW w:w="2142" w:type="dxa"/>
            <w:shd w:val="clear" w:color="auto" w:fill="auto"/>
            <w:noWrap/>
            <w:vAlign w:val="bottom"/>
          </w:tcPr>
          <w:p w14:paraId="3EBA07B6" w14:textId="77777777" w:rsidR="001F27D2" w:rsidRPr="00642347" w:rsidRDefault="001F27D2" w:rsidP="00642347">
            <w:pPr>
              <w:spacing w:before="0" w:after="0"/>
              <w:jc w:val="center"/>
              <w:rPr>
                <w:rFonts w:cs="Calibri"/>
                <w:color w:val="000000"/>
                <w:sz w:val="22"/>
                <w:szCs w:val="22"/>
              </w:rPr>
            </w:pPr>
            <w:r w:rsidRPr="00642347">
              <w:rPr>
                <w:rFonts w:cs="Calibri"/>
                <w:color w:val="000000"/>
                <w:sz w:val="22"/>
                <w:szCs w:val="22"/>
              </w:rPr>
              <w:t>£43,655</w:t>
            </w:r>
          </w:p>
        </w:tc>
      </w:tr>
      <w:tr w:rsidR="001F27D2" w:rsidRPr="00642347" w14:paraId="2FFE2CEE" w14:textId="77777777" w:rsidTr="001F27D2">
        <w:tc>
          <w:tcPr>
            <w:tcW w:w="6460" w:type="dxa"/>
            <w:shd w:val="clear" w:color="auto" w:fill="auto"/>
            <w:noWrap/>
            <w:vAlign w:val="bottom"/>
          </w:tcPr>
          <w:p w14:paraId="3D5A0D85" w14:textId="77777777" w:rsidR="001F27D2" w:rsidRPr="00642347" w:rsidRDefault="001F27D2" w:rsidP="00642347">
            <w:pPr>
              <w:spacing w:before="0" w:after="0"/>
              <w:rPr>
                <w:rFonts w:cs="Calibri"/>
                <w:color w:val="000000"/>
                <w:sz w:val="22"/>
                <w:szCs w:val="22"/>
              </w:rPr>
            </w:pPr>
            <w:r w:rsidRPr="00642347">
              <w:rPr>
                <w:rFonts w:cs="Calibri"/>
                <w:color w:val="000000"/>
                <w:sz w:val="22"/>
                <w:szCs w:val="22"/>
              </w:rPr>
              <w:t>Shared ownership (25%)</w:t>
            </w:r>
          </w:p>
        </w:tc>
        <w:tc>
          <w:tcPr>
            <w:tcW w:w="2142" w:type="dxa"/>
            <w:shd w:val="clear" w:color="auto" w:fill="auto"/>
            <w:noWrap/>
            <w:vAlign w:val="bottom"/>
          </w:tcPr>
          <w:p w14:paraId="42C58EA5" w14:textId="77777777" w:rsidR="001F27D2" w:rsidRPr="00642347" w:rsidRDefault="001F27D2" w:rsidP="00642347">
            <w:pPr>
              <w:spacing w:before="0" w:after="0"/>
              <w:jc w:val="center"/>
              <w:rPr>
                <w:rFonts w:cs="Calibri"/>
                <w:color w:val="000000"/>
                <w:sz w:val="22"/>
                <w:szCs w:val="22"/>
              </w:rPr>
            </w:pPr>
            <w:r w:rsidRPr="00642347">
              <w:rPr>
                <w:rFonts w:cs="Calibri"/>
                <w:color w:val="000000"/>
                <w:sz w:val="22"/>
                <w:szCs w:val="22"/>
              </w:rPr>
              <w:t>£35,561</w:t>
            </w:r>
          </w:p>
        </w:tc>
      </w:tr>
      <w:tr w:rsidR="001F27D2" w:rsidRPr="00642347" w14:paraId="31257506" w14:textId="77777777" w:rsidTr="001F27D2">
        <w:tc>
          <w:tcPr>
            <w:tcW w:w="6460" w:type="dxa"/>
            <w:shd w:val="clear" w:color="auto" w:fill="auto"/>
            <w:noWrap/>
            <w:vAlign w:val="bottom"/>
          </w:tcPr>
          <w:p w14:paraId="450E69E5" w14:textId="77777777" w:rsidR="001F27D2" w:rsidRPr="00642347" w:rsidRDefault="001F27D2" w:rsidP="00642347">
            <w:pPr>
              <w:spacing w:before="0" w:after="0"/>
              <w:rPr>
                <w:rFonts w:cs="Calibri"/>
                <w:color w:val="000000"/>
                <w:sz w:val="22"/>
                <w:szCs w:val="22"/>
              </w:rPr>
            </w:pPr>
            <w:r w:rsidRPr="00642347">
              <w:rPr>
                <w:rFonts w:cs="Calibri"/>
                <w:color w:val="000000"/>
                <w:sz w:val="22"/>
                <w:szCs w:val="22"/>
              </w:rPr>
              <w:t>Help to buy</w:t>
            </w:r>
          </w:p>
        </w:tc>
        <w:tc>
          <w:tcPr>
            <w:tcW w:w="2142" w:type="dxa"/>
            <w:shd w:val="clear" w:color="auto" w:fill="auto"/>
            <w:noWrap/>
            <w:vAlign w:val="bottom"/>
          </w:tcPr>
          <w:p w14:paraId="55016250" w14:textId="2EFC55B0" w:rsidR="001F27D2" w:rsidRPr="00642347" w:rsidRDefault="001F27D2" w:rsidP="00642347">
            <w:pPr>
              <w:spacing w:before="0" w:after="0"/>
              <w:jc w:val="center"/>
              <w:rPr>
                <w:rFonts w:cs="Calibri"/>
                <w:color w:val="000000"/>
                <w:sz w:val="22"/>
                <w:szCs w:val="22"/>
              </w:rPr>
            </w:pPr>
            <w:r w:rsidRPr="00642347">
              <w:rPr>
                <w:rFonts w:cs="Calibri"/>
                <w:color w:val="000000"/>
                <w:sz w:val="22"/>
                <w:szCs w:val="22"/>
              </w:rPr>
              <w:t>£</w:t>
            </w:r>
            <w:r w:rsidR="0002639A">
              <w:rPr>
                <w:rFonts w:cs="Calibri"/>
                <w:color w:val="000000"/>
                <w:sz w:val="22"/>
                <w:szCs w:val="22"/>
              </w:rPr>
              <w:t>36,850</w:t>
            </w:r>
          </w:p>
        </w:tc>
      </w:tr>
      <w:tr w:rsidR="0030287C" w:rsidRPr="00642347" w14:paraId="6B12BBEF" w14:textId="77777777" w:rsidTr="001F27D2">
        <w:tc>
          <w:tcPr>
            <w:tcW w:w="6460" w:type="dxa"/>
            <w:shd w:val="clear" w:color="auto" w:fill="auto"/>
            <w:noWrap/>
            <w:vAlign w:val="bottom"/>
          </w:tcPr>
          <w:p w14:paraId="4C11BB7A" w14:textId="74739E97" w:rsidR="0030287C" w:rsidRPr="00642347" w:rsidRDefault="0030287C" w:rsidP="00642347">
            <w:pPr>
              <w:spacing w:before="0" w:after="0"/>
              <w:rPr>
                <w:rFonts w:cs="Calibri"/>
                <w:color w:val="000000"/>
                <w:sz w:val="22"/>
                <w:szCs w:val="22"/>
              </w:rPr>
            </w:pPr>
            <w:r>
              <w:rPr>
                <w:rFonts w:cs="Calibri"/>
                <w:color w:val="000000"/>
                <w:sz w:val="22"/>
                <w:szCs w:val="22"/>
              </w:rPr>
              <w:t>Discounted for Sale</w:t>
            </w:r>
          </w:p>
        </w:tc>
        <w:tc>
          <w:tcPr>
            <w:tcW w:w="2142" w:type="dxa"/>
            <w:shd w:val="clear" w:color="auto" w:fill="auto"/>
            <w:noWrap/>
            <w:vAlign w:val="bottom"/>
          </w:tcPr>
          <w:p w14:paraId="5F521594" w14:textId="30EDA635" w:rsidR="0030287C" w:rsidRPr="00642347" w:rsidRDefault="0030287C" w:rsidP="00642347">
            <w:pPr>
              <w:spacing w:before="0" w:after="0"/>
              <w:jc w:val="center"/>
              <w:rPr>
                <w:rFonts w:cs="Calibri"/>
                <w:color w:val="000000"/>
                <w:sz w:val="22"/>
                <w:szCs w:val="22"/>
              </w:rPr>
            </w:pPr>
            <w:r>
              <w:rPr>
                <w:rFonts w:cs="Calibri"/>
                <w:color w:val="000000"/>
                <w:sz w:val="22"/>
                <w:szCs w:val="22"/>
              </w:rPr>
              <w:t>£35,102</w:t>
            </w:r>
          </w:p>
        </w:tc>
      </w:tr>
    </w:tbl>
    <w:p w14:paraId="11BB78AE" w14:textId="77777777" w:rsidR="00642347" w:rsidRPr="006713C4" w:rsidRDefault="00642347" w:rsidP="003106AD"/>
    <w:p w14:paraId="010E7D3C" w14:textId="19DBDC89" w:rsidR="001F27D2" w:rsidRDefault="001F27D2" w:rsidP="001F27D2">
      <w:pPr>
        <w:pStyle w:val="Reporttext"/>
      </w:pPr>
      <w:r w:rsidRPr="006A3895">
        <w:t xml:space="preserve">Figure 3.2 summarises in graphical form the relative affordability of alternative tenures at the District level, setting out the </w:t>
      </w:r>
      <w:r w:rsidR="00D52EC6">
        <w:t xml:space="preserve">annual gross household </w:t>
      </w:r>
      <w:r w:rsidRPr="006A3895">
        <w:t xml:space="preserve">income and deposit required for different options set against prevailing lower quartile and median earnings. </w:t>
      </w:r>
      <w:r>
        <w:t xml:space="preserve">This shows that people on lower quartile earnings could </w:t>
      </w:r>
      <w:r w:rsidR="00253218">
        <w:t xml:space="preserve">afford </w:t>
      </w:r>
      <w:r>
        <w:t xml:space="preserve">rental options and median earnings are needed to access owner occupation – and then only at the lower quartile entry level or through intermediate tenure options. </w:t>
      </w:r>
    </w:p>
    <w:p w14:paraId="10A274A8" w14:textId="77777777" w:rsidR="006713C4" w:rsidRPr="006713C4" w:rsidRDefault="006713C4" w:rsidP="006713C4">
      <w:pPr>
        <w:pStyle w:val="Reporttext"/>
        <w:numPr>
          <w:ilvl w:val="0"/>
          <w:numId w:val="0"/>
        </w:numPr>
        <w:ind w:left="709"/>
        <w:rPr>
          <w:sz w:val="2"/>
        </w:rPr>
      </w:pPr>
    </w:p>
    <w:p w14:paraId="2E61178D" w14:textId="77777777" w:rsidR="00D52EC6" w:rsidRDefault="00D52EC6" w:rsidP="006713C4">
      <w:pPr>
        <w:pStyle w:val="Figureheading0"/>
        <w:ind w:left="709"/>
        <w:sectPr w:rsidR="00D52EC6" w:rsidSect="002B41F6">
          <w:headerReference w:type="default" r:id="rId30"/>
          <w:footerReference w:type="default" r:id="rId31"/>
          <w:pgSz w:w="11906" w:h="16838"/>
          <w:pgMar w:top="1440" w:right="1276" w:bottom="1134" w:left="1440" w:header="709" w:footer="567" w:gutter="0"/>
          <w:cols w:space="720"/>
        </w:sectPr>
      </w:pPr>
    </w:p>
    <w:p w14:paraId="1832C423" w14:textId="4C1A7757" w:rsidR="006713C4" w:rsidRDefault="006713C4" w:rsidP="006713C4">
      <w:pPr>
        <w:pStyle w:val="Figureheading0"/>
        <w:ind w:left="709"/>
      </w:pPr>
      <w:bookmarkStart w:id="263" w:name="_Toc532812525"/>
      <w:r w:rsidRPr="002B2A7F">
        <w:lastRenderedPageBreak/>
        <w:t xml:space="preserve">Figure </w:t>
      </w:r>
      <w:r>
        <w:t>3</w:t>
      </w:r>
      <w:r w:rsidRPr="002B2A7F">
        <w:t>.</w:t>
      </w:r>
      <w:r>
        <w:t>2</w:t>
      </w:r>
      <w:r w:rsidRPr="002B2A7F">
        <w:tab/>
        <w:t>Affordability by tenure</w:t>
      </w:r>
      <w:bookmarkEnd w:id="263"/>
    </w:p>
    <w:p w14:paraId="712A4CC3" w14:textId="174EFCB9" w:rsidR="006713C4" w:rsidRPr="006A3895" w:rsidRDefault="001F1204" w:rsidP="006713C4">
      <w:pPr>
        <w:pStyle w:val="Reporttext"/>
        <w:numPr>
          <w:ilvl w:val="0"/>
          <w:numId w:val="0"/>
        </w:numPr>
        <w:ind w:left="709"/>
      </w:pPr>
      <w:r w:rsidRPr="001F1204">
        <w:rPr>
          <w:noProof/>
        </w:rPr>
        <w:t xml:space="preserve"> </w:t>
      </w:r>
      <w:r w:rsidR="0002639A">
        <w:rPr>
          <w:noProof/>
          <w:lang w:eastAsia="en-GB"/>
        </w:rPr>
        <w:drawing>
          <wp:inline distT="0" distB="0" distL="0" distR="0" wp14:anchorId="4C41FCCE" wp14:editId="1A8C3C23">
            <wp:extent cx="8204200" cy="50673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204200" cy="5067300"/>
                    </a:xfrm>
                    <a:prstGeom prst="rect">
                      <a:avLst/>
                    </a:prstGeom>
                  </pic:spPr>
                </pic:pic>
              </a:graphicData>
            </a:graphic>
          </wp:inline>
        </w:drawing>
      </w:r>
    </w:p>
    <w:p w14:paraId="50EF89BD" w14:textId="77777777" w:rsidR="00642347" w:rsidRDefault="00642347" w:rsidP="006713C4">
      <w:pPr>
        <w:pStyle w:val="Reporttext"/>
        <w:numPr>
          <w:ilvl w:val="0"/>
          <w:numId w:val="0"/>
        </w:numPr>
        <w:ind w:left="709"/>
        <w:rPr>
          <w:sz w:val="20"/>
          <w:szCs w:val="20"/>
        </w:rPr>
      </w:pPr>
      <w:r w:rsidRPr="002B2A7F">
        <w:rPr>
          <w:sz w:val="20"/>
          <w:szCs w:val="20"/>
        </w:rPr>
        <w:t>Source: Data produced by</w:t>
      </w:r>
      <w:r>
        <w:rPr>
          <w:sz w:val="20"/>
          <w:szCs w:val="20"/>
        </w:rPr>
        <w:t xml:space="preserve">: </w:t>
      </w:r>
      <w:r w:rsidRPr="002B2A7F">
        <w:rPr>
          <w:sz w:val="20"/>
          <w:szCs w:val="20"/>
        </w:rPr>
        <w:t>Land Registry © Crown copyright</w:t>
      </w:r>
      <w:r>
        <w:rPr>
          <w:sz w:val="20"/>
          <w:szCs w:val="20"/>
        </w:rPr>
        <w:t xml:space="preserve"> and database right</w:t>
      </w:r>
      <w:r w:rsidRPr="002B2A7F">
        <w:rPr>
          <w:sz w:val="20"/>
          <w:szCs w:val="20"/>
        </w:rPr>
        <w:t xml:space="preserve"> 2018</w:t>
      </w:r>
      <w:r>
        <w:rPr>
          <w:sz w:val="20"/>
          <w:szCs w:val="20"/>
        </w:rPr>
        <w:t xml:space="preserve">.  This data is licensed under the Open Government Licence v3.0; </w:t>
      </w:r>
      <w:r w:rsidRPr="002B2A7F">
        <w:rPr>
          <w:sz w:val="20"/>
          <w:szCs w:val="20"/>
        </w:rPr>
        <w:t>©</w:t>
      </w:r>
      <w:r>
        <w:rPr>
          <w:sz w:val="20"/>
          <w:szCs w:val="20"/>
        </w:rPr>
        <w:t xml:space="preserve"> 2018 Zoopla Limited.  All rights reserved; CLG</w:t>
      </w:r>
    </w:p>
    <w:p w14:paraId="3E52F58A" w14:textId="5C805E9E" w:rsidR="00D52EC6" w:rsidRDefault="00D52EC6" w:rsidP="006713C4">
      <w:pPr>
        <w:ind w:left="709"/>
        <w:rPr>
          <w:rFonts w:asciiTheme="minorHAnsi" w:hAnsiTheme="minorHAnsi" w:cs="Calibri"/>
          <w:sz w:val="20"/>
          <w:szCs w:val="20"/>
        </w:rPr>
        <w:sectPr w:rsidR="00D52EC6" w:rsidSect="00D52EC6">
          <w:headerReference w:type="default" r:id="rId33"/>
          <w:footerReference w:type="default" r:id="rId34"/>
          <w:pgSz w:w="16838" w:h="11906" w:orient="landscape"/>
          <w:pgMar w:top="1276" w:right="1134" w:bottom="1440" w:left="1440" w:header="709" w:footer="567" w:gutter="0"/>
          <w:cols w:space="720"/>
          <w:docGrid w:linePitch="326"/>
        </w:sectPr>
      </w:pPr>
    </w:p>
    <w:p w14:paraId="51392710" w14:textId="77777777" w:rsidR="001F27D2" w:rsidRPr="002B2A7F" w:rsidRDefault="001F27D2" w:rsidP="001F27D2">
      <w:pPr>
        <w:pStyle w:val="Heading2"/>
        <w:rPr>
          <w:rFonts w:asciiTheme="minorHAnsi" w:hAnsiTheme="minorHAnsi" w:cs="Calibri"/>
        </w:rPr>
      </w:pPr>
      <w:bookmarkStart w:id="264" w:name="_Toc531122868"/>
      <w:bookmarkStart w:id="265" w:name="_Toc532812400"/>
      <w:r w:rsidRPr="002B2A7F">
        <w:rPr>
          <w:rFonts w:asciiTheme="minorHAnsi" w:hAnsiTheme="minorHAnsi" w:cs="Calibri"/>
        </w:rPr>
        <w:lastRenderedPageBreak/>
        <w:t>Household migration</w:t>
      </w:r>
      <w:bookmarkEnd w:id="248"/>
      <w:bookmarkEnd w:id="249"/>
      <w:bookmarkEnd w:id="264"/>
      <w:bookmarkEnd w:id="265"/>
      <w:r w:rsidRPr="002B2A7F">
        <w:rPr>
          <w:rFonts w:asciiTheme="minorHAnsi" w:hAnsiTheme="minorHAnsi" w:cs="Calibri"/>
        </w:rPr>
        <w:t xml:space="preserve"> </w:t>
      </w:r>
      <w:bookmarkEnd w:id="250"/>
      <w:bookmarkEnd w:id="251"/>
      <w:bookmarkEnd w:id="252"/>
    </w:p>
    <w:bookmarkEnd w:id="253"/>
    <w:p w14:paraId="189C5F1E" w14:textId="6EC3EB7A" w:rsidR="001F27D2" w:rsidRPr="009D3F02" w:rsidRDefault="001F27D2" w:rsidP="001F27D2">
      <w:pPr>
        <w:pStyle w:val="Reporttext"/>
      </w:pPr>
      <w:r w:rsidRPr="009D3F02">
        <w:t xml:space="preserve">The 2011 Census provides an analysis of migration patterns showing the extent to which people have re-located in and out of the area. Overall, the 2011 </w:t>
      </w:r>
      <w:r w:rsidR="00652042">
        <w:t>C</w:t>
      </w:r>
      <w:r w:rsidRPr="009D3F02">
        <w:t xml:space="preserve">ensus reported a net outflow of 114 people in the year preceding the </w:t>
      </w:r>
      <w:r w:rsidR="00253218">
        <w:t>C</w:t>
      </w:r>
      <w:r w:rsidRPr="009D3F02">
        <w:t xml:space="preserve">ensus. </w:t>
      </w:r>
    </w:p>
    <w:p w14:paraId="229EE1D6" w14:textId="10B31E7F" w:rsidR="001F27D2" w:rsidRPr="009D3F02" w:rsidRDefault="001F27D2" w:rsidP="00727A04">
      <w:pPr>
        <w:pStyle w:val="Reporttext"/>
      </w:pPr>
      <w:r w:rsidRPr="009D3F02">
        <w:t>Figure 3.</w:t>
      </w:r>
      <w:r>
        <w:t>3</w:t>
      </w:r>
      <w:r w:rsidRPr="009D3F02">
        <w:t xml:space="preserve"> shows that the most significant outflow of people is from Eden to elsewhere in the UK (outside the North East, North West and Yorkshire and the Humber) followed by elsewhere in the North West (excluding Cumbria) and then Carlisle. Inflows were strongest from Elsewhere in the UK, Elsewhere in the North West and Elsewhere in Yorkshire and the Humber. The most significant net outflow was to Carlisle followed by elsewhere in the North West. </w:t>
      </w:r>
      <w:r>
        <w:t>The 2018 household survey provided information on the characteristics of households who have moved into the district in the preceding 5 years:</w:t>
      </w:r>
    </w:p>
    <w:p w14:paraId="444A89A3" w14:textId="46758662" w:rsidR="001F27D2" w:rsidRPr="009C2718" w:rsidRDefault="001F27D2" w:rsidP="001F27D2">
      <w:pPr>
        <w:pStyle w:val="bullet"/>
        <w:spacing w:before="0"/>
        <w:jc w:val="left"/>
        <w:rPr>
          <w:rFonts w:asciiTheme="minorHAnsi" w:hAnsiTheme="minorHAnsi" w:cs="Calibri"/>
        </w:rPr>
      </w:pPr>
      <w:r w:rsidRPr="009C2718">
        <w:rPr>
          <w:rFonts w:asciiTheme="minorHAnsi" w:hAnsiTheme="minorHAnsi" w:cs="Calibri"/>
        </w:rPr>
        <w:t xml:space="preserve">40.5% </w:t>
      </w:r>
      <w:r w:rsidR="00A93972" w:rsidRPr="009C2718">
        <w:rPr>
          <w:rFonts w:asciiTheme="minorHAnsi" w:hAnsiTheme="minorHAnsi" w:cs="Calibri"/>
        </w:rPr>
        <w:t xml:space="preserve">(1,627) </w:t>
      </w:r>
      <w:r w:rsidRPr="009C2718">
        <w:rPr>
          <w:rFonts w:asciiTheme="minorHAnsi" w:hAnsiTheme="minorHAnsi" w:cs="Calibri"/>
        </w:rPr>
        <w:t xml:space="preserve">moved into the Penrith HMA (21.8% </w:t>
      </w:r>
      <w:r w:rsidR="00A93972" w:rsidRPr="009C2718">
        <w:rPr>
          <w:rFonts w:asciiTheme="minorHAnsi" w:hAnsiTheme="minorHAnsi" w:cs="Calibri"/>
        </w:rPr>
        <w:t xml:space="preserve">(876) </w:t>
      </w:r>
      <w:r w:rsidRPr="009C2718">
        <w:rPr>
          <w:rFonts w:asciiTheme="minorHAnsi" w:hAnsiTheme="minorHAnsi" w:cs="Calibri"/>
        </w:rPr>
        <w:t xml:space="preserve">into the urban and 18.7% </w:t>
      </w:r>
      <w:r w:rsidR="00A93972" w:rsidRPr="009C2718">
        <w:rPr>
          <w:rFonts w:asciiTheme="minorHAnsi" w:hAnsiTheme="minorHAnsi" w:cs="Calibri"/>
        </w:rPr>
        <w:t xml:space="preserve">(751) </w:t>
      </w:r>
      <w:r w:rsidRPr="009C2718">
        <w:rPr>
          <w:rFonts w:asciiTheme="minorHAnsi" w:hAnsiTheme="minorHAnsi" w:cs="Calibri"/>
        </w:rPr>
        <w:t xml:space="preserve">into the rural areas), 18.2% </w:t>
      </w:r>
      <w:r w:rsidR="00A93972" w:rsidRPr="009C2718">
        <w:rPr>
          <w:rFonts w:asciiTheme="minorHAnsi" w:hAnsiTheme="minorHAnsi" w:cs="Calibri"/>
        </w:rPr>
        <w:t xml:space="preserve">(730) </w:t>
      </w:r>
      <w:r w:rsidRPr="009C2718">
        <w:rPr>
          <w:rFonts w:asciiTheme="minorHAnsi" w:hAnsiTheme="minorHAnsi" w:cs="Calibri"/>
        </w:rPr>
        <w:t xml:space="preserve">moved to Appleby, 16.8% </w:t>
      </w:r>
      <w:r w:rsidR="00A93972" w:rsidRPr="009C2718">
        <w:rPr>
          <w:rFonts w:asciiTheme="minorHAnsi" w:hAnsiTheme="minorHAnsi" w:cs="Calibri"/>
        </w:rPr>
        <w:t xml:space="preserve">(673) </w:t>
      </w:r>
      <w:r w:rsidRPr="009C2718">
        <w:rPr>
          <w:rFonts w:asciiTheme="minorHAnsi" w:hAnsiTheme="minorHAnsi" w:cs="Calibri"/>
        </w:rPr>
        <w:t xml:space="preserve">to Kirkby Stephen, 15.4% </w:t>
      </w:r>
      <w:r w:rsidR="00A93972" w:rsidRPr="009C2718">
        <w:rPr>
          <w:rFonts w:asciiTheme="minorHAnsi" w:hAnsiTheme="minorHAnsi" w:cs="Calibri"/>
        </w:rPr>
        <w:t xml:space="preserve">(619) </w:t>
      </w:r>
      <w:r w:rsidRPr="009C2718">
        <w:rPr>
          <w:rFonts w:asciiTheme="minorHAnsi" w:hAnsiTheme="minorHAnsi" w:cs="Calibri"/>
        </w:rPr>
        <w:t xml:space="preserve">to the </w:t>
      </w:r>
      <w:r w:rsidR="001113B5" w:rsidRPr="009C2718">
        <w:rPr>
          <w:rFonts w:asciiTheme="minorHAnsi" w:hAnsiTheme="minorHAnsi" w:cs="Calibri"/>
        </w:rPr>
        <w:t>w</w:t>
      </w:r>
      <w:r w:rsidRPr="009C2718">
        <w:rPr>
          <w:rFonts w:asciiTheme="minorHAnsi" w:hAnsiTheme="minorHAnsi" w:cs="Calibri"/>
        </w:rPr>
        <w:t xml:space="preserve">est of the M6 and 9.1% </w:t>
      </w:r>
      <w:r w:rsidR="00A93972" w:rsidRPr="009C2718">
        <w:rPr>
          <w:rFonts w:asciiTheme="minorHAnsi" w:hAnsiTheme="minorHAnsi" w:cs="Calibri"/>
        </w:rPr>
        <w:t xml:space="preserve">(365) </w:t>
      </w:r>
      <w:r w:rsidRPr="009C2718">
        <w:rPr>
          <w:rFonts w:asciiTheme="minorHAnsi" w:hAnsiTheme="minorHAnsi" w:cs="Calibri"/>
        </w:rPr>
        <w:t>to Alston</w:t>
      </w:r>
      <w:r w:rsidR="001113B5" w:rsidRPr="009C2718">
        <w:rPr>
          <w:rFonts w:asciiTheme="minorHAnsi" w:hAnsiTheme="minorHAnsi" w:cs="Calibri"/>
        </w:rPr>
        <w:t>;</w:t>
      </w:r>
    </w:p>
    <w:p w14:paraId="7A8F0336" w14:textId="29B832E5" w:rsidR="001F27D2" w:rsidRPr="009C2718" w:rsidRDefault="001F27D2" w:rsidP="001F27D2">
      <w:pPr>
        <w:pStyle w:val="bullet"/>
        <w:spacing w:before="0"/>
        <w:jc w:val="left"/>
        <w:rPr>
          <w:rFonts w:asciiTheme="minorHAnsi" w:hAnsiTheme="minorHAnsi" w:cs="Calibri"/>
        </w:rPr>
      </w:pPr>
      <w:r w:rsidRPr="009C2718">
        <w:rPr>
          <w:rFonts w:asciiTheme="minorHAnsi" w:hAnsiTheme="minorHAnsi" w:cs="Calibri"/>
        </w:rPr>
        <w:t>A majority (76.8%</w:t>
      </w:r>
      <w:r w:rsidR="00A93972" w:rsidRPr="009C2718">
        <w:rPr>
          <w:rFonts w:asciiTheme="minorHAnsi" w:hAnsiTheme="minorHAnsi" w:cs="Calibri"/>
        </w:rPr>
        <w:t xml:space="preserve"> or 3,059</w:t>
      </w:r>
      <w:r w:rsidRPr="009C2718">
        <w:rPr>
          <w:rFonts w:asciiTheme="minorHAnsi" w:hAnsiTheme="minorHAnsi" w:cs="Calibri"/>
        </w:rPr>
        <w:t>) moved into a house (63%</w:t>
      </w:r>
      <w:r w:rsidR="00A93972" w:rsidRPr="009C2718">
        <w:rPr>
          <w:rFonts w:asciiTheme="minorHAnsi" w:hAnsiTheme="minorHAnsi" w:cs="Calibri"/>
        </w:rPr>
        <w:t xml:space="preserve"> (or 2,508)</w:t>
      </w:r>
      <w:r w:rsidRPr="009C2718">
        <w:rPr>
          <w:rFonts w:asciiTheme="minorHAnsi" w:hAnsiTheme="minorHAnsi" w:cs="Calibri"/>
        </w:rPr>
        <w:t xml:space="preserve"> to a house with 3 or more bedrooms), 11.9% </w:t>
      </w:r>
      <w:r w:rsidR="00A93972" w:rsidRPr="009C2718">
        <w:rPr>
          <w:rFonts w:asciiTheme="minorHAnsi" w:hAnsiTheme="minorHAnsi" w:cs="Calibri"/>
        </w:rPr>
        <w:t xml:space="preserve">(473) </w:t>
      </w:r>
      <w:r w:rsidRPr="009C2718">
        <w:rPr>
          <w:rFonts w:asciiTheme="minorHAnsi" w:hAnsiTheme="minorHAnsi" w:cs="Calibri"/>
        </w:rPr>
        <w:t>to a bungalow, 9.8%</w:t>
      </w:r>
      <w:r w:rsidR="00A93972" w:rsidRPr="009C2718">
        <w:rPr>
          <w:rFonts w:asciiTheme="minorHAnsi" w:hAnsiTheme="minorHAnsi" w:cs="Calibri"/>
        </w:rPr>
        <w:t xml:space="preserve"> (394)</w:t>
      </w:r>
      <w:r w:rsidRPr="009C2718">
        <w:rPr>
          <w:rFonts w:asciiTheme="minorHAnsi" w:hAnsiTheme="minorHAnsi" w:cs="Calibri"/>
        </w:rPr>
        <w:t xml:space="preserve"> to a flat and 1.4%</w:t>
      </w:r>
      <w:r w:rsidR="00A93972" w:rsidRPr="009C2718">
        <w:rPr>
          <w:rFonts w:asciiTheme="minorHAnsi" w:hAnsiTheme="minorHAnsi" w:cs="Calibri"/>
        </w:rPr>
        <w:t xml:space="preserve"> (54)</w:t>
      </w:r>
      <w:r w:rsidRPr="009C2718">
        <w:rPr>
          <w:rFonts w:asciiTheme="minorHAnsi" w:hAnsiTheme="minorHAnsi" w:cs="Calibri"/>
        </w:rPr>
        <w:t xml:space="preserve"> to other property types; </w:t>
      </w:r>
    </w:p>
    <w:p w14:paraId="5B7B1604" w14:textId="2513D294" w:rsidR="001F27D2" w:rsidRPr="009C2718" w:rsidRDefault="001F27D2" w:rsidP="001F27D2">
      <w:pPr>
        <w:pStyle w:val="bullet"/>
        <w:spacing w:before="0"/>
        <w:jc w:val="left"/>
        <w:rPr>
          <w:rFonts w:asciiTheme="minorHAnsi" w:hAnsiTheme="minorHAnsi" w:cs="Calibri"/>
        </w:rPr>
      </w:pPr>
      <w:r w:rsidRPr="009C2718">
        <w:rPr>
          <w:rFonts w:asciiTheme="minorHAnsi" w:hAnsiTheme="minorHAnsi" w:cs="Calibri"/>
        </w:rPr>
        <w:t xml:space="preserve">30.3% </w:t>
      </w:r>
      <w:r w:rsidR="00A93972" w:rsidRPr="009C2718">
        <w:rPr>
          <w:rFonts w:asciiTheme="minorHAnsi" w:hAnsiTheme="minorHAnsi" w:cs="Calibri"/>
        </w:rPr>
        <w:t xml:space="preserve">(1,206) </w:t>
      </w:r>
      <w:r w:rsidRPr="009C2718">
        <w:rPr>
          <w:rFonts w:asciiTheme="minorHAnsi" w:hAnsiTheme="minorHAnsi" w:cs="Calibri"/>
        </w:rPr>
        <w:t>moved to property with one or two bedrooms, 37.9%</w:t>
      </w:r>
      <w:r w:rsidR="00A93972" w:rsidRPr="009C2718">
        <w:rPr>
          <w:rFonts w:asciiTheme="minorHAnsi" w:hAnsiTheme="minorHAnsi" w:cs="Calibri"/>
        </w:rPr>
        <w:t xml:space="preserve"> (1,507)</w:t>
      </w:r>
      <w:r w:rsidRPr="009C2718">
        <w:rPr>
          <w:rFonts w:asciiTheme="minorHAnsi" w:hAnsiTheme="minorHAnsi" w:cs="Calibri"/>
        </w:rPr>
        <w:t xml:space="preserve"> to a three bedroom and 31.8% </w:t>
      </w:r>
      <w:r w:rsidR="00A93972" w:rsidRPr="009C2718">
        <w:rPr>
          <w:rFonts w:asciiTheme="minorHAnsi" w:hAnsiTheme="minorHAnsi" w:cs="Calibri"/>
        </w:rPr>
        <w:t xml:space="preserve">(1,267) </w:t>
      </w:r>
      <w:r w:rsidRPr="009C2718">
        <w:rPr>
          <w:rFonts w:asciiTheme="minorHAnsi" w:hAnsiTheme="minorHAnsi" w:cs="Calibri"/>
        </w:rPr>
        <w:t xml:space="preserve">to a four or more bedroom dwelling; </w:t>
      </w:r>
    </w:p>
    <w:p w14:paraId="1C088AC5" w14:textId="2F27D520" w:rsidR="001F27D2" w:rsidRPr="009C2718" w:rsidRDefault="001F27D2" w:rsidP="001F27D2">
      <w:pPr>
        <w:pStyle w:val="bullet"/>
        <w:spacing w:before="0"/>
        <w:jc w:val="left"/>
        <w:rPr>
          <w:rFonts w:asciiTheme="minorHAnsi" w:hAnsiTheme="minorHAnsi" w:cs="Calibri"/>
        </w:rPr>
      </w:pPr>
      <w:r w:rsidRPr="009C2718">
        <w:rPr>
          <w:rFonts w:asciiTheme="minorHAnsi" w:hAnsiTheme="minorHAnsi" w:cs="Calibri"/>
        </w:rPr>
        <w:t xml:space="preserve">In terms of tenure, 74.6% </w:t>
      </w:r>
      <w:r w:rsidR="00A93972" w:rsidRPr="009C2718">
        <w:rPr>
          <w:rFonts w:asciiTheme="minorHAnsi" w:hAnsiTheme="minorHAnsi" w:cs="Calibri"/>
        </w:rPr>
        <w:t xml:space="preserve">(2,986) </w:t>
      </w:r>
      <w:r w:rsidRPr="009C2718">
        <w:rPr>
          <w:rFonts w:asciiTheme="minorHAnsi" w:hAnsiTheme="minorHAnsi" w:cs="Calibri"/>
        </w:rPr>
        <w:t xml:space="preserve">moved into an owner occupied dwelling, 17.5% </w:t>
      </w:r>
      <w:r w:rsidR="00A93972" w:rsidRPr="009C2718">
        <w:rPr>
          <w:rFonts w:asciiTheme="minorHAnsi" w:hAnsiTheme="minorHAnsi" w:cs="Calibri"/>
        </w:rPr>
        <w:t xml:space="preserve">(705) </w:t>
      </w:r>
      <w:r w:rsidRPr="009C2718">
        <w:rPr>
          <w:rFonts w:asciiTheme="minorHAnsi" w:hAnsiTheme="minorHAnsi" w:cs="Calibri"/>
        </w:rPr>
        <w:t xml:space="preserve">into private renting and 7.8% </w:t>
      </w:r>
      <w:r w:rsidR="00A93972" w:rsidRPr="009C2718">
        <w:rPr>
          <w:rFonts w:asciiTheme="minorHAnsi" w:hAnsiTheme="minorHAnsi" w:cs="Calibri"/>
        </w:rPr>
        <w:t xml:space="preserve">(310) </w:t>
      </w:r>
      <w:r w:rsidRPr="009C2718">
        <w:rPr>
          <w:rFonts w:asciiTheme="minorHAnsi" w:hAnsiTheme="minorHAnsi" w:cs="Calibri"/>
        </w:rPr>
        <w:t xml:space="preserve">into affordable housing; </w:t>
      </w:r>
    </w:p>
    <w:p w14:paraId="0EC06FF3" w14:textId="345FE21F" w:rsidR="001F27D2" w:rsidRPr="009C2718" w:rsidRDefault="001F27D2" w:rsidP="001F27D2">
      <w:pPr>
        <w:pStyle w:val="bullet"/>
        <w:spacing w:before="0"/>
        <w:jc w:val="left"/>
        <w:rPr>
          <w:rFonts w:asciiTheme="minorHAnsi" w:hAnsiTheme="minorHAnsi" w:cs="Calibri"/>
        </w:rPr>
      </w:pPr>
      <w:r w:rsidRPr="009C2718">
        <w:rPr>
          <w:rFonts w:asciiTheme="minorHAnsi" w:hAnsiTheme="minorHAnsi" w:cs="Calibri"/>
        </w:rPr>
        <w:t xml:space="preserve">The age profile of in-migrant was skewed towards older age groups, with 48.2% </w:t>
      </w:r>
      <w:r w:rsidR="00A93972" w:rsidRPr="009C2718">
        <w:rPr>
          <w:rFonts w:asciiTheme="minorHAnsi" w:hAnsiTheme="minorHAnsi" w:cs="Calibri"/>
        </w:rPr>
        <w:t xml:space="preserve">(1,889) </w:t>
      </w:r>
      <w:r w:rsidRPr="009C2718">
        <w:rPr>
          <w:rFonts w:asciiTheme="minorHAnsi" w:hAnsiTheme="minorHAnsi" w:cs="Calibri"/>
        </w:rPr>
        <w:t xml:space="preserve">of household reference people aged 60 and over. Additionally 29% </w:t>
      </w:r>
      <w:r w:rsidR="00A93972" w:rsidRPr="009C2718">
        <w:rPr>
          <w:rFonts w:asciiTheme="minorHAnsi" w:hAnsiTheme="minorHAnsi" w:cs="Calibri"/>
        </w:rPr>
        <w:t xml:space="preserve">(1,137) </w:t>
      </w:r>
      <w:r w:rsidRPr="009C2718">
        <w:rPr>
          <w:rFonts w:asciiTheme="minorHAnsi" w:hAnsiTheme="minorHAnsi" w:cs="Calibri"/>
        </w:rPr>
        <w:t xml:space="preserve">were aged 45-59 and 22.8% </w:t>
      </w:r>
      <w:r w:rsidR="00A93972" w:rsidRPr="009C2718">
        <w:rPr>
          <w:rFonts w:asciiTheme="minorHAnsi" w:hAnsiTheme="minorHAnsi" w:cs="Calibri"/>
        </w:rPr>
        <w:t xml:space="preserve">(894) </w:t>
      </w:r>
      <w:r w:rsidRPr="009C2718">
        <w:rPr>
          <w:rFonts w:asciiTheme="minorHAnsi" w:hAnsiTheme="minorHAnsi" w:cs="Calibri"/>
        </w:rPr>
        <w:t>aged under 44</w:t>
      </w:r>
      <w:r w:rsidR="001113B5" w:rsidRPr="009C2718">
        <w:rPr>
          <w:rFonts w:asciiTheme="minorHAnsi" w:hAnsiTheme="minorHAnsi" w:cs="Calibri"/>
        </w:rPr>
        <w:t>;</w:t>
      </w:r>
    </w:p>
    <w:p w14:paraId="07938297" w14:textId="25BA34D9" w:rsidR="001F27D2" w:rsidRPr="009C2718" w:rsidRDefault="001F27D2" w:rsidP="001F27D2">
      <w:pPr>
        <w:pStyle w:val="bullet"/>
        <w:spacing w:before="0"/>
        <w:jc w:val="left"/>
        <w:rPr>
          <w:rFonts w:asciiTheme="minorHAnsi" w:hAnsiTheme="minorHAnsi" w:cs="Calibri"/>
        </w:rPr>
      </w:pPr>
      <w:r w:rsidRPr="009C2718">
        <w:rPr>
          <w:rFonts w:asciiTheme="minorHAnsi" w:hAnsiTheme="minorHAnsi" w:cs="Calibri"/>
        </w:rPr>
        <w:t>The three main reasons for moving were moving to a nicer area (26.3%</w:t>
      </w:r>
      <w:r w:rsidR="00A93972" w:rsidRPr="009C2718">
        <w:rPr>
          <w:rFonts w:asciiTheme="minorHAnsi" w:hAnsiTheme="minorHAnsi" w:cs="Calibri"/>
        </w:rPr>
        <w:t xml:space="preserve"> or 860</w:t>
      </w:r>
      <w:r w:rsidRPr="009C2718">
        <w:rPr>
          <w:rFonts w:asciiTheme="minorHAnsi" w:hAnsiTheme="minorHAnsi" w:cs="Calibri"/>
        </w:rPr>
        <w:t xml:space="preserve">), 21.3% </w:t>
      </w:r>
      <w:r w:rsidR="00A93972" w:rsidRPr="009C2718">
        <w:rPr>
          <w:rFonts w:asciiTheme="minorHAnsi" w:hAnsiTheme="minorHAnsi" w:cs="Calibri"/>
        </w:rPr>
        <w:t xml:space="preserve">(697) </w:t>
      </w:r>
      <w:r w:rsidRPr="009C2718">
        <w:rPr>
          <w:rFonts w:asciiTheme="minorHAnsi" w:hAnsiTheme="minorHAnsi" w:cs="Calibri"/>
        </w:rPr>
        <w:t xml:space="preserve">to relocate for employment and 10.4% </w:t>
      </w:r>
      <w:r w:rsidR="00A93972" w:rsidRPr="009C2718">
        <w:rPr>
          <w:rFonts w:asciiTheme="minorHAnsi" w:hAnsiTheme="minorHAnsi" w:cs="Calibri"/>
        </w:rPr>
        <w:t xml:space="preserve">(340) </w:t>
      </w:r>
      <w:r w:rsidRPr="009C2718">
        <w:rPr>
          <w:rFonts w:asciiTheme="minorHAnsi" w:hAnsiTheme="minorHAnsi" w:cs="Calibri"/>
        </w:rPr>
        <w:t>to be closer to family/friends.</w:t>
      </w:r>
    </w:p>
    <w:p w14:paraId="41058F01" w14:textId="77777777" w:rsidR="001F27D2" w:rsidRPr="00DC4BB0" w:rsidRDefault="001F27D2" w:rsidP="001F27D2">
      <w:pPr>
        <w:pStyle w:val="bullet"/>
        <w:numPr>
          <w:ilvl w:val="0"/>
          <w:numId w:val="0"/>
        </w:numPr>
        <w:ind w:left="709"/>
        <w:rPr>
          <w:rFonts w:asciiTheme="minorHAnsi" w:hAnsiTheme="minorHAnsi" w:cs="Calibri"/>
          <w:highlight w:val="yellow"/>
        </w:rPr>
      </w:pPr>
    </w:p>
    <w:p w14:paraId="0D4C0364" w14:textId="77777777" w:rsidR="001F27D2" w:rsidRPr="002B2A7F" w:rsidRDefault="001F27D2" w:rsidP="001F27D2">
      <w:pPr>
        <w:pStyle w:val="Reporttext"/>
        <w:numPr>
          <w:ilvl w:val="0"/>
          <w:numId w:val="0"/>
        </w:numPr>
        <w:ind w:left="709"/>
      </w:pPr>
    </w:p>
    <w:p w14:paraId="382AC7A1" w14:textId="77777777" w:rsidR="001F27D2" w:rsidRPr="002B2A7F" w:rsidRDefault="001F27D2" w:rsidP="001F27D2">
      <w:pPr>
        <w:pStyle w:val="Reporttext"/>
        <w:sectPr w:rsidR="001F27D2" w:rsidRPr="002B2A7F" w:rsidSect="002B41F6">
          <w:headerReference w:type="default" r:id="rId35"/>
          <w:footerReference w:type="default" r:id="rId36"/>
          <w:pgSz w:w="11906" w:h="16838"/>
          <w:pgMar w:top="1440" w:right="1276" w:bottom="1134" w:left="1440" w:header="709" w:footer="567" w:gutter="0"/>
          <w:cols w:space="720"/>
        </w:sectPr>
      </w:pPr>
    </w:p>
    <w:p w14:paraId="13A1BC19" w14:textId="77777777" w:rsidR="003106AD" w:rsidRDefault="001F27D2" w:rsidP="001F27D2">
      <w:pPr>
        <w:pStyle w:val="Figureheading0"/>
        <w:rPr>
          <w:rFonts w:asciiTheme="minorHAnsi" w:hAnsiTheme="minorHAnsi"/>
        </w:rPr>
      </w:pPr>
      <w:bookmarkStart w:id="266" w:name="_Toc524935619"/>
      <w:bookmarkStart w:id="267" w:name="_Toc532812526"/>
      <w:bookmarkStart w:id="268" w:name="_Toc532651255"/>
      <w:bookmarkStart w:id="269" w:name="_Toc532651298"/>
      <w:r w:rsidRPr="002B2A7F">
        <w:rPr>
          <w:rFonts w:asciiTheme="minorHAnsi" w:hAnsiTheme="minorHAnsi"/>
        </w:rPr>
        <w:lastRenderedPageBreak/>
        <w:t>Figure 3.</w:t>
      </w:r>
      <w:r>
        <w:rPr>
          <w:rFonts w:asciiTheme="minorHAnsi" w:hAnsiTheme="minorHAnsi"/>
        </w:rPr>
        <w:t>3</w:t>
      </w:r>
      <w:r w:rsidRPr="002B2A7F">
        <w:rPr>
          <w:rFonts w:asciiTheme="minorHAnsi" w:hAnsiTheme="minorHAnsi"/>
        </w:rPr>
        <w:tab/>
        <w:t xml:space="preserve">Migration flows to and from </w:t>
      </w:r>
      <w:bookmarkEnd w:id="266"/>
      <w:r w:rsidRPr="002B2A7F">
        <w:rPr>
          <w:rFonts w:asciiTheme="minorHAnsi" w:hAnsiTheme="minorHAnsi"/>
        </w:rPr>
        <w:t>Eden District</w:t>
      </w:r>
      <w:bookmarkStart w:id="270" w:name="_Toc532651153"/>
      <w:bookmarkEnd w:id="267"/>
    </w:p>
    <w:p w14:paraId="69CA2D74" w14:textId="115C0E6A" w:rsidR="009712EF" w:rsidRPr="00AB5F6A" w:rsidRDefault="009712EF" w:rsidP="003106AD">
      <w:pPr>
        <w:rPr>
          <w:rFonts w:asciiTheme="minorHAnsi" w:hAnsiTheme="minorHAnsi"/>
        </w:rPr>
      </w:pPr>
      <w:r>
        <w:rPr>
          <w:noProof/>
          <w:lang w:eastAsia="en-GB"/>
        </w:rPr>
        <w:drawing>
          <wp:inline distT="0" distB="0" distL="0" distR="0" wp14:anchorId="3170A5C5" wp14:editId="69E1C099">
            <wp:extent cx="9057640" cy="467995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057640" cy="4679950"/>
                    </a:xfrm>
                    <a:prstGeom prst="rect">
                      <a:avLst/>
                    </a:prstGeom>
                  </pic:spPr>
                </pic:pic>
              </a:graphicData>
            </a:graphic>
          </wp:inline>
        </w:drawing>
      </w:r>
      <w:bookmarkEnd w:id="268"/>
      <w:bookmarkEnd w:id="269"/>
      <w:bookmarkEnd w:id="270"/>
    </w:p>
    <w:p w14:paraId="1AE9476A" w14:textId="1F3F3511" w:rsidR="001F27D2" w:rsidRPr="002B2A7F" w:rsidRDefault="001F27D2" w:rsidP="001F27D2">
      <w:pPr>
        <w:pStyle w:val="Reporttext"/>
        <w:numPr>
          <w:ilvl w:val="0"/>
          <w:numId w:val="0"/>
        </w:numPr>
      </w:pPr>
      <w:r w:rsidRPr="006713C4">
        <w:rPr>
          <w:sz w:val="20"/>
        </w:rPr>
        <w:t>Source: 2011 Census</w:t>
      </w:r>
    </w:p>
    <w:p w14:paraId="02657FDC" w14:textId="77777777" w:rsidR="001F27D2" w:rsidRPr="002B2A7F" w:rsidRDefault="001F27D2" w:rsidP="001F27D2">
      <w:pPr>
        <w:rPr>
          <w:rFonts w:asciiTheme="minorHAnsi" w:hAnsiTheme="minorHAnsi"/>
        </w:rPr>
        <w:sectPr w:rsidR="001F27D2" w:rsidRPr="002B2A7F" w:rsidSect="002B41F6">
          <w:headerReference w:type="default" r:id="rId38"/>
          <w:footerReference w:type="default" r:id="rId39"/>
          <w:pgSz w:w="16838" w:h="11906" w:orient="landscape"/>
          <w:pgMar w:top="1276" w:right="1134" w:bottom="1440" w:left="1440" w:header="709" w:footer="567" w:gutter="0"/>
          <w:cols w:space="720"/>
          <w:docGrid w:linePitch="326"/>
        </w:sectPr>
      </w:pPr>
      <w:bookmarkStart w:id="271" w:name="_Toc399864366"/>
      <w:bookmarkStart w:id="272" w:name="_Toc428528475"/>
      <w:bookmarkStart w:id="273" w:name="_Toc430084568"/>
      <w:bookmarkStart w:id="274" w:name="_Toc430782022"/>
    </w:p>
    <w:p w14:paraId="0AE6BFF1" w14:textId="77777777" w:rsidR="001F27D2" w:rsidRPr="002B2A7F" w:rsidRDefault="001F27D2" w:rsidP="001F27D2">
      <w:pPr>
        <w:pStyle w:val="Heading2"/>
        <w:rPr>
          <w:rFonts w:asciiTheme="minorHAnsi" w:hAnsiTheme="minorHAnsi"/>
        </w:rPr>
      </w:pPr>
      <w:bookmarkStart w:id="275" w:name="_Toc395193549"/>
      <w:bookmarkStart w:id="276" w:name="_Toc524935576"/>
      <w:bookmarkStart w:id="277" w:name="_Toc531122869"/>
      <w:bookmarkStart w:id="278" w:name="_Toc532812401"/>
      <w:r w:rsidRPr="002B2A7F">
        <w:rPr>
          <w:rFonts w:asciiTheme="minorHAnsi" w:hAnsiTheme="minorHAnsi"/>
        </w:rPr>
        <w:lastRenderedPageBreak/>
        <w:t>Travel to work</w:t>
      </w:r>
      <w:bookmarkEnd w:id="271"/>
      <w:bookmarkEnd w:id="272"/>
      <w:bookmarkEnd w:id="273"/>
      <w:bookmarkEnd w:id="274"/>
      <w:bookmarkEnd w:id="275"/>
      <w:bookmarkEnd w:id="276"/>
      <w:bookmarkEnd w:id="277"/>
      <w:bookmarkEnd w:id="278"/>
    </w:p>
    <w:p w14:paraId="515E29B0" w14:textId="77777777" w:rsidR="001F27D2" w:rsidRPr="002B2A7F" w:rsidRDefault="001F27D2" w:rsidP="001F27D2">
      <w:pPr>
        <w:pStyle w:val="Reporttext"/>
      </w:pPr>
      <w:r w:rsidRPr="002B2A7F">
        <w:t>The 2011 Census provides an analysis of travel to work patterns. This allows an appraisal of the extent to which residents from Eden travel out of the area for work along with the number of people who commute into the District.</w:t>
      </w:r>
    </w:p>
    <w:p w14:paraId="24722B0F" w14:textId="77777777" w:rsidR="001F27D2" w:rsidRPr="00294B68" w:rsidRDefault="001F27D2" w:rsidP="001F27D2">
      <w:pPr>
        <w:pStyle w:val="Reporttext"/>
      </w:pPr>
      <w:r w:rsidRPr="00294B68">
        <w:t>The 2011 Census identified the following:</w:t>
      </w:r>
    </w:p>
    <w:p w14:paraId="4AEA98BE" w14:textId="77777777" w:rsidR="001F27D2" w:rsidRPr="00294B68" w:rsidRDefault="001F27D2" w:rsidP="006713C4">
      <w:pPr>
        <w:pStyle w:val="bullet"/>
      </w:pPr>
      <w:r w:rsidRPr="00294B68">
        <w:t>14,630 people live and work in Eden District;</w:t>
      </w:r>
    </w:p>
    <w:p w14:paraId="24F29701" w14:textId="26CCC703" w:rsidR="001F27D2" w:rsidRPr="00294B68" w:rsidRDefault="001F27D2" w:rsidP="006713C4">
      <w:pPr>
        <w:pStyle w:val="bullet"/>
      </w:pPr>
      <w:r w:rsidRPr="00294B68">
        <w:t>4,798 people live in Eden and work</w:t>
      </w:r>
      <w:r w:rsidR="00BA110B">
        <w:t xml:space="preserve"> </w:t>
      </w:r>
      <w:r w:rsidRPr="00294B68">
        <w:t xml:space="preserve">elsewhere (they commute out of the </w:t>
      </w:r>
      <w:r w:rsidR="00BA110B">
        <w:t>D</w:t>
      </w:r>
      <w:r w:rsidRPr="00294B68">
        <w:t>istrict for work)</w:t>
      </w:r>
    </w:p>
    <w:p w14:paraId="0997BD03" w14:textId="049C12AF" w:rsidR="001F27D2" w:rsidRPr="00294B68" w:rsidRDefault="001F27D2" w:rsidP="006713C4">
      <w:pPr>
        <w:pStyle w:val="bullet"/>
      </w:pPr>
      <w:r w:rsidRPr="00294B68">
        <w:t xml:space="preserve">6,350 people work in Eden and live elsewhere (the commute into the </w:t>
      </w:r>
      <w:r w:rsidR="00BA110B">
        <w:t>D</w:t>
      </w:r>
      <w:r w:rsidRPr="00294B68">
        <w:t>istrict for work;</w:t>
      </w:r>
    </w:p>
    <w:p w14:paraId="1D3ABFAF" w14:textId="77777777" w:rsidR="001F27D2" w:rsidRPr="00294B68" w:rsidRDefault="001F27D2" w:rsidP="006713C4">
      <w:pPr>
        <w:pStyle w:val="bullet"/>
      </w:pPr>
      <w:r w:rsidRPr="00294B68">
        <w:t>There is a net in-commute of 1,552 workers;</w:t>
      </w:r>
    </w:p>
    <w:p w14:paraId="71D85AC3" w14:textId="77777777" w:rsidR="001F27D2" w:rsidRPr="00294B68" w:rsidRDefault="001F27D2" w:rsidP="006713C4">
      <w:pPr>
        <w:pStyle w:val="bullet"/>
      </w:pPr>
      <w:r w:rsidRPr="00294B68">
        <w:t>An additional 5,983 people mainly work from home, 31 work offshore, 2,288 have no fixed place of work and 55 work outside the UK.</w:t>
      </w:r>
    </w:p>
    <w:p w14:paraId="141EE1E7" w14:textId="72857207" w:rsidR="001F27D2" w:rsidRPr="00294B68" w:rsidRDefault="001F27D2" w:rsidP="001F27D2">
      <w:pPr>
        <w:pStyle w:val="Reporttext"/>
      </w:pPr>
      <w:r w:rsidRPr="00294B68">
        <w:t>Figure 3.</w:t>
      </w:r>
      <w:r>
        <w:t>4</w:t>
      </w:r>
      <w:r w:rsidRPr="00294B68">
        <w:t xml:space="preserve"> summarise</w:t>
      </w:r>
      <w:r w:rsidR="00BA110B">
        <w:t>s</w:t>
      </w:r>
      <w:r w:rsidRPr="00294B68">
        <w:t xml:space="preserve"> the main commuting flows to/from Eden. The most significant </w:t>
      </w:r>
      <w:r>
        <w:t>flows are between Carlisle, Allerdale and South Lakeland.</w:t>
      </w:r>
    </w:p>
    <w:p w14:paraId="7FCD2684" w14:textId="77777777" w:rsidR="001F27D2" w:rsidRPr="002B2A7F" w:rsidRDefault="001F27D2" w:rsidP="001F27D2">
      <w:pPr>
        <w:pStyle w:val="Reporttext"/>
        <w:numPr>
          <w:ilvl w:val="0"/>
          <w:numId w:val="0"/>
        </w:numPr>
        <w:ind w:left="709"/>
        <w:rPr>
          <w:highlight w:val="yellow"/>
        </w:rPr>
      </w:pPr>
    </w:p>
    <w:p w14:paraId="7C4BA0B8" w14:textId="77777777" w:rsidR="001F27D2" w:rsidRPr="002B2A7F" w:rsidRDefault="001F27D2" w:rsidP="001F27D2">
      <w:pPr>
        <w:pStyle w:val="bullet"/>
        <w:numPr>
          <w:ilvl w:val="0"/>
          <w:numId w:val="0"/>
        </w:numPr>
        <w:ind w:left="1069"/>
        <w:rPr>
          <w:rFonts w:asciiTheme="minorHAnsi" w:hAnsiTheme="minorHAnsi" w:cs="Calibri"/>
        </w:rPr>
      </w:pPr>
      <w:bookmarkStart w:id="279" w:name="_Toc399864367"/>
      <w:bookmarkStart w:id="280" w:name="_Toc428528476"/>
      <w:bookmarkStart w:id="281" w:name="_Toc430084569"/>
      <w:bookmarkStart w:id="282" w:name="_Toc430782023"/>
    </w:p>
    <w:p w14:paraId="7C619BF7" w14:textId="77777777" w:rsidR="001F27D2" w:rsidRPr="002B2A7F" w:rsidRDefault="001F27D2" w:rsidP="001F27D2">
      <w:pPr>
        <w:pStyle w:val="bullet"/>
        <w:numPr>
          <w:ilvl w:val="0"/>
          <w:numId w:val="0"/>
        </w:numPr>
        <w:ind w:left="1069"/>
        <w:rPr>
          <w:rFonts w:asciiTheme="minorHAnsi" w:hAnsiTheme="minorHAnsi" w:cs="Calibri"/>
        </w:rPr>
        <w:sectPr w:rsidR="001F27D2" w:rsidRPr="002B2A7F" w:rsidSect="002B41F6">
          <w:headerReference w:type="default" r:id="rId40"/>
          <w:footerReference w:type="default" r:id="rId41"/>
          <w:pgSz w:w="11906" w:h="16838"/>
          <w:pgMar w:top="1440" w:right="1276" w:bottom="1134" w:left="1440" w:header="709" w:footer="567" w:gutter="0"/>
          <w:cols w:space="720"/>
        </w:sectPr>
      </w:pPr>
    </w:p>
    <w:p w14:paraId="47A94CF0" w14:textId="77777777" w:rsidR="001F27D2" w:rsidRPr="002B2A7F" w:rsidRDefault="001F27D2" w:rsidP="001F27D2">
      <w:pPr>
        <w:pStyle w:val="Figureheading0"/>
        <w:rPr>
          <w:rFonts w:asciiTheme="minorHAnsi" w:hAnsiTheme="minorHAnsi" w:cs="Calibri"/>
        </w:rPr>
      </w:pPr>
      <w:bookmarkStart w:id="283" w:name="_Toc524935620"/>
      <w:bookmarkStart w:id="284" w:name="_Toc532812527"/>
      <w:r w:rsidRPr="002B2A7F">
        <w:rPr>
          <w:rFonts w:asciiTheme="minorHAnsi" w:hAnsiTheme="minorHAnsi"/>
        </w:rPr>
        <w:lastRenderedPageBreak/>
        <w:t>Figure 3.</w:t>
      </w:r>
      <w:r>
        <w:rPr>
          <w:rFonts w:asciiTheme="minorHAnsi" w:hAnsiTheme="minorHAnsi"/>
        </w:rPr>
        <w:t>4</w:t>
      </w:r>
      <w:r w:rsidRPr="002B2A7F">
        <w:rPr>
          <w:rFonts w:asciiTheme="minorHAnsi" w:hAnsiTheme="minorHAnsi"/>
        </w:rPr>
        <w:tab/>
        <w:t xml:space="preserve">Travel to work flows to and from </w:t>
      </w:r>
      <w:bookmarkEnd w:id="283"/>
      <w:r w:rsidRPr="002B2A7F">
        <w:rPr>
          <w:rFonts w:asciiTheme="minorHAnsi" w:hAnsiTheme="minorHAnsi"/>
        </w:rPr>
        <w:t>Eden</w:t>
      </w:r>
      <w:bookmarkEnd w:id="284"/>
    </w:p>
    <w:p w14:paraId="44F976EB" w14:textId="5B69F4BF" w:rsidR="001F27D2" w:rsidRDefault="00156DE0" w:rsidP="006713C4">
      <w:pPr>
        <w:rPr>
          <w:rStyle w:val="CommentReference"/>
          <w:rFonts w:asciiTheme="minorHAnsi" w:hAnsiTheme="minorHAnsi"/>
          <w:sz w:val="22"/>
          <w:szCs w:val="22"/>
          <w:highlight w:val="yellow"/>
        </w:rPr>
      </w:pPr>
      <w:r>
        <w:rPr>
          <w:noProof/>
          <w:lang w:eastAsia="en-GB"/>
        </w:rPr>
        <w:drawing>
          <wp:inline distT="0" distB="0" distL="0" distR="0" wp14:anchorId="15274F3D" wp14:editId="08526143">
            <wp:extent cx="9907749" cy="4114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910856" cy="4116090"/>
                    </a:xfrm>
                    <a:prstGeom prst="rect">
                      <a:avLst/>
                    </a:prstGeom>
                  </pic:spPr>
                </pic:pic>
              </a:graphicData>
            </a:graphic>
          </wp:inline>
        </w:drawing>
      </w:r>
    </w:p>
    <w:p w14:paraId="3153E625" w14:textId="77777777" w:rsidR="001F27D2" w:rsidRPr="002B2A7F" w:rsidRDefault="001F27D2" w:rsidP="001F27D2">
      <w:pPr>
        <w:pStyle w:val="bullet"/>
        <w:numPr>
          <w:ilvl w:val="0"/>
          <w:numId w:val="0"/>
        </w:numPr>
        <w:rPr>
          <w:rFonts w:asciiTheme="minorHAnsi" w:hAnsiTheme="minorHAnsi" w:cs="Calibri"/>
          <w:sz w:val="20"/>
          <w:szCs w:val="20"/>
        </w:rPr>
      </w:pPr>
      <w:r w:rsidRPr="002B2A7F">
        <w:rPr>
          <w:rStyle w:val="CommentReference"/>
          <w:rFonts w:asciiTheme="minorHAnsi" w:hAnsiTheme="minorHAnsi"/>
          <w:sz w:val="20"/>
          <w:szCs w:val="20"/>
        </w:rPr>
        <w:t>Source: 2011 Census</w:t>
      </w:r>
    </w:p>
    <w:p w14:paraId="7AB0EBEF" w14:textId="77777777" w:rsidR="001F27D2" w:rsidRPr="002B2A7F" w:rsidRDefault="001F27D2" w:rsidP="001F27D2">
      <w:pPr>
        <w:pStyle w:val="bullet"/>
        <w:numPr>
          <w:ilvl w:val="0"/>
          <w:numId w:val="0"/>
        </w:numPr>
        <w:rPr>
          <w:rFonts w:asciiTheme="minorHAnsi" w:hAnsiTheme="minorHAnsi" w:cs="Calibri"/>
        </w:rPr>
      </w:pPr>
    </w:p>
    <w:p w14:paraId="70582F80" w14:textId="77777777" w:rsidR="001F27D2" w:rsidRPr="002B2A7F" w:rsidRDefault="001F27D2" w:rsidP="001F27D2">
      <w:pPr>
        <w:pStyle w:val="bullet"/>
        <w:numPr>
          <w:ilvl w:val="0"/>
          <w:numId w:val="0"/>
        </w:numPr>
        <w:ind w:left="1069"/>
        <w:rPr>
          <w:rFonts w:asciiTheme="minorHAnsi" w:hAnsiTheme="minorHAnsi" w:cs="Calibri"/>
        </w:rPr>
      </w:pPr>
    </w:p>
    <w:p w14:paraId="02232F20" w14:textId="77777777" w:rsidR="001F27D2" w:rsidRPr="002B2A7F" w:rsidRDefault="001F27D2" w:rsidP="001F27D2">
      <w:pPr>
        <w:pStyle w:val="bullet"/>
        <w:numPr>
          <w:ilvl w:val="0"/>
          <w:numId w:val="0"/>
        </w:numPr>
        <w:ind w:left="1069" w:hanging="360"/>
        <w:rPr>
          <w:rFonts w:asciiTheme="minorHAnsi" w:hAnsiTheme="minorHAnsi" w:cs="Calibri"/>
        </w:rPr>
        <w:sectPr w:rsidR="001F27D2" w:rsidRPr="002B2A7F" w:rsidSect="002B41F6">
          <w:headerReference w:type="default" r:id="rId43"/>
          <w:footerReference w:type="default" r:id="rId44"/>
          <w:pgSz w:w="16838" w:h="11906" w:orient="landscape"/>
          <w:pgMar w:top="1276" w:right="1134" w:bottom="1440" w:left="1440" w:header="709" w:footer="567" w:gutter="0"/>
          <w:cols w:space="720"/>
          <w:docGrid w:linePitch="326"/>
        </w:sectPr>
      </w:pPr>
    </w:p>
    <w:p w14:paraId="1AD38836" w14:textId="77777777" w:rsidR="001F27D2" w:rsidRPr="002B2A7F" w:rsidRDefault="001F27D2" w:rsidP="001F27D2">
      <w:pPr>
        <w:pStyle w:val="Heading2"/>
        <w:ind w:left="720" w:hanging="11"/>
        <w:rPr>
          <w:rFonts w:asciiTheme="minorHAnsi" w:hAnsiTheme="minorHAnsi"/>
        </w:rPr>
      </w:pPr>
      <w:bookmarkStart w:id="285" w:name="_Toc524935577"/>
      <w:bookmarkStart w:id="286" w:name="_Toc531122870"/>
      <w:bookmarkStart w:id="287" w:name="_Toc532812402"/>
      <w:r w:rsidRPr="002B2A7F">
        <w:rPr>
          <w:rFonts w:asciiTheme="minorHAnsi" w:hAnsiTheme="minorHAnsi"/>
        </w:rPr>
        <w:lastRenderedPageBreak/>
        <w:t>A qualitative perspective on housing market dynamics and drivers</w:t>
      </w:r>
      <w:bookmarkEnd w:id="285"/>
      <w:bookmarkEnd w:id="286"/>
      <w:bookmarkEnd w:id="287"/>
    </w:p>
    <w:p w14:paraId="401D5231" w14:textId="04746810" w:rsidR="001F27D2" w:rsidRPr="002B2A7F" w:rsidRDefault="001F27D2" w:rsidP="001F27D2">
      <w:pPr>
        <w:pStyle w:val="Reporttext"/>
      </w:pPr>
      <w:r w:rsidRPr="002B2A7F">
        <w:t xml:space="preserve">Previous sections of this report have focused on describing the policy context and the widely accepted ‘big picture’ quantitative indicators such as price and affordability trends and flows of people.  However, the price and rental information set out in Maps 3.1 and </w:t>
      </w:r>
      <w:r w:rsidRPr="000D4745">
        <w:t>3.2</w:t>
      </w:r>
      <w:r w:rsidRPr="002B2A7F">
        <w:t xml:space="preserve"> illustrate that housing costs vary considerably across Eden District. An understanding of why price and affordability vary across Eden District is crucial. The following qualitative research is designed to explain this at a local level and add context to the analysis of Eden’s housing market areas.</w:t>
      </w:r>
    </w:p>
    <w:p w14:paraId="3FE6F2B9" w14:textId="77777777" w:rsidR="001F27D2" w:rsidRPr="002B2A7F" w:rsidRDefault="001F27D2" w:rsidP="001F27D2">
      <w:pPr>
        <w:pStyle w:val="Reporttext"/>
      </w:pPr>
      <w:r w:rsidRPr="002B2A7F">
        <w:t xml:space="preserve">The information is quite detailed, so we lead with the key findings with supporting evidence below. </w:t>
      </w:r>
    </w:p>
    <w:p w14:paraId="19FA83A4" w14:textId="77777777" w:rsidR="001F27D2" w:rsidRPr="002B2A7F" w:rsidRDefault="001F27D2" w:rsidP="001F27D2">
      <w:pPr>
        <w:pStyle w:val="Reporttext"/>
        <w:numPr>
          <w:ilvl w:val="0"/>
          <w:numId w:val="0"/>
        </w:numPr>
        <w:ind w:left="709"/>
      </w:pPr>
    </w:p>
    <w:p w14:paraId="3A98FBA7" w14:textId="77777777" w:rsidR="001F27D2" w:rsidRPr="002B2A7F" w:rsidRDefault="001F27D2" w:rsidP="001F27D2">
      <w:pPr>
        <w:pStyle w:val="Heading3"/>
        <w:rPr>
          <w:rFonts w:asciiTheme="minorHAnsi" w:hAnsiTheme="minorHAnsi"/>
        </w:rPr>
      </w:pPr>
      <w:r w:rsidRPr="002B2A7F">
        <w:rPr>
          <w:rFonts w:asciiTheme="minorHAnsi" w:hAnsiTheme="minorHAnsi"/>
        </w:rPr>
        <w:t>Key findings</w:t>
      </w:r>
    </w:p>
    <w:p w14:paraId="19FAFDAD" w14:textId="77777777" w:rsidR="001F27D2" w:rsidRPr="002B2A7F" w:rsidRDefault="001F27D2" w:rsidP="001F27D2">
      <w:pPr>
        <w:pStyle w:val="Reporttext"/>
      </w:pPr>
      <w:r w:rsidRPr="002B2A7F">
        <w:t xml:space="preserve">Interviews, data and observations revealed that: </w:t>
      </w:r>
    </w:p>
    <w:p w14:paraId="4CE29EAD" w14:textId="5EF6FAC0" w:rsidR="001F27D2" w:rsidRDefault="001F27D2" w:rsidP="001F27D2">
      <w:pPr>
        <w:pStyle w:val="bullet"/>
        <w:spacing w:before="0"/>
        <w:jc w:val="left"/>
        <w:rPr>
          <w:rFonts w:asciiTheme="minorHAnsi" w:hAnsiTheme="minorHAnsi"/>
        </w:rPr>
      </w:pPr>
      <w:r w:rsidRPr="002B2A7F">
        <w:rPr>
          <w:rFonts w:asciiTheme="minorHAnsi" w:hAnsiTheme="minorHAnsi"/>
        </w:rPr>
        <w:t xml:space="preserve">the boundary of the local housing market is not an exact fit to the </w:t>
      </w:r>
      <w:r w:rsidR="00FE0995">
        <w:rPr>
          <w:rFonts w:asciiTheme="minorHAnsi" w:hAnsiTheme="minorHAnsi"/>
        </w:rPr>
        <w:t>D</w:t>
      </w:r>
      <w:r w:rsidRPr="002B2A7F">
        <w:rPr>
          <w:rFonts w:asciiTheme="minorHAnsi" w:hAnsiTheme="minorHAnsi"/>
        </w:rPr>
        <w:t>istrict boundary however, this is not significant due to the rural nature of the boundary which is difficult to define;</w:t>
      </w:r>
    </w:p>
    <w:p w14:paraId="2681BB45" w14:textId="4C879690" w:rsidR="00804B09" w:rsidRDefault="00804B09" w:rsidP="00804B09">
      <w:pPr>
        <w:pStyle w:val="bullet"/>
        <w:spacing w:before="0"/>
        <w:jc w:val="left"/>
        <w:rPr>
          <w:rFonts w:asciiTheme="minorHAnsi" w:hAnsiTheme="minorHAnsi"/>
        </w:rPr>
      </w:pPr>
      <w:r>
        <w:rPr>
          <w:rFonts w:asciiTheme="minorHAnsi" w:hAnsiTheme="minorHAnsi"/>
        </w:rPr>
        <w:t xml:space="preserve">evidence from </w:t>
      </w:r>
      <w:r w:rsidR="001F27D2" w:rsidRPr="00F46F34">
        <w:rPr>
          <w:rFonts w:asciiTheme="minorHAnsi" w:hAnsiTheme="minorHAnsi"/>
        </w:rPr>
        <w:t xml:space="preserve">estate agents regarding customer areas of search and evidence from the 2011 Census suggest that the </w:t>
      </w:r>
      <w:r w:rsidR="00FE0995" w:rsidRPr="005B76B0">
        <w:rPr>
          <w:rFonts w:asciiTheme="minorHAnsi" w:hAnsiTheme="minorHAnsi"/>
        </w:rPr>
        <w:t>D</w:t>
      </w:r>
      <w:r w:rsidR="001F27D2" w:rsidRPr="005B76B0">
        <w:rPr>
          <w:rFonts w:asciiTheme="minorHAnsi" w:hAnsiTheme="minorHAnsi"/>
        </w:rPr>
        <w:t>istrict can logically be split into 5 local housing market areas</w:t>
      </w:r>
      <w:r w:rsidR="00F46F34">
        <w:rPr>
          <w:rFonts w:asciiTheme="minorHAnsi" w:hAnsiTheme="minorHAnsi"/>
        </w:rPr>
        <w:t xml:space="preserve"> as referenced earlier in the report. The identified housing market areas are as follows:</w:t>
      </w:r>
    </w:p>
    <w:p w14:paraId="6600F91C" w14:textId="77777777" w:rsidR="00804B09" w:rsidRPr="002B2A7F" w:rsidRDefault="00804B09" w:rsidP="00804B09">
      <w:pPr>
        <w:pStyle w:val="bullet"/>
        <w:numPr>
          <w:ilvl w:val="0"/>
          <w:numId w:val="0"/>
        </w:numPr>
        <w:spacing w:before="0"/>
        <w:ind w:left="1069"/>
        <w:jc w:val="left"/>
        <w:rPr>
          <w:rFonts w:asciiTheme="minorHAnsi" w:hAnsiTheme="minorHAnsi"/>
        </w:rPr>
      </w:pPr>
    </w:p>
    <w:p w14:paraId="5488CC70" w14:textId="2EDD82C1" w:rsidR="00F46F34" w:rsidRDefault="00F46F34" w:rsidP="00804B09">
      <w:pPr>
        <w:pStyle w:val="bullet"/>
        <w:numPr>
          <w:ilvl w:val="0"/>
          <w:numId w:val="0"/>
        </w:numPr>
        <w:spacing w:before="0"/>
        <w:ind w:left="1069"/>
        <w:jc w:val="left"/>
        <w:rPr>
          <w:rFonts w:asciiTheme="minorHAnsi" w:hAnsiTheme="minorHAnsi"/>
        </w:rPr>
      </w:pPr>
      <w:r>
        <w:rPr>
          <w:rFonts w:asciiTheme="minorHAnsi" w:hAnsiTheme="minorHAnsi"/>
        </w:rPr>
        <w:t>HMA1: Penrith. Comprising:</w:t>
      </w:r>
    </w:p>
    <w:p w14:paraId="1F17D442" w14:textId="72521D3E" w:rsidR="00F46F34" w:rsidRDefault="00F46F34" w:rsidP="00804B09">
      <w:pPr>
        <w:pStyle w:val="bulletlevel2"/>
        <w:numPr>
          <w:ilvl w:val="2"/>
          <w:numId w:val="17"/>
        </w:numPr>
      </w:pPr>
      <w:r>
        <w:t>Ainstable, Catterlen, Cliburn, Clifton, Glassonby, Great Salkeld, Great Strickland, Hesket, Hunsonby, Kirkoswald, Langwathby, Lazonby, Little Strickland, Morland, Newby, Penrith, Skelton, Sleagill, Sockbridge&amp;Tirril, Thrimby, Yanwath&amp;Eamont Bridge</w:t>
      </w:r>
    </w:p>
    <w:p w14:paraId="5338CF98" w14:textId="078CE995" w:rsidR="00804B09" w:rsidRDefault="00804B09" w:rsidP="00804B09">
      <w:pPr>
        <w:pStyle w:val="bulletlevel2"/>
        <w:numPr>
          <w:ilvl w:val="2"/>
          <w:numId w:val="17"/>
        </w:numPr>
      </w:pPr>
      <w:r>
        <w:t>Note that HMA1 has been further split into HMA 1A Penrith Urban which covers the town of Penrith and HMA1B Penrith Rural which relates to th</w:t>
      </w:r>
      <w:r w:rsidR="00A940FA">
        <w:t>e</w:t>
      </w:r>
      <w:r>
        <w:t xml:space="preserve"> rural areas around Penrith</w:t>
      </w:r>
    </w:p>
    <w:p w14:paraId="1F6E3999" w14:textId="439B6798" w:rsidR="005B76B0" w:rsidRDefault="005B76B0" w:rsidP="00804B09">
      <w:pPr>
        <w:pStyle w:val="bulletlevel2"/>
        <w:numPr>
          <w:ilvl w:val="0"/>
          <w:numId w:val="0"/>
        </w:numPr>
        <w:ind w:left="1434" w:hanging="357"/>
      </w:pPr>
      <w:r>
        <w:t>HMA2: Appleby-In-Westmorland. Comprising:</w:t>
      </w:r>
    </w:p>
    <w:p w14:paraId="1419FA13" w14:textId="0A72296D" w:rsidR="005B76B0" w:rsidRDefault="005B76B0" w:rsidP="00804B09">
      <w:pPr>
        <w:pStyle w:val="bulletlevel2"/>
        <w:numPr>
          <w:ilvl w:val="2"/>
          <w:numId w:val="17"/>
        </w:numPr>
      </w:pPr>
      <w:r>
        <w:t>Appleby-in-Westmorland, Asby, Bandleyside, Barton, Bolton, Brougham, Crackenthorpe, Crosby Ravensworth, Dufton, King’s Meaburn, Kirkby Thore, Long Marton, Milburn, Murton, Newbiggin, Temple Sowerby, Warcop</w:t>
      </w:r>
    </w:p>
    <w:p w14:paraId="58ABE169" w14:textId="210F867B" w:rsidR="005B76B0" w:rsidRDefault="005B76B0" w:rsidP="00804B09">
      <w:pPr>
        <w:pStyle w:val="bulletlevel2"/>
        <w:numPr>
          <w:ilvl w:val="0"/>
          <w:numId w:val="0"/>
        </w:numPr>
        <w:ind w:left="1434" w:hanging="357"/>
      </w:pPr>
      <w:r>
        <w:t>HMA3: Kirkby Stephen. Comprising:</w:t>
      </w:r>
    </w:p>
    <w:p w14:paraId="7D863797" w14:textId="7C49E702" w:rsidR="005B76B0" w:rsidRDefault="005B76B0" w:rsidP="00804B09">
      <w:pPr>
        <w:pStyle w:val="bulletlevel2"/>
        <w:numPr>
          <w:ilvl w:val="2"/>
          <w:numId w:val="17"/>
        </w:numPr>
      </w:pPr>
      <w:r>
        <w:t>Brough, Brough Sowerby, Crosby Garrett, Hartley, Helbeck, Kaber, Kirkby Stephen, Mallerstang, Musgrave, Nateby, Orton, Ravenstonedale, Soulby, Stainmore, Tebay, Waitby, Wharton, Winton</w:t>
      </w:r>
    </w:p>
    <w:p w14:paraId="3A302F8A" w14:textId="02976E4D" w:rsidR="005B76B0" w:rsidRDefault="005B76B0" w:rsidP="00804B09">
      <w:pPr>
        <w:pStyle w:val="bulletlevel2"/>
        <w:numPr>
          <w:ilvl w:val="0"/>
          <w:numId w:val="0"/>
        </w:numPr>
        <w:ind w:left="1434" w:hanging="357"/>
      </w:pPr>
      <w:r>
        <w:t>HMA4: Alston. Comprising:</w:t>
      </w:r>
    </w:p>
    <w:p w14:paraId="70BA1630" w14:textId="2431BB19" w:rsidR="005B76B0" w:rsidRDefault="005B76B0" w:rsidP="00804B09">
      <w:pPr>
        <w:pStyle w:val="bulletlevel2"/>
        <w:numPr>
          <w:ilvl w:val="0"/>
          <w:numId w:val="37"/>
        </w:numPr>
      </w:pPr>
      <w:r>
        <w:t>Alston Moor, Culgaith, Ousby</w:t>
      </w:r>
    </w:p>
    <w:p w14:paraId="614160F7" w14:textId="066F2E5B" w:rsidR="005B76B0" w:rsidRDefault="005B76B0" w:rsidP="00804B09">
      <w:pPr>
        <w:pStyle w:val="bulletlevel2"/>
        <w:numPr>
          <w:ilvl w:val="0"/>
          <w:numId w:val="0"/>
        </w:numPr>
        <w:ind w:left="1434" w:hanging="357"/>
      </w:pPr>
      <w:r>
        <w:lastRenderedPageBreak/>
        <w:t>HMA5: West of the M6. Comprising:</w:t>
      </w:r>
    </w:p>
    <w:p w14:paraId="22E37FFB" w14:textId="6EC2EC70" w:rsidR="005B76B0" w:rsidRPr="002B2A7F" w:rsidRDefault="005B76B0" w:rsidP="00804B09">
      <w:pPr>
        <w:pStyle w:val="bulletlevel2"/>
        <w:numPr>
          <w:ilvl w:val="0"/>
          <w:numId w:val="37"/>
        </w:numPr>
      </w:pPr>
      <w:r>
        <w:t>Askham, Bampton, Castle Sowerby, Dacre, Greystoke, Hutton, Lowther, Martindale, Matterdale, Mungrisdale, Patterdale, Shap, Threlkeld</w:t>
      </w:r>
    </w:p>
    <w:p w14:paraId="15D99174" w14:textId="77777777" w:rsidR="001F27D2" w:rsidRPr="002B2A7F" w:rsidRDefault="001F27D2" w:rsidP="001F27D2">
      <w:pPr>
        <w:pStyle w:val="bullet"/>
        <w:spacing w:before="0"/>
        <w:jc w:val="left"/>
        <w:rPr>
          <w:rFonts w:asciiTheme="minorHAnsi" w:hAnsiTheme="minorHAnsi"/>
        </w:rPr>
      </w:pPr>
      <w:r w:rsidRPr="002B2A7F">
        <w:rPr>
          <w:rFonts w:asciiTheme="minorHAnsi" w:hAnsiTheme="minorHAnsi"/>
        </w:rPr>
        <w:t>supply from re-sale and re-let market housing is constrained because of uncertainty arising from the Brexit process;</w:t>
      </w:r>
    </w:p>
    <w:p w14:paraId="56ADBDBF" w14:textId="77777777" w:rsidR="001F27D2" w:rsidRPr="002B2A7F" w:rsidRDefault="001F27D2" w:rsidP="001F27D2">
      <w:pPr>
        <w:pStyle w:val="bullet"/>
        <w:spacing w:before="0"/>
        <w:jc w:val="left"/>
        <w:rPr>
          <w:rFonts w:asciiTheme="minorHAnsi" w:hAnsiTheme="minorHAnsi"/>
        </w:rPr>
      </w:pPr>
      <w:r w:rsidRPr="002B2A7F">
        <w:rPr>
          <w:rFonts w:asciiTheme="minorHAnsi" w:hAnsiTheme="minorHAnsi"/>
        </w:rPr>
        <w:t>markets are also constrained as currently there is little new build housing for the entry level and mid markets;</w:t>
      </w:r>
    </w:p>
    <w:p w14:paraId="6255217A" w14:textId="1F8ACCD6" w:rsidR="001F27D2" w:rsidRPr="002B2A7F" w:rsidRDefault="001F27D2" w:rsidP="001F27D2">
      <w:pPr>
        <w:pStyle w:val="bullet"/>
        <w:spacing w:before="0"/>
        <w:jc w:val="left"/>
        <w:rPr>
          <w:rFonts w:asciiTheme="minorHAnsi" w:hAnsiTheme="minorHAnsi"/>
        </w:rPr>
      </w:pPr>
      <w:r w:rsidRPr="002B2A7F">
        <w:rPr>
          <w:rFonts w:asciiTheme="minorHAnsi" w:hAnsiTheme="minorHAnsi"/>
        </w:rPr>
        <w:t>the key gap identified for</w:t>
      </w:r>
      <w:r w:rsidR="00FE0995">
        <w:rPr>
          <w:rFonts w:asciiTheme="minorHAnsi" w:hAnsiTheme="minorHAnsi"/>
        </w:rPr>
        <w:t xml:space="preserve"> the</w:t>
      </w:r>
      <w:r w:rsidRPr="002B2A7F">
        <w:rPr>
          <w:rFonts w:asciiTheme="minorHAnsi" w:hAnsiTheme="minorHAnsi"/>
        </w:rPr>
        <w:t xml:space="preserve"> re-sale market is very strong unmet demand for bungalows for older people;</w:t>
      </w:r>
    </w:p>
    <w:p w14:paraId="76F21E08" w14:textId="77777777" w:rsidR="001F27D2" w:rsidRPr="002B2A7F" w:rsidRDefault="001F27D2" w:rsidP="001F27D2">
      <w:pPr>
        <w:pStyle w:val="bullet"/>
        <w:spacing w:before="0"/>
        <w:jc w:val="left"/>
        <w:rPr>
          <w:rFonts w:asciiTheme="minorHAnsi" w:hAnsiTheme="minorHAnsi"/>
        </w:rPr>
      </w:pPr>
      <w:r w:rsidRPr="002B2A7F">
        <w:rPr>
          <w:rFonts w:asciiTheme="minorHAnsi" w:hAnsiTheme="minorHAnsi"/>
        </w:rPr>
        <w:t>the key gap identified for market rented housing is 3-bedroom houses for families;</w:t>
      </w:r>
    </w:p>
    <w:p w14:paraId="41771B82" w14:textId="77777777" w:rsidR="001F27D2" w:rsidRPr="002B2A7F" w:rsidRDefault="001F27D2" w:rsidP="001F27D2">
      <w:pPr>
        <w:pStyle w:val="bullet"/>
        <w:spacing w:before="0"/>
        <w:jc w:val="left"/>
        <w:rPr>
          <w:rFonts w:asciiTheme="minorHAnsi" w:hAnsiTheme="minorHAnsi"/>
        </w:rPr>
      </w:pPr>
      <w:r w:rsidRPr="002B2A7F">
        <w:rPr>
          <w:rFonts w:asciiTheme="minorHAnsi" w:hAnsiTheme="minorHAnsi"/>
        </w:rPr>
        <w:t>it is unlikely that current levels of investment in the private rented sector will keep up with demand.</w:t>
      </w:r>
    </w:p>
    <w:p w14:paraId="116714C9" w14:textId="1A4DE8F6" w:rsidR="001F27D2" w:rsidRPr="002B2A7F" w:rsidRDefault="005B76B0" w:rsidP="00804B09">
      <w:pPr>
        <w:pStyle w:val="bullet"/>
        <w:rPr>
          <w:rFonts w:asciiTheme="minorHAnsi" w:hAnsiTheme="minorHAnsi"/>
        </w:rPr>
      </w:pPr>
      <w:r w:rsidRPr="002B2A7F">
        <w:t xml:space="preserve">Evidence from the 2011 Census reveals high levels of commuting and housing market self-containment within the </w:t>
      </w:r>
      <w:r>
        <w:t>D</w:t>
      </w:r>
      <w:r w:rsidRPr="002B2A7F">
        <w:t>istrict. It is noteworthy that the proportion of those working from home is higher in the areas defined as Alston and villages west of the M6.</w:t>
      </w:r>
    </w:p>
    <w:p w14:paraId="0BF6F997" w14:textId="77777777" w:rsidR="00804B09" w:rsidRDefault="00804B09" w:rsidP="003106AD"/>
    <w:p w14:paraId="3A950C3B" w14:textId="60FAAE20" w:rsidR="001F27D2" w:rsidRPr="002B2A7F" w:rsidRDefault="001F27D2" w:rsidP="001F27D2">
      <w:pPr>
        <w:pStyle w:val="Heading3"/>
        <w:rPr>
          <w:rFonts w:asciiTheme="minorHAnsi" w:hAnsiTheme="minorHAnsi"/>
        </w:rPr>
      </w:pPr>
      <w:r w:rsidRPr="002B2A7F">
        <w:rPr>
          <w:rFonts w:asciiTheme="minorHAnsi" w:hAnsiTheme="minorHAnsi"/>
        </w:rPr>
        <w:t>Sub-markets within Eden District</w:t>
      </w:r>
    </w:p>
    <w:p w14:paraId="03030988" w14:textId="134C0F11" w:rsidR="001F27D2" w:rsidRPr="002B2A7F" w:rsidRDefault="001F27D2" w:rsidP="001F27D2">
      <w:pPr>
        <w:pStyle w:val="Reporttext"/>
      </w:pPr>
      <w:r w:rsidRPr="002B2A7F">
        <w:t xml:space="preserve">The following information has been obtained from interviews with six estate and letting agents, three new build sales agents and from our observations when visiting the </w:t>
      </w:r>
      <w:r w:rsidR="00FE0995">
        <w:t>D</w:t>
      </w:r>
      <w:r w:rsidRPr="002B2A7F">
        <w:t>istrict. We have reported agent views and perceptions as stated by them. Our aim was to get a better understanding of housing market dynamics and the geography of sub markets.</w:t>
      </w:r>
    </w:p>
    <w:p w14:paraId="26914E92" w14:textId="77777777" w:rsidR="001F27D2" w:rsidRPr="002B2A7F" w:rsidRDefault="001F27D2" w:rsidP="001F27D2">
      <w:pPr>
        <w:pStyle w:val="Reporttext"/>
        <w:numPr>
          <w:ilvl w:val="0"/>
          <w:numId w:val="0"/>
        </w:numPr>
        <w:ind w:left="709"/>
      </w:pPr>
    </w:p>
    <w:p w14:paraId="2F7FF84E" w14:textId="1A23DE03" w:rsidR="001F27D2" w:rsidRPr="002B2A7F" w:rsidRDefault="005B76B0" w:rsidP="001F27D2">
      <w:pPr>
        <w:pStyle w:val="Heading3"/>
        <w:rPr>
          <w:rFonts w:asciiTheme="minorHAnsi" w:hAnsiTheme="minorHAnsi"/>
        </w:rPr>
      </w:pPr>
      <w:r>
        <w:rPr>
          <w:rFonts w:asciiTheme="minorHAnsi" w:hAnsiTheme="minorHAnsi"/>
        </w:rPr>
        <w:t xml:space="preserve">HMA1: </w:t>
      </w:r>
      <w:r w:rsidR="001F27D2" w:rsidRPr="002B2A7F">
        <w:rPr>
          <w:rFonts w:asciiTheme="minorHAnsi" w:hAnsiTheme="minorHAnsi"/>
        </w:rPr>
        <w:t>Penrith</w:t>
      </w:r>
    </w:p>
    <w:p w14:paraId="5B659AD5" w14:textId="328C7A10" w:rsidR="001F27D2" w:rsidRPr="002B2A7F" w:rsidRDefault="001F27D2" w:rsidP="001F27D2">
      <w:pPr>
        <w:pStyle w:val="Reporttext"/>
      </w:pPr>
      <w:r w:rsidRPr="002B2A7F">
        <w:t xml:space="preserve">This large market town has grown significantly due to its road and rail connections especially the M6, A66 and the west coast main line.  It is the centre of administration for the </w:t>
      </w:r>
      <w:r w:rsidR="00FE0995">
        <w:t>D</w:t>
      </w:r>
      <w:r w:rsidRPr="002B2A7F">
        <w:t>istrict and the county and has professional services in addition to retail and leisure services. The town has many well-connected satellite villages that are also considered here.</w:t>
      </w:r>
    </w:p>
    <w:p w14:paraId="63F1B6B1" w14:textId="55F4C1E3" w:rsidR="001F27D2" w:rsidRPr="002B2A7F" w:rsidRDefault="001F27D2" w:rsidP="001F27D2">
      <w:pPr>
        <w:pStyle w:val="Reporttext"/>
      </w:pPr>
      <w:r w:rsidRPr="002B2A7F">
        <w:t xml:space="preserve">Agents told us that the majority of transactions were local with relatively few incomers to the area. What attracted incomers were new homes, second homes and re-let/resale homes that were relocations for employment or commuting.  It became apparent during interviews that Eden in general, and Penrith in particular, form a gateway to the </w:t>
      </w:r>
      <w:r w:rsidR="00FE0995">
        <w:t>L</w:t>
      </w:r>
      <w:r w:rsidRPr="002B2A7F">
        <w:t xml:space="preserve">ake </w:t>
      </w:r>
      <w:r w:rsidR="00FE0995">
        <w:t>D</w:t>
      </w:r>
      <w:r w:rsidRPr="002B2A7F">
        <w:t xml:space="preserve">istrict.  This is due to the intersection of A66 from the east, and the M6 from the north and south at Penrith.  Agents explained that prices were lower than within the park as prices had not been driven up by high concentrations of high net worth households seeking the unique </w:t>
      </w:r>
      <w:r w:rsidR="00FE0995">
        <w:t>L</w:t>
      </w:r>
      <w:r w:rsidRPr="002B2A7F">
        <w:t xml:space="preserve">ake </w:t>
      </w:r>
      <w:r w:rsidR="00FE0995">
        <w:t>D</w:t>
      </w:r>
      <w:r w:rsidRPr="002B2A7F">
        <w:t>istrict landscape.  However, in Penrith and the surrounding area, the market mainly served longer term residents upsizing and downsizing as their circumstances change.</w:t>
      </w:r>
    </w:p>
    <w:p w14:paraId="4AFA91EC" w14:textId="447329AA" w:rsidR="001F27D2" w:rsidRPr="002B2A7F" w:rsidRDefault="001F27D2" w:rsidP="001F27D2">
      <w:pPr>
        <w:pStyle w:val="Reporttext"/>
      </w:pPr>
      <w:r w:rsidRPr="002B2A7F">
        <w:lastRenderedPageBreak/>
        <w:t>We were told that due to the diverse nature of housing stock and range of prices within the area</w:t>
      </w:r>
      <w:r w:rsidR="00976C8A">
        <w:t xml:space="preserve">, there is opportunity to move in the market </w:t>
      </w:r>
      <w:r w:rsidRPr="002B2A7F">
        <w:t xml:space="preserve">when the market </w:t>
      </w:r>
      <w:r w:rsidR="00976C8A">
        <w:t>i</w:t>
      </w:r>
      <w:r w:rsidRPr="002B2A7F">
        <w:t xml:space="preserve">s working efficiently. </w:t>
      </w:r>
      <w:r w:rsidR="00976C8A">
        <w:t xml:space="preserve">Notwithstanding this, there remains a need for affordable housing as evidenced in the housing needs study. Additionally, there </w:t>
      </w:r>
      <w:r w:rsidRPr="002B2A7F">
        <w:t>is long</w:t>
      </w:r>
      <w:r w:rsidR="00976C8A">
        <w:t>-</w:t>
      </w:r>
      <w:r w:rsidRPr="002B2A7F">
        <w:t xml:space="preserve">term rising demand for bungalows for older people. Agents conceded that the term ‘bungalow’ would cover </w:t>
      </w:r>
      <w:r w:rsidR="002137BC">
        <w:t xml:space="preserve">a </w:t>
      </w:r>
      <w:r w:rsidRPr="002B2A7F">
        <w:t xml:space="preserve">broad range of homes suited to older people and downsizing solutions: bungalows, houses with ground floor facilities and apartments with lift access. </w:t>
      </w:r>
    </w:p>
    <w:p w14:paraId="09BCDA9D" w14:textId="656E0419" w:rsidR="001F27D2" w:rsidRPr="002B2A7F" w:rsidRDefault="001F27D2" w:rsidP="001F27D2">
      <w:pPr>
        <w:pStyle w:val="Reporttext"/>
      </w:pPr>
      <w:r w:rsidRPr="002B2A7F">
        <w:t xml:space="preserve">Agents considered that the current Churchill retirement housing development under construction in the town centre was a welcome addition but only a part of the solution. One agent considered that a more general solution would be the mandatory provision of lifts in all apartments over two stories. Another agent thought that volume housebuilders should do more to produce house types with features that are particularly attractive to the elderly downsizer. </w:t>
      </w:r>
    </w:p>
    <w:p w14:paraId="2D1B5E47" w14:textId="77777777" w:rsidR="001F27D2" w:rsidRPr="002B2A7F" w:rsidRDefault="001F27D2" w:rsidP="001F27D2">
      <w:pPr>
        <w:pStyle w:val="Reporttext"/>
      </w:pPr>
      <w:r w:rsidRPr="002B2A7F">
        <w:t>Returning to the efficient working of the market, agents considered that re-sale market volumes were currently artificially low.  This is partly due to confidence due to Brexit, the prospect of interest rate rises and partly due to the markets being blocked.  At one end, older people could not leave family housing due to the absence of acceptable downsizing solutions, at the other end, there was insufficient new build housing affordable to first time buyers.  In both cases, the supply of newbuild housing is pivotal to easing the blockages.</w:t>
      </w:r>
    </w:p>
    <w:p w14:paraId="0DFC87D6" w14:textId="73A5BD85" w:rsidR="001F27D2" w:rsidRPr="002B2A7F" w:rsidRDefault="001F27D2" w:rsidP="001F27D2">
      <w:pPr>
        <w:pStyle w:val="Reporttext"/>
      </w:pPr>
      <w:r w:rsidRPr="002B2A7F">
        <w:t xml:space="preserve">We visited five newbuild sites in Penrith or the surrounding villages in addition to the Churchill scheme. Four of these were being built by housebuilders catering for the mid to upper range of the market in relation to re-sale prices. Only one was aimed at the lower to mid-price range. The latter being crucial to enable first time buyers to purchase using </w:t>
      </w:r>
      <w:r w:rsidR="002137BC">
        <w:t>H</w:t>
      </w:r>
      <w:r w:rsidRPr="002B2A7F">
        <w:t>e</w:t>
      </w:r>
      <w:r w:rsidR="002137BC">
        <w:t>l</w:t>
      </w:r>
      <w:r w:rsidRPr="002B2A7F">
        <w:t xml:space="preserve">p to </w:t>
      </w:r>
      <w:r w:rsidR="002137BC">
        <w:t>B</w:t>
      </w:r>
      <w:r w:rsidRPr="002B2A7F">
        <w:t xml:space="preserve">uy. We only managed to interview one on site agent as all site offices were closed mid-week, however we were told that on one of the mid to upper market developments affordable housing was being offered as discounted sale. The agent told us that most sales had been to local people and the level of demand was such that the second phase had been reserved off plan. Investors, long distance re-locators existed but were in the minority.  </w:t>
      </w:r>
    </w:p>
    <w:p w14:paraId="2BF3DF81" w14:textId="1EB7B6F3" w:rsidR="001F27D2" w:rsidRPr="002B2A7F" w:rsidRDefault="001F27D2" w:rsidP="001F27D2">
      <w:pPr>
        <w:pStyle w:val="Reporttext"/>
      </w:pPr>
      <w:r w:rsidRPr="002B2A7F">
        <w:t xml:space="preserve">In view of the current new-build mix, we asked re-sale agent views about future housebuilding in the light of the </w:t>
      </w:r>
      <w:r w:rsidR="002137BC">
        <w:t>C</w:t>
      </w:r>
      <w:r w:rsidRPr="002B2A7F">
        <w:t>ouncil’s recently announced ambition to consent more new-build housing. We were told that clearly the current provision of mid to high price homes was needed and this was enabling households to migrate from the mid-market re-sale housing, which in tur</w:t>
      </w:r>
      <w:r w:rsidR="002137BC">
        <w:t>n</w:t>
      </w:r>
      <w:r w:rsidRPr="002B2A7F">
        <w:t xml:space="preserve"> would lead to churn within the low to mid-market. However, the consensus was that future development should prioritise smaller homes for first time buyers and couples as well as homes attractive to elderly downsizers. Overall, we conclude that it is logical that there should be emphasis on the housing requirements of older people within Penrith in the context of Eden District as a whole. There are many minor settlements in Eden that have few services and some present challenges to older people due to undulating or hilly locations.</w:t>
      </w:r>
    </w:p>
    <w:p w14:paraId="45D22BA2" w14:textId="77777777" w:rsidR="001F27D2" w:rsidRPr="002B2A7F" w:rsidRDefault="001F27D2" w:rsidP="001F27D2">
      <w:pPr>
        <w:pStyle w:val="Reporttext"/>
      </w:pPr>
      <w:r w:rsidRPr="002B2A7F">
        <w:t xml:space="preserve">Regarding residential lettings, we were told that there is a local gap of 3-bedroom homes, typically sought after by existing households needing more space. Historically local investors had built up portfolios of two-bedroom homes and flats. As a consequence, three-bedroom homes are the subject of many expressions of interest and let very quickly. The agent told us that few landlords will agree to let to households </w:t>
      </w:r>
      <w:r w:rsidRPr="002B2A7F">
        <w:lastRenderedPageBreak/>
        <w:t xml:space="preserve">in receipt of benefits, but others are prevented from doing so due to mortgage conditions. </w:t>
      </w:r>
    </w:p>
    <w:p w14:paraId="2AE0C28A" w14:textId="77777777" w:rsidR="001F27D2" w:rsidRPr="002B2A7F" w:rsidRDefault="001F27D2" w:rsidP="001F27D2">
      <w:pPr>
        <w:pStyle w:val="Reporttext"/>
      </w:pPr>
      <w:r w:rsidRPr="002B2A7F">
        <w:t xml:space="preserve">Agents believed that growth in supply due to new investment would not keep up with demand. We were told that some client landlords were selling up, others could not make an acceptable return on new investment due to rising prices and tenants were tending to stay put rather than move around the sector. The reason for selling up or not growing a portfolio were cited as retirement, stamp duty on purchases and changes to the taxation rules for landlords. </w:t>
      </w:r>
    </w:p>
    <w:p w14:paraId="0B93F610" w14:textId="551DF96C" w:rsidR="001F27D2" w:rsidRPr="002B2A7F" w:rsidRDefault="001F27D2" w:rsidP="001F27D2">
      <w:pPr>
        <w:pStyle w:val="Reporttext"/>
      </w:pPr>
      <w:r w:rsidRPr="002B2A7F">
        <w:t xml:space="preserve">Regarding Penrith’s satellite villages we observed higher levels of current and recent development in the areas considered in the other towns below, particularly in Stainton and Eamont Bridge. Villages north of Penrith along the A6 were smaller, were not generally subject to new housebuilding (a small development at High Hesket was noted). Settlements nearer Carlisle undoubtedly come under the influence of the city.  However, the character of the area does not change </w:t>
      </w:r>
      <w:r w:rsidR="002137BC">
        <w:t>–</w:t>
      </w:r>
      <w:r w:rsidRPr="002B2A7F">
        <w:t xml:space="preserve"> small villages and hamlets in the context of a multitude of working farms. On balance these observations suggest that there is a local market area consisting of Penrith and villages to the north along the A6 as far as the Carlisle boundary, south to Hackthorpe, east to Lan</w:t>
      </w:r>
      <w:r w:rsidR="005B76B0">
        <w:t>g</w:t>
      </w:r>
      <w:r w:rsidRPr="002B2A7F">
        <w:t xml:space="preserve">wathby and west to </w:t>
      </w:r>
      <w:r w:rsidR="00156DE0">
        <w:t>the M6.</w:t>
      </w:r>
    </w:p>
    <w:p w14:paraId="465373B1" w14:textId="77777777" w:rsidR="001F27D2" w:rsidRPr="002B2A7F" w:rsidRDefault="001F27D2" w:rsidP="001F27D2">
      <w:pPr>
        <w:rPr>
          <w:rFonts w:asciiTheme="minorHAnsi" w:hAnsiTheme="minorHAnsi"/>
        </w:rPr>
      </w:pPr>
    </w:p>
    <w:p w14:paraId="0A8A29C4" w14:textId="77777777" w:rsidR="001F27D2" w:rsidRPr="002B2A7F" w:rsidRDefault="001F27D2" w:rsidP="001F27D2">
      <w:pPr>
        <w:pStyle w:val="Heading4"/>
        <w:rPr>
          <w:rFonts w:asciiTheme="minorHAnsi" w:hAnsiTheme="minorHAnsi"/>
        </w:rPr>
      </w:pPr>
      <w:r w:rsidRPr="002B2A7F">
        <w:rPr>
          <w:rFonts w:asciiTheme="minorHAnsi" w:hAnsiTheme="minorHAnsi"/>
        </w:rPr>
        <w:t>Commuting</w:t>
      </w:r>
    </w:p>
    <w:p w14:paraId="7170FD39" w14:textId="77777777" w:rsidR="001F27D2" w:rsidRPr="002B2A7F" w:rsidRDefault="001F27D2" w:rsidP="001F27D2">
      <w:pPr>
        <w:pStyle w:val="Reporttext"/>
      </w:pPr>
      <w:r w:rsidRPr="002B2A7F">
        <w:t>Taking account of commuting flow data from 2011 Census, the majority of residents in Penrith and its villages did commute to work within Eden District (60.7%).  However, this does not include those who worked from home which accounted for 15.8% of residents. Other areas of work included Allerdale, Carlisle, and South Lakeland.</w:t>
      </w:r>
    </w:p>
    <w:p w14:paraId="16AF5651" w14:textId="77777777" w:rsidR="001F27D2" w:rsidRPr="002B2A7F" w:rsidRDefault="001F27D2" w:rsidP="001F27D2">
      <w:pPr>
        <w:rPr>
          <w:rFonts w:asciiTheme="minorHAnsi" w:hAnsiTheme="minorHAnsi"/>
        </w:rPr>
      </w:pPr>
    </w:p>
    <w:p w14:paraId="5F8F1666" w14:textId="77777777" w:rsidR="001F27D2" w:rsidRPr="002B2A7F" w:rsidRDefault="001F27D2" w:rsidP="001F27D2">
      <w:pPr>
        <w:pStyle w:val="Heading4"/>
        <w:rPr>
          <w:rFonts w:asciiTheme="minorHAnsi" w:hAnsiTheme="minorHAnsi"/>
        </w:rPr>
      </w:pPr>
      <w:r w:rsidRPr="002B2A7F">
        <w:rPr>
          <w:rFonts w:asciiTheme="minorHAnsi" w:hAnsiTheme="minorHAnsi"/>
        </w:rPr>
        <w:t>Migration</w:t>
      </w:r>
    </w:p>
    <w:p w14:paraId="0F5B3102" w14:textId="555C4A8C" w:rsidR="001F27D2" w:rsidRPr="002B2A7F" w:rsidRDefault="001F27D2" w:rsidP="001F27D2">
      <w:pPr>
        <w:pStyle w:val="Reporttext"/>
      </w:pPr>
      <w:r w:rsidRPr="002B2A7F">
        <w:t>Census 2011 migration data for Penrith and its villages suggest that 90% of residents lived in the same address in the year prior to Census (2010). In terms of moving patterns, 1</w:t>
      </w:r>
      <w:r w:rsidR="002137BC">
        <w:t>.</w:t>
      </w:r>
      <w:r w:rsidRPr="002B2A7F">
        <w:t>2% of households living in Penrith and its villages at the time of the 2011 Census, moved within the same area and 7.6% moved out of the area altogether.</w:t>
      </w:r>
    </w:p>
    <w:p w14:paraId="3873C70F" w14:textId="77777777" w:rsidR="001F27D2" w:rsidRPr="002B2A7F" w:rsidRDefault="001F27D2" w:rsidP="001F27D2">
      <w:pPr>
        <w:pStyle w:val="Reporttext"/>
      </w:pPr>
      <w:r w:rsidRPr="002B2A7F">
        <w:t>There was some in-migration to the area, 7.5% moved in from another area within the UK and 0.7% moved into the area from outside the UK.</w:t>
      </w:r>
    </w:p>
    <w:p w14:paraId="4CA8602B" w14:textId="2BCD4F62" w:rsidR="001F27D2" w:rsidRDefault="001F27D2" w:rsidP="001F27D2">
      <w:pPr>
        <w:rPr>
          <w:rFonts w:asciiTheme="minorHAnsi" w:hAnsiTheme="minorHAnsi"/>
        </w:rPr>
      </w:pPr>
    </w:p>
    <w:p w14:paraId="77376D4E" w14:textId="77777777" w:rsidR="00156DE0" w:rsidRPr="002B2A7F" w:rsidRDefault="00156DE0" w:rsidP="00156DE0">
      <w:pPr>
        <w:pStyle w:val="Heading3"/>
        <w:rPr>
          <w:rFonts w:asciiTheme="minorHAnsi" w:hAnsiTheme="minorHAnsi"/>
        </w:rPr>
      </w:pPr>
      <w:r>
        <w:rPr>
          <w:rFonts w:asciiTheme="minorHAnsi" w:hAnsiTheme="minorHAnsi"/>
        </w:rPr>
        <w:t>HMA2:</w:t>
      </w:r>
      <w:r w:rsidRPr="002B2A7F">
        <w:rPr>
          <w:rFonts w:asciiTheme="minorHAnsi" w:hAnsiTheme="minorHAnsi"/>
        </w:rPr>
        <w:t>Appleby in Westmorland</w:t>
      </w:r>
    </w:p>
    <w:p w14:paraId="24692ECA" w14:textId="77777777" w:rsidR="00156DE0" w:rsidRPr="002B2A7F" w:rsidRDefault="00156DE0" w:rsidP="00156DE0">
      <w:pPr>
        <w:pStyle w:val="Reporttext"/>
      </w:pPr>
      <w:r w:rsidRPr="002B2A7F">
        <w:t>This is a market town which is attractive</w:t>
      </w:r>
      <w:r>
        <w:t xml:space="preserve"> to</w:t>
      </w:r>
      <w:r w:rsidRPr="002B2A7F">
        <w:t xml:space="preserve"> residents and visitors because of its setting within the Eden Valley, its road connection to Penrith (A66 which by-passes it) and its station on the Settle-Carlisle railway.  </w:t>
      </w:r>
    </w:p>
    <w:p w14:paraId="7234D31F" w14:textId="77777777" w:rsidR="00156DE0" w:rsidRPr="002B2A7F" w:rsidRDefault="00156DE0" w:rsidP="00156DE0">
      <w:pPr>
        <w:pStyle w:val="Reporttext"/>
      </w:pPr>
      <w:r w:rsidRPr="002B2A7F">
        <w:t>The agent, part of a wider chain of branches, told us that they service the local area defined by Warcop, Kirkby Thore and Temple Sowerby.</w:t>
      </w:r>
    </w:p>
    <w:p w14:paraId="6F9440FF" w14:textId="77777777" w:rsidR="00156DE0" w:rsidRPr="002B2A7F" w:rsidRDefault="00156DE0" w:rsidP="00156DE0">
      <w:pPr>
        <w:pStyle w:val="Reporttext"/>
      </w:pPr>
      <w:r w:rsidRPr="002B2A7F">
        <w:t>The agent explained that although there were many bungalows in the town, they were situated some distances uphill from local services. This was a significant problem locally as the population was significantly elderly and ag</w:t>
      </w:r>
      <w:r>
        <w:t>e</w:t>
      </w:r>
      <w:r w:rsidRPr="002B2A7F">
        <w:t xml:space="preserve">ing. Further, incomers to the town </w:t>
      </w:r>
      <w:r w:rsidRPr="002B2A7F">
        <w:lastRenderedPageBreak/>
        <w:t>tended to be older people, although most sales and lettings were local people who were rightsizing.</w:t>
      </w:r>
    </w:p>
    <w:p w14:paraId="258E76D7" w14:textId="77777777" w:rsidR="00156DE0" w:rsidRPr="002B2A7F" w:rsidRDefault="00156DE0" w:rsidP="00156DE0">
      <w:pPr>
        <w:pStyle w:val="Reporttext"/>
      </w:pPr>
      <w:r w:rsidRPr="002B2A7F">
        <w:t>The agency was also the sole letting agency in the town and reported a significant under supply of 3-bedroom family homes.</w:t>
      </w:r>
    </w:p>
    <w:p w14:paraId="6571E7DA" w14:textId="77777777" w:rsidR="00156DE0" w:rsidRPr="002B2A7F" w:rsidRDefault="00156DE0" w:rsidP="00156DE0">
      <w:pPr>
        <w:pStyle w:val="Reporttext"/>
      </w:pPr>
      <w:r w:rsidRPr="002B2A7F">
        <w:t xml:space="preserve">We were told that the new development on sale to </w:t>
      </w:r>
      <w:r>
        <w:t xml:space="preserve">the </w:t>
      </w:r>
      <w:r w:rsidRPr="002B2A7F">
        <w:t>south of the town was attracting incomers</w:t>
      </w:r>
      <w:r>
        <w:t>,</w:t>
      </w:r>
      <w:r w:rsidRPr="002B2A7F">
        <w:t xml:space="preserve"> but their understanding was that most sales were to local people. We were unable to interview the sales agent as the site office was closed.</w:t>
      </w:r>
    </w:p>
    <w:p w14:paraId="5DD8768D" w14:textId="77777777" w:rsidR="00156DE0" w:rsidRPr="002B2A7F" w:rsidRDefault="00156DE0" w:rsidP="00156DE0">
      <w:pPr>
        <w:pStyle w:val="Reporttext"/>
      </w:pPr>
      <w:r w:rsidRPr="002B2A7F">
        <w:t xml:space="preserve">There were very few residential investors to the market or those seeking second homes or investors wishing to operate holiday lettings, bed and breakfast.  </w:t>
      </w:r>
    </w:p>
    <w:p w14:paraId="5448EFB0" w14:textId="77777777" w:rsidR="00156DE0" w:rsidRPr="002B2A7F" w:rsidRDefault="00156DE0" w:rsidP="00156DE0">
      <w:pPr>
        <w:pStyle w:val="Reporttext"/>
      </w:pPr>
      <w:r w:rsidRPr="002B2A7F">
        <w:t>Based on agent’s remarks we have concluded that there is a local housing market centred on this town which included the above-mentioned area and its villages.</w:t>
      </w:r>
    </w:p>
    <w:p w14:paraId="0D20256E" w14:textId="77777777" w:rsidR="00156DE0" w:rsidRPr="002B2A7F" w:rsidRDefault="00156DE0" w:rsidP="00156DE0">
      <w:pPr>
        <w:rPr>
          <w:rFonts w:asciiTheme="minorHAnsi" w:hAnsiTheme="minorHAnsi"/>
        </w:rPr>
      </w:pPr>
    </w:p>
    <w:p w14:paraId="2548B56B" w14:textId="77777777" w:rsidR="00156DE0" w:rsidRPr="002B2A7F" w:rsidRDefault="00156DE0" w:rsidP="00156DE0">
      <w:pPr>
        <w:pStyle w:val="Heading4"/>
        <w:rPr>
          <w:rFonts w:asciiTheme="minorHAnsi" w:hAnsiTheme="minorHAnsi"/>
        </w:rPr>
      </w:pPr>
      <w:r w:rsidRPr="002B2A7F">
        <w:rPr>
          <w:rFonts w:asciiTheme="minorHAnsi" w:hAnsiTheme="minorHAnsi"/>
        </w:rPr>
        <w:t xml:space="preserve">Commuting </w:t>
      </w:r>
    </w:p>
    <w:p w14:paraId="71649625" w14:textId="77777777" w:rsidR="00156DE0" w:rsidRPr="002B2A7F" w:rsidRDefault="00156DE0" w:rsidP="00156DE0">
      <w:pPr>
        <w:pStyle w:val="Reporttext"/>
      </w:pPr>
      <w:r w:rsidRPr="002B2A7F">
        <w:t>The main commute for residents residing in Appleby was within Eden District, around 55.0%, with a further 24.5% of residents stating they worked mainly from home. The other main areas where residents commuted to for work included Carlisle, South Lakeland, Allerdale and Copeland.</w:t>
      </w:r>
    </w:p>
    <w:p w14:paraId="3AE10633" w14:textId="77777777" w:rsidR="00156DE0" w:rsidRPr="002B2A7F" w:rsidRDefault="00156DE0" w:rsidP="00156DE0">
      <w:pPr>
        <w:rPr>
          <w:rFonts w:asciiTheme="minorHAnsi" w:hAnsiTheme="minorHAnsi"/>
        </w:rPr>
      </w:pPr>
    </w:p>
    <w:p w14:paraId="65B796A3" w14:textId="77777777" w:rsidR="00156DE0" w:rsidRPr="002B2A7F" w:rsidRDefault="00156DE0" w:rsidP="00156DE0">
      <w:pPr>
        <w:pStyle w:val="Heading4"/>
        <w:rPr>
          <w:rFonts w:asciiTheme="minorHAnsi" w:hAnsiTheme="minorHAnsi"/>
        </w:rPr>
      </w:pPr>
      <w:r w:rsidRPr="002B2A7F">
        <w:rPr>
          <w:rFonts w:asciiTheme="minorHAnsi" w:hAnsiTheme="minorHAnsi"/>
        </w:rPr>
        <w:t>Migration</w:t>
      </w:r>
    </w:p>
    <w:p w14:paraId="4F1AC953" w14:textId="77777777" w:rsidR="00156DE0" w:rsidRPr="002B2A7F" w:rsidRDefault="00156DE0" w:rsidP="00156DE0">
      <w:pPr>
        <w:pStyle w:val="Reporttext"/>
      </w:pPr>
      <w:r w:rsidRPr="002B2A7F">
        <w:t>Census 2011 migration data for Appleby suggests that 91.7% of residents lived in the same address in the year prior to Census (2010).  In terms of moving patterns, 1.2% of households living in Appleby at the time of Census 2011, moved within the same area and around 7.0% moved out of the area altogether.</w:t>
      </w:r>
    </w:p>
    <w:p w14:paraId="51AA5463" w14:textId="77777777" w:rsidR="00156DE0" w:rsidRPr="002B2A7F" w:rsidRDefault="00156DE0" w:rsidP="00156DE0">
      <w:pPr>
        <w:pStyle w:val="Reporttext"/>
      </w:pPr>
      <w:r w:rsidRPr="002B2A7F">
        <w:t>6.8% of households moved into the area during the Census year 2010-2011 from another area within the UK and 0.3% moved into the area from outside the UK.</w:t>
      </w:r>
    </w:p>
    <w:p w14:paraId="0E742EA3" w14:textId="77777777" w:rsidR="00156DE0" w:rsidRPr="002B2A7F" w:rsidRDefault="00156DE0" w:rsidP="00156DE0">
      <w:pPr>
        <w:rPr>
          <w:rFonts w:asciiTheme="minorHAnsi" w:hAnsiTheme="minorHAnsi"/>
        </w:rPr>
      </w:pPr>
    </w:p>
    <w:p w14:paraId="1A2DE06F" w14:textId="77777777" w:rsidR="00156DE0" w:rsidRPr="002B2A7F" w:rsidRDefault="00156DE0" w:rsidP="00156DE0">
      <w:pPr>
        <w:pStyle w:val="Heading3"/>
        <w:rPr>
          <w:rFonts w:asciiTheme="minorHAnsi" w:hAnsiTheme="minorHAnsi"/>
        </w:rPr>
      </w:pPr>
      <w:r>
        <w:rPr>
          <w:rFonts w:asciiTheme="minorHAnsi" w:hAnsiTheme="minorHAnsi"/>
        </w:rPr>
        <w:t>HMA3:</w:t>
      </w:r>
      <w:r w:rsidRPr="002B2A7F">
        <w:rPr>
          <w:rFonts w:asciiTheme="minorHAnsi" w:hAnsiTheme="minorHAnsi"/>
        </w:rPr>
        <w:t>Kirkby Stephen</w:t>
      </w:r>
    </w:p>
    <w:p w14:paraId="6D07C528" w14:textId="77777777" w:rsidR="00156DE0" w:rsidRPr="002B2A7F" w:rsidRDefault="00156DE0" w:rsidP="00156DE0">
      <w:pPr>
        <w:pStyle w:val="Reporttext"/>
      </w:pPr>
      <w:r w:rsidRPr="002B2A7F">
        <w:t>This small market town is also situated on the Settle-Carlisle railway and the coast to coast footpath. It is linked to the A66 at Brough and the M6 and Tebay via the A685. There are other significant villages along this route such as Ravenstonedale and Orton however much of the area consists of farms and associated buildings. The area to the south and east of Ravenstonedale is fell land and is not populated.</w:t>
      </w:r>
    </w:p>
    <w:p w14:paraId="5E2390A2" w14:textId="77777777" w:rsidR="00156DE0" w:rsidRPr="002B2A7F" w:rsidRDefault="00156DE0" w:rsidP="00156DE0">
      <w:pPr>
        <w:pStyle w:val="Reporttext"/>
      </w:pPr>
      <w:r w:rsidRPr="002B2A7F">
        <w:t>The agent was positive about current and recent housebuilding in the town. It had provided homes for first time buyers</w:t>
      </w:r>
      <w:r>
        <w:t>,</w:t>
      </w:r>
      <w:r w:rsidRPr="002B2A7F">
        <w:t xml:space="preserve"> aspirational locals</w:t>
      </w:r>
      <w:r>
        <w:t>,</w:t>
      </w:r>
      <w:r w:rsidRPr="002B2A7F">
        <w:t xml:space="preserve"> investors and incomers all of which helped to sustain the local economy.</w:t>
      </w:r>
    </w:p>
    <w:p w14:paraId="15706F7F" w14:textId="77777777" w:rsidR="00156DE0" w:rsidRPr="002B2A7F" w:rsidRDefault="00156DE0" w:rsidP="00156DE0">
      <w:pPr>
        <w:pStyle w:val="Reporttext"/>
      </w:pPr>
      <w:r w:rsidRPr="002B2A7F">
        <w:t xml:space="preserve">The agent told us that </w:t>
      </w:r>
      <w:r>
        <w:t>t</w:t>
      </w:r>
      <w:r w:rsidRPr="002B2A7F">
        <w:t>he current local gap is for 3-bedroom semi-detached homes for local first-time movers at a price point not exceeding £200,000. The gap was also apparent in the rental market.</w:t>
      </w:r>
    </w:p>
    <w:p w14:paraId="15720A0B" w14:textId="77777777" w:rsidR="00156DE0" w:rsidRPr="002B2A7F" w:rsidRDefault="00156DE0" w:rsidP="00156DE0">
      <w:pPr>
        <w:pStyle w:val="Reporttext"/>
      </w:pPr>
      <w:r w:rsidRPr="002B2A7F">
        <w:t>The agent said that there was little demand from investors to move into the B&amp;B market.</w:t>
      </w:r>
    </w:p>
    <w:p w14:paraId="52F81698" w14:textId="77777777" w:rsidR="00156DE0" w:rsidRPr="002B2A7F" w:rsidRDefault="00156DE0" w:rsidP="00156DE0">
      <w:pPr>
        <w:pStyle w:val="Reporttext"/>
      </w:pPr>
      <w:r w:rsidRPr="002B2A7F">
        <w:lastRenderedPageBreak/>
        <w:t>Our observations included Tebay and Orton.  Orton is a tourist destination as well as a local hub.  Tebay was a railway town and some of its housing reflects this.  It is now a residual depot for the west coast main line and has an emerging function with local industry and service area for the M6.</w:t>
      </w:r>
    </w:p>
    <w:p w14:paraId="1287B3D1" w14:textId="77777777" w:rsidR="00156DE0" w:rsidRPr="002B2A7F" w:rsidRDefault="00156DE0" w:rsidP="00156DE0">
      <w:pPr>
        <w:pStyle w:val="Reporttext"/>
      </w:pPr>
      <w:r w:rsidRPr="002B2A7F">
        <w:t>Based upon agent remarks and the existence of the A685 we consider that Kirkby Stephen and its villages as far as the M6 forms a local housing market.</w:t>
      </w:r>
    </w:p>
    <w:p w14:paraId="7B0A104B" w14:textId="77777777" w:rsidR="00156DE0" w:rsidRPr="002B2A7F" w:rsidRDefault="00156DE0" w:rsidP="00156DE0">
      <w:pPr>
        <w:rPr>
          <w:rFonts w:asciiTheme="minorHAnsi" w:hAnsiTheme="minorHAnsi"/>
        </w:rPr>
      </w:pPr>
    </w:p>
    <w:p w14:paraId="4C20165D" w14:textId="77777777" w:rsidR="00156DE0" w:rsidRPr="002B2A7F" w:rsidRDefault="00156DE0" w:rsidP="00156DE0">
      <w:pPr>
        <w:pStyle w:val="Heading4"/>
        <w:rPr>
          <w:rFonts w:asciiTheme="minorHAnsi" w:hAnsiTheme="minorHAnsi"/>
        </w:rPr>
      </w:pPr>
      <w:r w:rsidRPr="002B2A7F">
        <w:rPr>
          <w:rFonts w:asciiTheme="minorHAnsi" w:hAnsiTheme="minorHAnsi"/>
        </w:rPr>
        <w:t xml:space="preserve">Commuting </w:t>
      </w:r>
    </w:p>
    <w:p w14:paraId="0606D737" w14:textId="77777777" w:rsidR="00156DE0" w:rsidRPr="002B2A7F" w:rsidRDefault="00156DE0" w:rsidP="00156DE0">
      <w:pPr>
        <w:pStyle w:val="Reporttext"/>
      </w:pPr>
      <w:r w:rsidRPr="002B2A7F">
        <w:t>Residents in Kirkby Stephen mainly commuted to work within Eden District (46.7%), with a further 28.2% working mainly from home. There was also some commuting to Carlisle, South Lakeland and Lancaster.</w:t>
      </w:r>
    </w:p>
    <w:p w14:paraId="4F7AFBE5" w14:textId="77777777" w:rsidR="00156DE0" w:rsidRPr="002B2A7F" w:rsidRDefault="00156DE0" w:rsidP="00156DE0">
      <w:pPr>
        <w:pStyle w:val="Reporttext"/>
        <w:numPr>
          <w:ilvl w:val="0"/>
          <w:numId w:val="0"/>
        </w:numPr>
        <w:ind w:left="709"/>
      </w:pPr>
    </w:p>
    <w:p w14:paraId="3C1E72C2" w14:textId="77777777" w:rsidR="00156DE0" w:rsidRPr="002B2A7F" w:rsidRDefault="00156DE0" w:rsidP="00156DE0">
      <w:pPr>
        <w:pStyle w:val="Heading4"/>
        <w:rPr>
          <w:rFonts w:asciiTheme="minorHAnsi" w:hAnsiTheme="minorHAnsi"/>
        </w:rPr>
      </w:pPr>
      <w:r w:rsidRPr="002B2A7F">
        <w:rPr>
          <w:rFonts w:asciiTheme="minorHAnsi" w:hAnsiTheme="minorHAnsi"/>
        </w:rPr>
        <w:t>Migration</w:t>
      </w:r>
    </w:p>
    <w:p w14:paraId="77254BE6" w14:textId="77777777" w:rsidR="00156DE0" w:rsidRPr="002B2A7F" w:rsidRDefault="00156DE0" w:rsidP="00156DE0">
      <w:pPr>
        <w:pStyle w:val="Reporttext"/>
      </w:pPr>
      <w:r w:rsidRPr="002B2A7F">
        <w:t>Census 2011 migration data for Kirkby Stephen suggests that around 91.0% of residents lived in the same address in the year prior to Census (2010).  In terms of moving patterns, 3.3% of households living in Kirkby Stephen at the time of Census 2011, moved within the same area and 6.1% moved out of the area altogether.</w:t>
      </w:r>
    </w:p>
    <w:p w14:paraId="6CDDA512" w14:textId="77777777" w:rsidR="00156DE0" w:rsidRPr="002B2A7F" w:rsidRDefault="00156DE0" w:rsidP="00156DE0">
      <w:pPr>
        <w:pStyle w:val="Reporttext"/>
      </w:pPr>
      <w:r w:rsidRPr="002B2A7F">
        <w:t>5.2% of households moved into the area during the Census year 2010-2011 from another area within the UK and 0.4% moved into the area from outside the UK.</w:t>
      </w:r>
    </w:p>
    <w:p w14:paraId="7E6B2CB4" w14:textId="77777777" w:rsidR="00156DE0" w:rsidRPr="002B2A7F" w:rsidRDefault="00156DE0" w:rsidP="001F27D2">
      <w:pPr>
        <w:rPr>
          <w:rFonts w:asciiTheme="minorHAnsi" w:hAnsiTheme="minorHAnsi"/>
        </w:rPr>
      </w:pPr>
    </w:p>
    <w:p w14:paraId="727E23AA" w14:textId="471B9284" w:rsidR="001F27D2" w:rsidRPr="002B2A7F" w:rsidRDefault="000C4687" w:rsidP="001F27D2">
      <w:pPr>
        <w:pStyle w:val="Heading3"/>
        <w:rPr>
          <w:rFonts w:asciiTheme="minorHAnsi" w:hAnsiTheme="minorHAnsi"/>
        </w:rPr>
      </w:pPr>
      <w:r>
        <w:rPr>
          <w:rFonts w:asciiTheme="minorHAnsi" w:hAnsiTheme="minorHAnsi"/>
        </w:rPr>
        <w:t>HMA4</w:t>
      </w:r>
      <w:r w:rsidR="005B76B0">
        <w:rPr>
          <w:rFonts w:asciiTheme="minorHAnsi" w:hAnsiTheme="minorHAnsi"/>
        </w:rPr>
        <w:t xml:space="preserve">: </w:t>
      </w:r>
      <w:r w:rsidR="001F27D2" w:rsidRPr="002B2A7F">
        <w:rPr>
          <w:rFonts w:asciiTheme="minorHAnsi" w:hAnsiTheme="minorHAnsi"/>
        </w:rPr>
        <w:t>Alston</w:t>
      </w:r>
    </w:p>
    <w:p w14:paraId="6C2B2CFD" w14:textId="77777777" w:rsidR="001F27D2" w:rsidRPr="002B2A7F" w:rsidRDefault="001F27D2" w:rsidP="001F27D2">
      <w:pPr>
        <w:pStyle w:val="Reporttext"/>
      </w:pPr>
      <w:r w:rsidRPr="002B2A7F">
        <w:t xml:space="preserve">In spite of its remote location, high in the dales, this small town has many services that make it a sustainable settlement.  The local economy is sustained by visitors and walkers with visitor attractions nearby. </w:t>
      </w:r>
    </w:p>
    <w:p w14:paraId="4F69C60B" w14:textId="77777777" w:rsidR="001F27D2" w:rsidRPr="002B2A7F" w:rsidRDefault="001F27D2" w:rsidP="001F27D2">
      <w:pPr>
        <w:pStyle w:val="Reporttext"/>
      </w:pPr>
      <w:r w:rsidRPr="002B2A7F">
        <w:t>The local agent told us that most sales were to local people however the main incomer was the older person seeking a retirement destination. There are two local supermarkets, a petrol station, a cottage hospital and a primary school and small secondary. The quality of the broadband is high. There is local employment in retail services, supporting visitor attractions and local enterprise in farm services and manufacturing.</w:t>
      </w:r>
    </w:p>
    <w:p w14:paraId="27DF6FA3" w14:textId="77777777" w:rsidR="001F27D2" w:rsidRPr="002B2A7F" w:rsidRDefault="001F27D2" w:rsidP="001F27D2">
      <w:pPr>
        <w:pStyle w:val="Reporttext"/>
      </w:pPr>
      <w:r w:rsidRPr="002B2A7F">
        <w:t xml:space="preserve">However, the agent pointed out that there was nothing in the town to retain teenagers or young adults. Regeneration was needed in the town centre to adapt former industrial buildings. We were told that an investor was interested in converting this significant property into apartments. </w:t>
      </w:r>
    </w:p>
    <w:p w14:paraId="41CA794F" w14:textId="77777777" w:rsidR="001F27D2" w:rsidRPr="002B2A7F" w:rsidRDefault="001F27D2" w:rsidP="001F27D2">
      <w:pPr>
        <w:pStyle w:val="Reporttext"/>
      </w:pPr>
      <w:r w:rsidRPr="002B2A7F">
        <w:t>We noted that several affordable housing dwellings were vacant and were being advertised to let. The agent told us that this was a recent issue. Previously these dwellings would have been in demand.</w:t>
      </w:r>
    </w:p>
    <w:p w14:paraId="0F9CB547" w14:textId="55F50A49" w:rsidR="001F27D2" w:rsidRPr="002B2A7F" w:rsidRDefault="001F27D2" w:rsidP="001F27D2">
      <w:pPr>
        <w:pStyle w:val="Reporttext"/>
      </w:pPr>
      <w:r w:rsidRPr="002B2A7F">
        <w:t>We also visited the nearby settlement of Nenthead, which is a small settlement at the heart of the former lead and silver mining industry. There is a visitor centre and it is noteworthy that the landscape to the east on the A689 is affected by the shallow mining process.</w:t>
      </w:r>
    </w:p>
    <w:p w14:paraId="09E315A6" w14:textId="49013766" w:rsidR="001F27D2" w:rsidRPr="002B2A7F" w:rsidRDefault="001F27D2" w:rsidP="001F27D2">
      <w:pPr>
        <w:pStyle w:val="Reporttext"/>
      </w:pPr>
      <w:r w:rsidRPr="009C2718">
        <w:lastRenderedPageBreak/>
        <w:t xml:space="preserve">Due to its location and importance as a </w:t>
      </w:r>
      <w:r w:rsidR="00727A04" w:rsidRPr="009C2718">
        <w:t>market town</w:t>
      </w:r>
      <w:r w:rsidRPr="009C2718">
        <w:t xml:space="preserve"> for town residents, local farms and</w:t>
      </w:r>
      <w:r w:rsidRPr="002B2A7F">
        <w:t xml:space="preserve"> visitor attractions</w:t>
      </w:r>
      <w:r w:rsidR="002137BC">
        <w:t>,</w:t>
      </w:r>
      <w:r w:rsidRPr="002B2A7F">
        <w:t xml:space="preserve"> we conclude that Alston </w:t>
      </w:r>
      <w:r w:rsidR="002137BC">
        <w:t>is</w:t>
      </w:r>
      <w:r w:rsidRPr="002B2A7F">
        <w:t xml:space="preserve"> a character area and local market area within the North Pennines OANB. Its boundary to the south cannot be accurately determined but would be north of Brough and Warcop, referred to below.</w:t>
      </w:r>
    </w:p>
    <w:p w14:paraId="67C24543" w14:textId="77777777" w:rsidR="001F27D2" w:rsidRPr="002B2A7F" w:rsidRDefault="001F27D2" w:rsidP="001F27D2">
      <w:pPr>
        <w:rPr>
          <w:rFonts w:asciiTheme="minorHAnsi" w:hAnsiTheme="minorHAnsi"/>
        </w:rPr>
      </w:pPr>
    </w:p>
    <w:p w14:paraId="22E811E1" w14:textId="77777777" w:rsidR="001F27D2" w:rsidRPr="002B2A7F" w:rsidRDefault="001F27D2" w:rsidP="001F27D2">
      <w:pPr>
        <w:pStyle w:val="Heading4"/>
        <w:rPr>
          <w:rFonts w:asciiTheme="minorHAnsi" w:hAnsiTheme="minorHAnsi"/>
        </w:rPr>
      </w:pPr>
      <w:r w:rsidRPr="002B2A7F">
        <w:rPr>
          <w:rFonts w:asciiTheme="minorHAnsi" w:hAnsiTheme="minorHAnsi"/>
        </w:rPr>
        <w:t>Commuting</w:t>
      </w:r>
    </w:p>
    <w:p w14:paraId="3C02A5DA" w14:textId="66EBC8B0" w:rsidR="001F27D2" w:rsidRPr="002B2A7F" w:rsidRDefault="001F27D2" w:rsidP="001F27D2">
      <w:pPr>
        <w:pStyle w:val="Reporttext"/>
      </w:pPr>
      <w:r w:rsidRPr="002B2A7F">
        <w:t>Just under half of residents in Alston commuted within Eden District for work (47.7%).  Around 28.0% of residents worked mainly from home and around 7% commuted to Carlisle for work. The other areas w</w:t>
      </w:r>
      <w:r w:rsidR="00930C27">
        <w:t>h</w:t>
      </w:r>
      <w:r w:rsidRPr="002B2A7F">
        <w:t>ere Alston residents commuted to included, Copeland, South Lakeland and Allerdale.</w:t>
      </w:r>
    </w:p>
    <w:p w14:paraId="4CA1701D" w14:textId="77777777" w:rsidR="001F27D2" w:rsidRPr="002B2A7F" w:rsidRDefault="001F27D2" w:rsidP="001F27D2">
      <w:pPr>
        <w:rPr>
          <w:rFonts w:asciiTheme="minorHAnsi" w:hAnsiTheme="minorHAnsi"/>
        </w:rPr>
      </w:pPr>
    </w:p>
    <w:p w14:paraId="6856F328" w14:textId="77777777" w:rsidR="001F27D2" w:rsidRPr="002B2A7F" w:rsidRDefault="001F27D2" w:rsidP="001F27D2">
      <w:pPr>
        <w:pStyle w:val="Heading4"/>
        <w:rPr>
          <w:rFonts w:asciiTheme="minorHAnsi" w:hAnsiTheme="minorHAnsi"/>
        </w:rPr>
      </w:pPr>
      <w:r w:rsidRPr="002B2A7F">
        <w:rPr>
          <w:rFonts w:asciiTheme="minorHAnsi" w:hAnsiTheme="minorHAnsi"/>
        </w:rPr>
        <w:t>Migration</w:t>
      </w:r>
    </w:p>
    <w:p w14:paraId="6ABB3193" w14:textId="77777777" w:rsidR="001F27D2" w:rsidRPr="002B2A7F" w:rsidRDefault="001F27D2" w:rsidP="001F27D2">
      <w:pPr>
        <w:pStyle w:val="Reporttext"/>
      </w:pPr>
      <w:r w:rsidRPr="002B2A7F">
        <w:t>Census 2011 migration data for Alston and its villages suggest that around 91% of residents lived in the same address in the year prior to Census (2010).  In terms of moving patterns, around 3.0% of households living in Alston and its villages at the time of Census 2011, moved within the same area and 6.5% moved out of the area altogether.</w:t>
      </w:r>
    </w:p>
    <w:p w14:paraId="2A69D1C2" w14:textId="77777777" w:rsidR="001F27D2" w:rsidRPr="002B2A7F" w:rsidRDefault="001F27D2" w:rsidP="001F27D2">
      <w:pPr>
        <w:pStyle w:val="Reporttext"/>
      </w:pPr>
      <w:r w:rsidRPr="002B2A7F">
        <w:t>There was some in-migration to the area during the Census year 2010-2011, 5.7% moved in from another area within the UK and 0.3% moved into the area from outside the UK.</w:t>
      </w:r>
    </w:p>
    <w:p w14:paraId="38A0D4E5" w14:textId="77777777" w:rsidR="001F27D2" w:rsidRPr="002B2A7F" w:rsidRDefault="001F27D2" w:rsidP="001F27D2">
      <w:pPr>
        <w:rPr>
          <w:rFonts w:asciiTheme="minorHAnsi" w:hAnsiTheme="minorHAnsi"/>
        </w:rPr>
      </w:pPr>
    </w:p>
    <w:p w14:paraId="1F1CD8A8" w14:textId="51A2A58B" w:rsidR="00156DE0" w:rsidRPr="002B2A7F" w:rsidRDefault="000C4687" w:rsidP="001F27D2">
      <w:pPr>
        <w:pStyle w:val="Heading3"/>
        <w:rPr>
          <w:rFonts w:asciiTheme="minorHAnsi" w:hAnsiTheme="minorHAnsi"/>
        </w:rPr>
      </w:pPr>
      <w:r>
        <w:rPr>
          <w:rFonts w:asciiTheme="minorHAnsi" w:hAnsiTheme="minorHAnsi"/>
        </w:rPr>
        <w:t xml:space="preserve">HMA5: West of M6 </w:t>
      </w:r>
    </w:p>
    <w:p w14:paraId="3086122B" w14:textId="1E2DF8E6" w:rsidR="001F27D2" w:rsidRPr="002B2A7F" w:rsidRDefault="001F27D2" w:rsidP="001F27D2">
      <w:pPr>
        <w:pStyle w:val="Reporttext"/>
      </w:pPr>
      <w:r w:rsidRPr="002B2A7F">
        <w:t>We consider this to be the fifth local market area due to its landscape and character</w:t>
      </w:r>
      <w:r w:rsidR="00930C27">
        <w:t>,</w:t>
      </w:r>
      <w:r w:rsidRPr="002B2A7F">
        <w:t xml:space="preserve"> rather than it having a significant centre of population. </w:t>
      </w:r>
    </w:p>
    <w:p w14:paraId="2273BD09" w14:textId="3E4F70AC" w:rsidR="001F27D2" w:rsidRPr="002B2A7F" w:rsidRDefault="001F27D2" w:rsidP="001F27D2">
      <w:pPr>
        <w:pStyle w:val="Reporttext"/>
      </w:pPr>
      <w:r w:rsidRPr="002B2A7F">
        <w:t xml:space="preserve">We visited Shap, Askham, Dacre and Pooley Bridge as well as many villages and hamlets.  No agents are present in this area. Our information comes from agents based in Penrith.  Pooley bridge is clearly a significant tourist destination with its access to Ullswater and we noted significant land use by caravan parks and similar. </w:t>
      </w:r>
    </w:p>
    <w:p w14:paraId="4D27CBB3" w14:textId="7683D11B" w:rsidR="001F27D2" w:rsidRPr="002B2A7F" w:rsidRDefault="001F27D2" w:rsidP="001F27D2">
      <w:pPr>
        <w:pStyle w:val="Reporttext"/>
      </w:pPr>
      <w:r w:rsidRPr="002B2A7F">
        <w:t>The remaining area consists of small villages and hamlets connected by narrow roads and narrow bridges against water courses that feed into the river Lowther. Askham is the local service centre but this is not on the scale of other towns described here.</w:t>
      </w:r>
      <w:r w:rsidR="00156DE0">
        <w:t xml:space="preserve"> The majority of parishes in Eden District that are located in this HMA are within the Lake District National park boundary. </w:t>
      </w:r>
    </w:p>
    <w:p w14:paraId="0ABE6C2B" w14:textId="71B8714D" w:rsidR="001F27D2" w:rsidRPr="002B2A7F" w:rsidRDefault="001F27D2" w:rsidP="001F27D2">
      <w:pPr>
        <w:pStyle w:val="Reporttext"/>
      </w:pPr>
      <w:r w:rsidRPr="002B2A7F">
        <w:t>Agents were clear that this distinctive local market is sustained by second home owners some of whom will provide holiday lettings.  One agent pointed out that the ag</w:t>
      </w:r>
      <w:r w:rsidR="00930C27">
        <w:t>e</w:t>
      </w:r>
      <w:r w:rsidRPr="002B2A7F">
        <w:t>ing population is a factor here, citing a client who wishes to retire from his holiday let business but will offer the accommodation as residential lettings that are letting very quickly.</w:t>
      </w:r>
    </w:p>
    <w:p w14:paraId="464874CE" w14:textId="77777777" w:rsidR="001F27D2" w:rsidRPr="002B2A7F" w:rsidRDefault="001F27D2" w:rsidP="001F27D2">
      <w:pPr>
        <w:rPr>
          <w:rFonts w:asciiTheme="minorHAnsi" w:hAnsiTheme="minorHAnsi"/>
        </w:rPr>
      </w:pPr>
      <w:r w:rsidRPr="002B2A7F">
        <w:rPr>
          <w:rFonts w:asciiTheme="minorHAnsi" w:hAnsiTheme="minorHAnsi"/>
        </w:rPr>
        <w:t xml:space="preserve"> </w:t>
      </w:r>
    </w:p>
    <w:p w14:paraId="64B5CBBD" w14:textId="77777777" w:rsidR="001F27D2" w:rsidRPr="002B2A7F" w:rsidRDefault="001F27D2" w:rsidP="001F27D2">
      <w:pPr>
        <w:pStyle w:val="Heading4"/>
        <w:rPr>
          <w:rFonts w:asciiTheme="minorHAnsi" w:hAnsiTheme="minorHAnsi"/>
        </w:rPr>
      </w:pPr>
      <w:r w:rsidRPr="002B2A7F">
        <w:rPr>
          <w:rFonts w:asciiTheme="minorHAnsi" w:hAnsiTheme="minorHAnsi"/>
        </w:rPr>
        <w:lastRenderedPageBreak/>
        <w:t>Commuting</w:t>
      </w:r>
    </w:p>
    <w:p w14:paraId="2D5607C0" w14:textId="77777777" w:rsidR="001F27D2" w:rsidRPr="002B2A7F" w:rsidRDefault="001F27D2" w:rsidP="001F27D2">
      <w:pPr>
        <w:pStyle w:val="Reporttext"/>
      </w:pPr>
      <w:r w:rsidRPr="002B2A7F">
        <w:t>Taking account of commuting flow data from Census 2011, the majority of residents in the rural areas west of the M6 did commute to work within Eden District (43.3%).  However, this does not include those who worked from home which accounted for 31.5% of residents. Other areas of work included Allerdale, Carlisle and South Lakeland.</w:t>
      </w:r>
    </w:p>
    <w:p w14:paraId="58740E6A" w14:textId="77777777" w:rsidR="001F27D2" w:rsidRPr="002B2A7F" w:rsidRDefault="001F27D2" w:rsidP="001F27D2">
      <w:pPr>
        <w:rPr>
          <w:rFonts w:asciiTheme="minorHAnsi" w:hAnsiTheme="minorHAnsi"/>
        </w:rPr>
      </w:pPr>
    </w:p>
    <w:p w14:paraId="7759E527" w14:textId="77777777" w:rsidR="001F27D2" w:rsidRPr="002B2A7F" w:rsidRDefault="001F27D2" w:rsidP="001F27D2">
      <w:pPr>
        <w:pStyle w:val="Heading4"/>
        <w:rPr>
          <w:rFonts w:asciiTheme="minorHAnsi" w:hAnsiTheme="minorHAnsi"/>
        </w:rPr>
      </w:pPr>
      <w:r w:rsidRPr="002B2A7F">
        <w:rPr>
          <w:rFonts w:asciiTheme="minorHAnsi" w:hAnsiTheme="minorHAnsi"/>
        </w:rPr>
        <w:t>Migration</w:t>
      </w:r>
    </w:p>
    <w:p w14:paraId="4EB8F18B" w14:textId="77777777" w:rsidR="001F27D2" w:rsidRPr="002B2A7F" w:rsidRDefault="001F27D2" w:rsidP="001F27D2">
      <w:pPr>
        <w:pStyle w:val="Reporttext"/>
      </w:pPr>
      <w:r w:rsidRPr="002B2A7F">
        <w:t>2011 Census migration data for the rural areas west of the M6 suggests that around 90.6% of residents lived in the same address in the year prior to Census (2010). In terms of moving patterns, 1.2% of households living in the rural areas at the time of the 2011 Census moved within the same area and 7.6% moved out of the area altogether.</w:t>
      </w:r>
    </w:p>
    <w:p w14:paraId="28173C63" w14:textId="77777777" w:rsidR="001F27D2" w:rsidRPr="002B2A7F" w:rsidRDefault="001F27D2" w:rsidP="001F27D2">
      <w:pPr>
        <w:pStyle w:val="Reporttext"/>
      </w:pPr>
      <w:r w:rsidRPr="002B2A7F">
        <w:t>7.5% of households moved into the area during the Census year 2010-2011 from another area within the UK and 0.7% moved into the area from outside the UK.</w:t>
      </w:r>
    </w:p>
    <w:p w14:paraId="1E74621B" w14:textId="77777777" w:rsidR="001F27D2" w:rsidRPr="002B2A7F" w:rsidRDefault="001F27D2" w:rsidP="001F27D2">
      <w:pPr>
        <w:rPr>
          <w:rFonts w:asciiTheme="minorHAnsi" w:hAnsiTheme="minorHAnsi"/>
        </w:rPr>
      </w:pPr>
    </w:p>
    <w:p w14:paraId="2B85A182" w14:textId="77777777" w:rsidR="001F27D2" w:rsidRPr="002B2A7F" w:rsidRDefault="001F27D2" w:rsidP="001F27D2">
      <w:pPr>
        <w:pStyle w:val="bullet"/>
        <w:numPr>
          <w:ilvl w:val="0"/>
          <w:numId w:val="0"/>
        </w:numPr>
        <w:rPr>
          <w:rFonts w:asciiTheme="minorHAnsi" w:hAnsiTheme="minorHAnsi" w:cs="Calibri"/>
        </w:rPr>
      </w:pPr>
    </w:p>
    <w:p w14:paraId="4091B512" w14:textId="77777777" w:rsidR="001F27D2" w:rsidRPr="002B2A7F" w:rsidRDefault="001F27D2" w:rsidP="001F27D2">
      <w:pPr>
        <w:pStyle w:val="Heading2"/>
        <w:rPr>
          <w:rFonts w:asciiTheme="minorHAnsi" w:hAnsiTheme="minorHAnsi" w:cs="Calibri"/>
        </w:rPr>
      </w:pPr>
      <w:bookmarkStart w:id="288" w:name="_Toc395193550"/>
      <w:bookmarkStart w:id="289" w:name="_Toc524935578"/>
      <w:bookmarkStart w:id="290" w:name="_Toc531122871"/>
      <w:bookmarkStart w:id="291" w:name="_Toc532812403"/>
      <w:r w:rsidRPr="002B2A7F">
        <w:rPr>
          <w:rFonts w:asciiTheme="minorHAnsi" w:hAnsiTheme="minorHAnsi" w:cs="Calibri"/>
        </w:rPr>
        <w:t>Concluding comments</w:t>
      </w:r>
      <w:bookmarkEnd w:id="279"/>
      <w:bookmarkEnd w:id="280"/>
      <w:bookmarkEnd w:id="281"/>
      <w:bookmarkEnd w:id="282"/>
      <w:bookmarkEnd w:id="288"/>
      <w:bookmarkEnd w:id="289"/>
      <w:bookmarkEnd w:id="290"/>
      <w:bookmarkEnd w:id="291"/>
      <w:r w:rsidRPr="002B2A7F">
        <w:rPr>
          <w:rFonts w:asciiTheme="minorHAnsi" w:hAnsiTheme="minorHAnsi" w:cs="Calibri"/>
        </w:rPr>
        <w:t xml:space="preserve"> </w:t>
      </w:r>
    </w:p>
    <w:p w14:paraId="30DC39E6" w14:textId="77777777" w:rsidR="001F27D2" w:rsidRPr="002B2A7F" w:rsidRDefault="001F27D2" w:rsidP="001F27D2">
      <w:pPr>
        <w:pStyle w:val="Reporttext"/>
      </w:pPr>
      <w:r w:rsidRPr="002B2A7F">
        <w:t xml:space="preserve">The purpose of this chapter has been to consider the general housing market context of Eden District </w:t>
      </w:r>
      <w:r w:rsidRPr="002B2A7F">
        <w:rPr>
          <w:iCs/>
        </w:rPr>
        <w:t xml:space="preserve">and its </w:t>
      </w:r>
      <w:r w:rsidRPr="002B2A7F">
        <w:t>inter-relationships with other areas. By reviewing house prices, relative affordability, migration, travel to work patterns and dwelling completions, a picture of the market dynamics of the District</w:t>
      </w:r>
      <w:r w:rsidRPr="002B2A7F">
        <w:rPr>
          <w:iCs/>
        </w:rPr>
        <w:t xml:space="preserve"> emerges</w:t>
      </w:r>
      <w:r w:rsidRPr="002B2A7F">
        <w:t>.</w:t>
      </w:r>
    </w:p>
    <w:p w14:paraId="0BA5F58A" w14:textId="77777777" w:rsidR="001F27D2" w:rsidRPr="002B2A7F" w:rsidRDefault="001F27D2" w:rsidP="001F27D2">
      <w:pPr>
        <w:pStyle w:val="Reporttext"/>
      </w:pPr>
      <w:r w:rsidRPr="002B2A7F">
        <w:t xml:space="preserve">The pattern of median house price change is similar to that of the North West region, being fairly flat over the ten-year period 2007-2017, albeit with Eden District’s prices being significantly higher. This is different to England as a whole which has seen a steady 23.6% rise in prices overall since 2009. </w:t>
      </w:r>
    </w:p>
    <w:p w14:paraId="78C95F75" w14:textId="74DD0491" w:rsidR="001F27D2" w:rsidRPr="000865F0" w:rsidRDefault="001F27D2" w:rsidP="001F27D2">
      <w:pPr>
        <w:pStyle w:val="Reporttext"/>
      </w:pPr>
      <w:r w:rsidRPr="002B2A7F">
        <w:t>Overall, median prices have increased from £185,000 in 2007 to £187,475 in 2017, an increase of just 1.3%. Lower quartile house prices across Eden District were £130,000 in 2017. 201</w:t>
      </w:r>
      <w:r>
        <w:t>7</w:t>
      </w:r>
      <w:r w:rsidRPr="002B2A7F">
        <w:t xml:space="preserve"> median house prices </w:t>
      </w:r>
      <w:r w:rsidR="00930C27">
        <w:t>in</w:t>
      </w:r>
      <w:r w:rsidRPr="002B2A7F">
        <w:t xml:space="preserve"> Eden were lower than England and neighbo</w:t>
      </w:r>
      <w:r>
        <w:t>u</w:t>
      </w:r>
      <w:r w:rsidRPr="002B2A7F">
        <w:t>ring South Lakeland and Richmondshire but higher than other neighbouring areas and the North West. However, compared with these areas, Eden reported one of the lowest overall house price change 2007-2017</w:t>
      </w:r>
      <w:r>
        <w:t xml:space="preserve">. </w:t>
      </w:r>
      <w:r w:rsidRPr="002B2A7F">
        <w:t>Comparing lower quartile house prices with earnings in 2017, Eden has consistently been higher than the regional average and in 2017 was similar to England as a whole.</w:t>
      </w:r>
      <w:r>
        <w:t xml:space="preserve"> Eden District is the second least affordable authority compared with its neighbouring district. </w:t>
      </w:r>
    </w:p>
    <w:p w14:paraId="606011C6" w14:textId="5E053612" w:rsidR="001F27D2" w:rsidRPr="000865F0" w:rsidRDefault="001F27D2" w:rsidP="001F27D2">
      <w:pPr>
        <w:pStyle w:val="Reporttext"/>
      </w:pPr>
      <w:r w:rsidRPr="000865F0">
        <w:t>Regarding migration, the most notable outflows are to Carlisle, elsewhere in the North West (outside Cumbria) and to elsewhere in the UK (outside the three northern regions).  Highest inflows were from elsewhere in the UK.</w:t>
      </w:r>
    </w:p>
    <w:p w14:paraId="6096C5F3" w14:textId="77777777" w:rsidR="001F27D2" w:rsidRPr="005E2A06" w:rsidRDefault="001F27D2" w:rsidP="001F27D2">
      <w:pPr>
        <w:pStyle w:val="Reporttext"/>
      </w:pPr>
      <w:r w:rsidRPr="005E2A06">
        <w:t xml:space="preserve">The most </w:t>
      </w:r>
      <w:r>
        <w:t xml:space="preserve">notable </w:t>
      </w:r>
      <w:r w:rsidRPr="005E2A06">
        <w:t>commuter flows are between Carlisle, Allerdale and South Lakeland.</w:t>
      </w:r>
    </w:p>
    <w:p w14:paraId="5577D55B" w14:textId="16D1F513" w:rsidR="001F27D2" w:rsidRPr="006713C4" w:rsidRDefault="001F27D2" w:rsidP="00AB06C6">
      <w:pPr>
        <w:pStyle w:val="Reporttext"/>
        <w:rPr>
          <w:bCs/>
          <w:color w:val="009999"/>
          <w:kern w:val="32"/>
          <w:sz w:val="40"/>
          <w:szCs w:val="28"/>
        </w:rPr>
      </w:pPr>
      <w:r w:rsidRPr="002B2A7F">
        <w:t>Qualitative evidence provides a detailed picture of Eden District’s housing sub-markets and character areas. This leads to an understanding of how and why there is variation of house prices and affordability across Eden and the economic and social factors that lead to this.</w:t>
      </w:r>
      <w:bookmarkStart w:id="292" w:name="_Toc395193551"/>
      <w:bookmarkEnd w:id="176"/>
      <w:bookmarkEnd w:id="177"/>
      <w:bookmarkEnd w:id="178"/>
      <w:bookmarkEnd w:id="179"/>
      <w:r w:rsidRPr="006713C4">
        <w:br w:type="page"/>
      </w:r>
    </w:p>
    <w:p w14:paraId="7140E2FD" w14:textId="77777777" w:rsidR="001F27D2" w:rsidRPr="002B2A7F" w:rsidRDefault="001F27D2" w:rsidP="001F27D2">
      <w:pPr>
        <w:pStyle w:val="Heading1"/>
        <w:spacing w:before="0"/>
        <w:jc w:val="left"/>
        <w:rPr>
          <w:rFonts w:asciiTheme="minorHAnsi" w:hAnsiTheme="minorHAnsi"/>
        </w:rPr>
      </w:pPr>
      <w:bookmarkStart w:id="293" w:name="_Toc524935579"/>
      <w:bookmarkStart w:id="294" w:name="_Toc531122872"/>
      <w:bookmarkStart w:id="295" w:name="_Toc532812404"/>
      <w:r w:rsidRPr="002B2A7F">
        <w:rPr>
          <w:rFonts w:asciiTheme="minorHAnsi" w:hAnsiTheme="minorHAnsi"/>
        </w:rPr>
        <w:lastRenderedPageBreak/>
        <w:t>Housing stock review</w:t>
      </w:r>
      <w:bookmarkEnd w:id="292"/>
      <w:bookmarkEnd w:id="293"/>
      <w:bookmarkEnd w:id="294"/>
      <w:bookmarkEnd w:id="295"/>
    </w:p>
    <w:p w14:paraId="7CE3B52C" w14:textId="77777777" w:rsidR="001F27D2" w:rsidRPr="002B2A7F" w:rsidRDefault="001F27D2" w:rsidP="001F27D2">
      <w:pPr>
        <w:pStyle w:val="Heading2"/>
        <w:rPr>
          <w:rFonts w:asciiTheme="minorHAnsi" w:hAnsiTheme="minorHAnsi" w:cs="Calibri"/>
        </w:rPr>
      </w:pPr>
      <w:bookmarkStart w:id="296" w:name="_Toc395193552"/>
      <w:bookmarkStart w:id="297" w:name="_Toc524935580"/>
      <w:bookmarkStart w:id="298" w:name="_Toc531122873"/>
      <w:bookmarkStart w:id="299" w:name="_Toc532812405"/>
      <w:bookmarkStart w:id="300" w:name="_Toc399864379"/>
      <w:r w:rsidRPr="002B2A7F">
        <w:rPr>
          <w:rFonts w:asciiTheme="minorHAnsi" w:hAnsiTheme="minorHAnsi" w:cs="Calibri"/>
        </w:rPr>
        <w:t>Introduction</w:t>
      </w:r>
      <w:bookmarkEnd w:id="296"/>
      <w:bookmarkEnd w:id="297"/>
      <w:bookmarkEnd w:id="298"/>
      <w:bookmarkEnd w:id="299"/>
    </w:p>
    <w:p w14:paraId="46AA4E9F" w14:textId="77777777" w:rsidR="001F27D2" w:rsidRPr="002B2A7F" w:rsidRDefault="001F27D2" w:rsidP="001F27D2">
      <w:pPr>
        <w:pStyle w:val="Reporttext"/>
      </w:pPr>
      <w:r w:rsidRPr="002B2A7F">
        <w:t>The purpose of this chapter is to explore the characteristics of Eden District’s housing stock focusing on the current stock profile, condition and tenure characteristics. This includes a detailed analysis of the major tenures: owner occupation, the private rented sector and affordable accommodation.</w:t>
      </w:r>
    </w:p>
    <w:p w14:paraId="0E970A7F" w14:textId="77777777" w:rsidR="001F27D2" w:rsidRPr="002B2A7F" w:rsidRDefault="001F27D2" w:rsidP="001F27D2">
      <w:pPr>
        <w:rPr>
          <w:rFonts w:asciiTheme="minorHAnsi" w:hAnsiTheme="minorHAnsi"/>
        </w:rPr>
      </w:pPr>
    </w:p>
    <w:p w14:paraId="537A70B8" w14:textId="3686B9FE" w:rsidR="001F27D2" w:rsidRPr="002B2A7F" w:rsidRDefault="001F27D2" w:rsidP="001F27D2">
      <w:pPr>
        <w:pStyle w:val="Heading2"/>
        <w:rPr>
          <w:rFonts w:asciiTheme="minorHAnsi" w:hAnsiTheme="minorHAnsi" w:cs="Calibri"/>
        </w:rPr>
      </w:pPr>
      <w:bookmarkStart w:id="301" w:name="_Toc428528494"/>
      <w:bookmarkStart w:id="302" w:name="_Toc430084587"/>
      <w:bookmarkStart w:id="303" w:name="_Toc430782026"/>
      <w:bookmarkStart w:id="304" w:name="_Toc395193553"/>
      <w:bookmarkStart w:id="305" w:name="_Toc524935581"/>
      <w:bookmarkStart w:id="306" w:name="_Toc531122874"/>
      <w:bookmarkStart w:id="307" w:name="_Toc532812406"/>
      <w:r w:rsidRPr="002B2A7F">
        <w:rPr>
          <w:rFonts w:asciiTheme="minorHAnsi" w:hAnsiTheme="minorHAnsi" w:cs="Calibri"/>
        </w:rPr>
        <w:t>Estimates of current dwellings in terms of type</w:t>
      </w:r>
      <w:r w:rsidR="00930C27">
        <w:rPr>
          <w:rFonts w:asciiTheme="minorHAnsi" w:hAnsiTheme="minorHAnsi" w:cs="Calibri"/>
        </w:rPr>
        <w:t>,</w:t>
      </w:r>
      <w:r w:rsidRPr="002B2A7F">
        <w:rPr>
          <w:rFonts w:asciiTheme="minorHAnsi" w:hAnsiTheme="minorHAnsi" w:cs="Calibri"/>
        </w:rPr>
        <w:t xml:space="preserve"> size and tenure</w:t>
      </w:r>
      <w:bookmarkEnd w:id="301"/>
      <w:bookmarkEnd w:id="302"/>
      <w:bookmarkEnd w:id="303"/>
      <w:bookmarkEnd w:id="304"/>
      <w:bookmarkEnd w:id="305"/>
      <w:bookmarkEnd w:id="306"/>
      <w:bookmarkEnd w:id="307"/>
    </w:p>
    <w:p w14:paraId="1B4320BB" w14:textId="77777777" w:rsidR="001F27D2" w:rsidRPr="002B2A7F" w:rsidRDefault="001F27D2" w:rsidP="001F27D2">
      <w:pPr>
        <w:pStyle w:val="Reporttext"/>
      </w:pPr>
      <w:r w:rsidRPr="002B2A7F">
        <w:t>Baseline dwelling statistics for each of the housing market areas are set out in Table 4.1.</w:t>
      </w:r>
    </w:p>
    <w:p w14:paraId="794B7042" w14:textId="77777777" w:rsidR="001F27D2" w:rsidRPr="002B2A7F" w:rsidRDefault="001F27D2" w:rsidP="001F27D2">
      <w:pPr>
        <w:pStyle w:val="Reporttext"/>
        <w:numPr>
          <w:ilvl w:val="0"/>
          <w:numId w:val="0"/>
        </w:numPr>
      </w:pPr>
    </w:p>
    <w:tbl>
      <w:tblPr>
        <w:tblW w:w="8602" w:type="dxa"/>
        <w:tblInd w:w="720"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507"/>
        <w:gridCol w:w="3260"/>
        <w:gridCol w:w="2835"/>
      </w:tblGrid>
      <w:tr w:rsidR="001F27D2" w:rsidRPr="006713C4" w14:paraId="573B6E0B" w14:textId="77777777" w:rsidTr="001F27D2">
        <w:trPr>
          <w:trHeight w:val="320"/>
        </w:trPr>
        <w:tc>
          <w:tcPr>
            <w:tcW w:w="8602" w:type="dxa"/>
            <w:gridSpan w:val="3"/>
            <w:shd w:val="clear" w:color="000000" w:fill="009999"/>
            <w:vAlign w:val="center"/>
            <w:hideMark/>
          </w:tcPr>
          <w:p w14:paraId="5E1E9B5F" w14:textId="77777777" w:rsidR="001F27D2" w:rsidRPr="006713C4" w:rsidRDefault="001F27D2" w:rsidP="006713C4">
            <w:pPr>
              <w:pStyle w:val="Tableheading1"/>
            </w:pPr>
            <w:bookmarkStart w:id="308" w:name="RANGE!H39"/>
            <w:bookmarkStart w:id="309" w:name="_Toc524935663"/>
            <w:bookmarkStart w:id="310" w:name="_Toc531122937"/>
            <w:bookmarkStart w:id="311" w:name="_Toc532812472"/>
            <w:r w:rsidRPr="006713C4">
              <w:t xml:space="preserve">Table 4.1 </w:t>
            </w:r>
            <w:r w:rsidRPr="006713C4">
              <w:tab/>
              <w:t xml:space="preserve">Dwelling stock and households by </w:t>
            </w:r>
            <w:bookmarkEnd w:id="308"/>
            <w:bookmarkEnd w:id="309"/>
            <w:r w:rsidRPr="006713C4">
              <w:t>housing market area</w:t>
            </w:r>
            <w:bookmarkEnd w:id="310"/>
            <w:bookmarkEnd w:id="311"/>
          </w:p>
        </w:tc>
      </w:tr>
      <w:tr w:rsidR="001F27D2" w:rsidRPr="006713C4" w14:paraId="06BAD9FB" w14:textId="77777777" w:rsidTr="001F27D2">
        <w:trPr>
          <w:trHeight w:val="320"/>
        </w:trPr>
        <w:tc>
          <w:tcPr>
            <w:tcW w:w="2507" w:type="dxa"/>
            <w:shd w:val="clear" w:color="000000" w:fill="009999"/>
            <w:noWrap/>
            <w:vAlign w:val="center"/>
            <w:hideMark/>
          </w:tcPr>
          <w:p w14:paraId="1DF9705E" w14:textId="77777777" w:rsidR="001F27D2" w:rsidRPr="006713C4" w:rsidRDefault="001F27D2" w:rsidP="006713C4">
            <w:pPr>
              <w:spacing w:before="0" w:after="0"/>
              <w:rPr>
                <w:rFonts w:cs="Calibri"/>
                <w:b/>
                <w:bCs/>
                <w:color w:val="FFFFFF"/>
                <w:sz w:val="22"/>
                <w:szCs w:val="22"/>
              </w:rPr>
            </w:pPr>
            <w:r w:rsidRPr="006713C4">
              <w:rPr>
                <w:rFonts w:cs="Calibri"/>
                <w:b/>
                <w:bCs/>
                <w:color w:val="FFFFFF"/>
                <w:sz w:val="22"/>
                <w:szCs w:val="22"/>
              </w:rPr>
              <w:t>Housing Market Area</w:t>
            </w:r>
          </w:p>
        </w:tc>
        <w:tc>
          <w:tcPr>
            <w:tcW w:w="3260" w:type="dxa"/>
            <w:shd w:val="clear" w:color="000000" w:fill="009999"/>
            <w:noWrap/>
            <w:vAlign w:val="center"/>
            <w:hideMark/>
          </w:tcPr>
          <w:p w14:paraId="05588DDC" w14:textId="77777777" w:rsidR="001F27D2" w:rsidRPr="006713C4" w:rsidRDefault="001F27D2" w:rsidP="006713C4">
            <w:pPr>
              <w:spacing w:before="0" w:after="0"/>
              <w:jc w:val="center"/>
              <w:rPr>
                <w:rFonts w:cs="Calibri"/>
                <w:b/>
                <w:bCs/>
                <w:color w:val="FFFFFF"/>
                <w:sz w:val="22"/>
                <w:szCs w:val="22"/>
              </w:rPr>
            </w:pPr>
            <w:r w:rsidRPr="006713C4">
              <w:rPr>
                <w:rFonts w:cs="Calibri"/>
                <w:b/>
                <w:bCs/>
                <w:color w:val="FFFFFF"/>
                <w:sz w:val="22"/>
                <w:szCs w:val="22"/>
              </w:rPr>
              <w:t>Total Dwellings 2018</w:t>
            </w:r>
          </w:p>
        </w:tc>
        <w:tc>
          <w:tcPr>
            <w:tcW w:w="2835" w:type="dxa"/>
            <w:shd w:val="clear" w:color="000000" w:fill="009999"/>
          </w:tcPr>
          <w:p w14:paraId="3146DDE1" w14:textId="77777777" w:rsidR="001F27D2" w:rsidRPr="006713C4" w:rsidRDefault="001F27D2" w:rsidP="006713C4">
            <w:pPr>
              <w:spacing w:before="0" w:after="0"/>
              <w:jc w:val="center"/>
              <w:rPr>
                <w:rFonts w:cs="Calibri"/>
                <w:b/>
                <w:bCs/>
                <w:color w:val="FFFFFF"/>
                <w:sz w:val="22"/>
                <w:szCs w:val="22"/>
              </w:rPr>
            </w:pPr>
            <w:r w:rsidRPr="006713C4">
              <w:rPr>
                <w:rFonts w:cs="Calibri"/>
                <w:b/>
                <w:bCs/>
                <w:color w:val="FFFFFF"/>
                <w:sz w:val="22"/>
                <w:szCs w:val="22"/>
              </w:rPr>
              <w:t>Total households 2018</w:t>
            </w:r>
          </w:p>
        </w:tc>
      </w:tr>
      <w:tr w:rsidR="001F27D2" w:rsidRPr="006713C4" w14:paraId="144B9294" w14:textId="77777777" w:rsidTr="001F27D2">
        <w:trPr>
          <w:trHeight w:val="300"/>
        </w:trPr>
        <w:tc>
          <w:tcPr>
            <w:tcW w:w="2507" w:type="dxa"/>
            <w:shd w:val="clear" w:color="auto" w:fill="auto"/>
            <w:noWrap/>
            <w:vAlign w:val="bottom"/>
          </w:tcPr>
          <w:p w14:paraId="49493279" w14:textId="77777777" w:rsidR="001F27D2" w:rsidRPr="006713C4" w:rsidRDefault="001F27D2" w:rsidP="006713C4">
            <w:pPr>
              <w:spacing w:before="0" w:after="0"/>
              <w:rPr>
                <w:rFonts w:cs="Calibri"/>
                <w:bCs/>
                <w:color w:val="000000"/>
                <w:sz w:val="22"/>
                <w:szCs w:val="22"/>
              </w:rPr>
            </w:pPr>
            <w:r w:rsidRPr="006713C4">
              <w:rPr>
                <w:rFonts w:cs="Calibri"/>
                <w:bCs/>
                <w:color w:val="000000"/>
                <w:sz w:val="22"/>
                <w:szCs w:val="22"/>
              </w:rPr>
              <w:t>HMA 1A Penrith Urban</w:t>
            </w:r>
          </w:p>
        </w:tc>
        <w:tc>
          <w:tcPr>
            <w:tcW w:w="3260" w:type="dxa"/>
            <w:shd w:val="clear" w:color="auto" w:fill="auto"/>
            <w:noWrap/>
            <w:vAlign w:val="bottom"/>
          </w:tcPr>
          <w:p w14:paraId="18221FF4" w14:textId="77777777" w:rsidR="001F27D2" w:rsidRPr="006713C4" w:rsidRDefault="001F27D2" w:rsidP="006713C4">
            <w:pPr>
              <w:spacing w:before="0" w:after="0"/>
              <w:jc w:val="center"/>
              <w:rPr>
                <w:rFonts w:cs="Calibri"/>
                <w:color w:val="000000"/>
                <w:sz w:val="22"/>
                <w:szCs w:val="22"/>
              </w:rPr>
            </w:pPr>
            <w:r w:rsidRPr="006713C4">
              <w:rPr>
                <w:rFonts w:cs="Calibri"/>
                <w:bCs/>
                <w:color w:val="000000"/>
                <w:sz w:val="22"/>
                <w:szCs w:val="22"/>
              </w:rPr>
              <w:t>7,806</w:t>
            </w:r>
          </w:p>
        </w:tc>
        <w:tc>
          <w:tcPr>
            <w:tcW w:w="2835" w:type="dxa"/>
            <w:vAlign w:val="bottom"/>
          </w:tcPr>
          <w:p w14:paraId="70309EDE" w14:textId="77777777" w:rsidR="001F27D2" w:rsidRPr="006713C4" w:rsidRDefault="001F27D2" w:rsidP="006713C4">
            <w:pPr>
              <w:spacing w:before="0" w:after="0"/>
              <w:jc w:val="center"/>
              <w:rPr>
                <w:rFonts w:cs="Calibri"/>
                <w:color w:val="000000"/>
                <w:sz w:val="22"/>
                <w:szCs w:val="22"/>
              </w:rPr>
            </w:pPr>
            <w:r w:rsidRPr="006713C4">
              <w:rPr>
                <w:rFonts w:cs="Calibri"/>
                <w:bCs/>
                <w:color w:val="000000"/>
                <w:sz w:val="22"/>
                <w:szCs w:val="22"/>
              </w:rPr>
              <w:t>7,489</w:t>
            </w:r>
          </w:p>
        </w:tc>
      </w:tr>
      <w:tr w:rsidR="001F27D2" w:rsidRPr="006713C4" w14:paraId="7BD43D52" w14:textId="77777777" w:rsidTr="001F27D2">
        <w:trPr>
          <w:trHeight w:val="300"/>
        </w:trPr>
        <w:tc>
          <w:tcPr>
            <w:tcW w:w="2507" w:type="dxa"/>
            <w:shd w:val="clear" w:color="auto" w:fill="auto"/>
            <w:noWrap/>
            <w:vAlign w:val="bottom"/>
          </w:tcPr>
          <w:p w14:paraId="3242E8D8" w14:textId="77777777" w:rsidR="001F27D2" w:rsidRPr="006713C4" w:rsidRDefault="001F27D2" w:rsidP="006713C4">
            <w:pPr>
              <w:spacing w:before="0" w:after="0"/>
              <w:rPr>
                <w:rFonts w:cs="Calibri"/>
                <w:bCs/>
                <w:color w:val="000000"/>
                <w:sz w:val="22"/>
                <w:szCs w:val="22"/>
              </w:rPr>
            </w:pPr>
            <w:r w:rsidRPr="006713C4">
              <w:rPr>
                <w:rFonts w:cs="Calibri"/>
                <w:bCs/>
                <w:color w:val="000000"/>
                <w:sz w:val="22"/>
                <w:szCs w:val="22"/>
              </w:rPr>
              <w:t>HMA 1B Penrith Rural</w:t>
            </w:r>
          </w:p>
        </w:tc>
        <w:tc>
          <w:tcPr>
            <w:tcW w:w="3260" w:type="dxa"/>
            <w:shd w:val="clear" w:color="auto" w:fill="auto"/>
            <w:noWrap/>
            <w:vAlign w:val="bottom"/>
          </w:tcPr>
          <w:p w14:paraId="4BEB7F55" w14:textId="77777777" w:rsidR="001F27D2" w:rsidRPr="006713C4" w:rsidRDefault="001F27D2" w:rsidP="006713C4">
            <w:pPr>
              <w:spacing w:before="0" w:after="0"/>
              <w:jc w:val="center"/>
              <w:rPr>
                <w:rFonts w:cs="Calibri"/>
                <w:color w:val="000000"/>
                <w:sz w:val="22"/>
                <w:szCs w:val="22"/>
              </w:rPr>
            </w:pPr>
            <w:r w:rsidRPr="006713C4">
              <w:rPr>
                <w:rFonts w:cs="Calibri"/>
                <w:bCs/>
                <w:color w:val="000000"/>
                <w:sz w:val="22"/>
                <w:szCs w:val="22"/>
              </w:rPr>
              <w:t>5,352</w:t>
            </w:r>
          </w:p>
        </w:tc>
        <w:tc>
          <w:tcPr>
            <w:tcW w:w="2835" w:type="dxa"/>
            <w:vAlign w:val="bottom"/>
          </w:tcPr>
          <w:p w14:paraId="2480CA0E" w14:textId="77777777" w:rsidR="001F27D2" w:rsidRPr="006713C4" w:rsidRDefault="001F27D2" w:rsidP="006713C4">
            <w:pPr>
              <w:spacing w:before="0" w:after="0"/>
              <w:jc w:val="center"/>
              <w:rPr>
                <w:rFonts w:cs="Calibri"/>
                <w:color w:val="000000"/>
                <w:sz w:val="22"/>
                <w:szCs w:val="22"/>
              </w:rPr>
            </w:pPr>
            <w:r w:rsidRPr="006713C4">
              <w:rPr>
                <w:rFonts w:cs="Calibri"/>
                <w:bCs/>
                <w:color w:val="000000"/>
                <w:sz w:val="22"/>
                <w:szCs w:val="22"/>
              </w:rPr>
              <w:t>4,939</w:t>
            </w:r>
          </w:p>
        </w:tc>
      </w:tr>
      <w:tr w:rsidR="001F27D2" w:rsidRPr="006713C4" w14:paraId="395667D8" w14:textId="77777777" w:rsidTr="001F27D2">
        <w:trPr>
          <w:trHeight w:val="300"/>
        </w:trPr>
        <w:tc>
          <w:tcPr>
            <w:tcW w:w="2507" w:type="dxa"/>
            <w:shd w:val="clear" w:color="auto" w:fill="auto"/>
            <w:noWrap/>
            <w:vAlign w:val="bottom"/>
          </w:tcPr>
          <w:p w14:paraId="18416283" w14:textId="77777777" w:rsidR="001F27D2" w:rsidRPr="006713C4" w:rsidRDefault="001F27D2" w:rsidP="006713C4">
            <w:pPr>
              <w:spacing w:before="0" w:after="0"/>
              <w:rPr>
                <w:rFonts w:cs="Calibri"/>
                <w:bCs/>
                <w:color w:val="000000"/>
                <w:sz w:val="22"/>
                <w:szCs w:val="22"/>
              </w:rPr>
            </w:pPr>
            <w:r w:rsidRPr="006713C4">
              <w:rPr>
                <w:rFonts w:cs="Calibri"/>
                <w:bCs/>
                <w:color w:val="000000"/>
                <w:sz w:val="22"/>
                <w:szCs w:val="22"/>
              </w:rPr>
              <w:t>HMA2 Appleby</w:t>
            </w:r>
          </w:p>
        </w:tc>
        <w:tc>
          <w:tcPr>
            <w:tcW w:w="3260" w:type="dxa"/>
            <w:shd w:val="clear" w:color="auto" w:fill="auto"/>
            <w:noWrap/>
            <w:vAlign w:val="bottom"/>
          </w:tcPr>
          <w:p w14:paraId="1F6CE879" w14:textId="77777777" w:rsidR="001F27D2" w:rsidRPr="006713C4" w:rsidRDefault="001F27D2" w:rsidP="006713C4">
            <w:pPr>
              <w:spacing w:before="0" w:after="0"/>
              <w:jc w:val="center"/>
              <w:rPr>
                <w:rFonts w:cs="Calibri"/>
                <w:color w:val="000000"/>
                <w:sz w:val="22"/>
                <w:szCs w:val="22"/>
              </w:rPr>
            </w:pPr>
            <w:r w:rsidRPr="006713C4">
              <w:rPr>
                <w:rFonts w:cs="Calibri"/>
                <w:bCs/>
                <w:color w:val="000000"/>
                <w:sz w:val="22"/>
                <w:szCs w:val="22"/>
              </w:rPr>
              <w:t>4,524</w:t>
            </w:r>
          </w:p>
        </w:tc>
        <w:tc>
          <w:tcPr>
            <w:tcW w:w="2835" w:type="dxa"/>
            <w:vAlign w:val="bottom"/>
          </w:tcPr>
          <w:p w14:paraId="301F3C3B" w14:textId="77777777" w:rsidR="001F27D2" w:rsidRPr="006713C4" w:rsidRDefault="001F27D2" w:rsidP="006713C4">
            <w:pPr>
              <w:spacing w:before="0" w:after="0"/>
              <w:jc w:val="center"/>
              <w:rPr>
                <w:rFonts w:cs="Calibri"/>
                <w:color w:val="000000"/>
                <w:sz w:val="22"/>
                <w:szCs w:val="22"/>
              </w:rPr>
            </w:pPr>
            <w:r w:rsidRPr="006713C4">
              <w:rPr>
                <w:rFonts w:cs="Calibri"/>
                <w:bCs/>
                <w:color w:val="000000"/>
                <w:sz w:val="22"/>
                <w:szCs w:val="22"/>
              </w:rPr>
              <w:t>4,105</w:t>
            </w:r>
          </w:p>
        </w:tc>
      </w:tr>
      <w:tr w:rsidR="001F27D2" w:rsidRPr="006713C4" w14:paraId="30672351" w14:textId="77777777" w:rsidTr="001F27D2">
        <w:trPr>
          <w:trHeight w:val="300"/>
        </w:trPr>
        <w:tc>
          <w:tcPr>
            <w:tcW w:w="2507" w:type="dxa"/>
            <w:shd w:val="clear" w:color="auto" w:fill="auto"/>
            <w:noWrap/>
            <w:vAlign w:val="bottom"/>
          </w:tcPr>
          <w:p w14:paraId="42DA9D17" w14:textId="77777777" w:rsidR="001F27D2" w:rsidRPr="006713C4" w:rsidRDefault="001F27D2" w:rsidP="006713C4">
            <w:pPr>
              <w:spacing w:before="0" w:after="0"/>
              <w:rPr>
                <w:rFonts w:cs="Calibri"/>
                <w:bCs/>
                <w:color w:val="000000"/>
                <w:sz w:val="22"/>
                <w:szCs w:val="22"/>
              </w:rPr>
            </w:pPr>
            <w:r w:rsidRPr="006713C4">
              <w:rPr>
                <w:rFonts w:cs="Calibri"/>
                <w:bCs/>
                <w:color w:val="000000"/>
                <w:sz w:val="22"/>
                <w:szCs w:val="22"/>
              </w:rPr>
              <w:t>HMA3 Kirkby Stephen</w:t>
            </w:r>
          </w:p>
        </w:tc>
        <w:tc>
          <w:tcPr>
            <w:tcW w:w="3260" w:type="dxa"/>
            <w:shd w:val="clear" w:color="auto" w:fill="auto"/>
            <w:noWrap/>
            <w:vAlign w:val="bottom"/>
          </w:tcPr>
          <w:p w14:paraId="57C94A1B" w14:textId="77777777" w:rsidR="001F27D2" w:rsidRPr="006713C4" w:rsidRDefault="001F27D2" w:rsidP="006713C4">
            <w:pPr>
              <w:spacing w:before="0" w:after="0"/>
              <w:jc w:val="center"/>
              <w:rPr>
                <w:rFonts w:cs="Calibri"/>
                <w:color w:val="000000"/>
                <w:sz w:val="22"/>
                <w:szCs w:val="22"/>
              </w:rPr>
            </w:pPr>
            <w:r w:rsidRPr="006713C4">
              <w:rPr>
                <w:rFonts w:cs="Calibri"/>
                <w:bCs/>
                <w:color w:val="000000"/>
                <w:sz w:val="22"/>
                <w:szCs w:val="22"/>
              </w:rPr>
              <w:t>3,373</w:t>
            </w:r>
          </w:p>
        </w:tc>
        <w:tc>
          <w:tcPr>
            <w:tcW w:w="2835" w:type="dxa"/>
            <w:vAlign w:val="bottom"/>
          </w:tcPr>
          <w:p w14:paraId="602CC3F9" w14:textId="77777777" w:rsidR="001F27D2" w:rsidRPr="006713C4" w:rsidRDefault="001F27D2" w:rsidP="006713C4">
            <w:pPr>
              <w:spacing w:before="0" w:after="0"/>
              <w:jc w:val="center"/>
              <w:rPr>
                <w:rFonts w:cs="Calibri"/>
                <w:color w:val="000000"/>
                <w:sz w:val="22"/>
                <w:szCs w:val="22"/>
              </w:rPr>
            </w:pPr>
            <w:r w:rsidRPr="006713C4">
              <w:rPr>
                <w:rFonts w:cs="Calibri"/>
                <w:bCs/>
                <w:color w:val="000000"/>
                <w:sz w:val="22"/>
                <w:szCs w:val="22"/>
              </w:rPr>
              <w:t>3,023</w:t>
            </w:r>
          </w:p>
        </w:tc>
      </w:tr>
      <w:tr w:rsidR="001F27D2" w:rsidRPr="006713C4" w14:paraId="46B2C324" w14:textId="77777777" w:rsidTr="001F27D2">
        <w:trPr>
          <w:trHeight w:val="300"/>
        </w:trPr>
        <w:tc>
          <w:tcPr>
            <w:tcW w:w="2507" w:type="dxa"/>
            <w:shd w:val="clear" w:color="auto" w:fill="auto"/>
            <w:noWrap/>
            <w:vAlign w:val="bottom"/>
          </w:tcPr>
          <w:p w14:paraId="7FC29790" w14:textId="77777777" w:rsidR="001F27D2" w:rsidRPr="006713C4" w:rsidRDefault="001F27D2" w:rsidP="006713C4">
            <w:pPr>
              <w:spacing w:before="0" w:after="0"/>
              <w:rPr>
                <w:rFonts w:cs="Calibri"/>
                <w:bCs/>
                <w:color w:val="000000"/>
                <w:sz w:val="22"/>
                <w:szCs w:val="22"/>
              </w:rPr>
            </w:pPr>
            <w:r w:rsidRPr="006713C4">
              <w:rPr>
                <w:rFonts w:cs="Calibri"/>
                <w:bCs/>
                <w:color w:val="000000"/>
                <w:sz w:val="22"/>
                <w:szCs w:val="22"/>
              </w:rPr>
              <w:t>HMA4 Alston</w:t>
            </w:r>
          </w:p>
        </w:tc>
        <w:tc>
          <w:tcPr>
            <w:tcW w:w="3260" w:type="dxa"/>
            <w:shd w:val="clear" w:color="auto" w:fill="auto"/>
            <w:noWrap/>
            <w:vAlign w:val="bottom"/>
          </w:tcPr>
          <w:p w14:paraId="673D77E8" w14:textId="77777777" w:rsidR="001F27D2" w:rsidRPr="006713C4" w:rsidRDefault="001F27D2" w:rsidP="006713C4">
            <w:pPr>
              <w:spacing w:before="0" w:after="0"/>
              <w:jc w:val="center"/>
              <w:rPr>
                <w:rFonts w:cs="Calibri"/>
                <w:color w:val="000000"/>
                <w:sz w:val="22"/>
                <w:szCs w:val="22"/>
              </w:rPr>
            </w:pPr>
            <w:r w:rsidRPr="006713C4">
              <w:rPr>
                <w:rFonts w:cs="Calibri"/>
                <w:bCs/>
                <w:color w:val="000000"/>
                <w:sz w:val="22"/>
                <w:szCs w:val="22"/>
              </w:rPr>
              <w:t>1,821</w:t>
            </w:r>
          </w:p>
        </w:tc>
        <w:tc>
          <w:tcPr>
            <w:tcW w:w="2835" w:type="dxa"/>
            <w:vAlign w:val="bottom"/>
          </w:tcPr>
          <w:p w14:paraId="3C2DDE37" w14:textId="77777777" w:rsidR="001F27D2" w:rsidRPr="006713C4" w:rsidRDefault="001F27D2" w:rsidP="006713C4">
            <w:pPr>
              <w:spacing w:before="0" w:after="0"/>
              <w:jc w:val="center"/>
              <w:rPr>
                <w:rFonts w:cs="Calibri"/>
                <w:color w:val="000000"/>
                <w:sz w:val="22"/>
                <w:szCs w:val="22"/>
              </w:rPr>
            </w:pPr>
            <w:r w:rsidRPr="006713C4">
              <w:rPr>
                <w:rFonts w:cs="Calibri"/>
                <w:bCs/>
                <w:color w:val="000000"/>
                <w:sz w:val="22"/>
                <w:szCs w:val="22"/>
              </w:rPr>
              <w:t>1,626</w:t>
            </w:r>
          </w:p>
        </w:tc>
      </w:tr>
      <w:tr w:rsidR="001F27D2" w:rsidRPr="006713C4" w14:paraId="6C7C8057" w14:textId="77777777" w:rsidTr="001F27D2">
        <w:trPr>
          <w:trHeight w:val="300"/>
        </w:trPr>
        <w:tc>
          <w:tcPr>
            <w:tcW w:w="2507" w:type="dxa"/>
            <w:shd w:val="clear" w:color="auto" w:fill="auto"/>
            <w:noWrap/>
            <w:vAlign w:val="bottom"/>
          </w:tcPr>
          <w:p w14:paraId="52F509C7" w14:textId="77777777" w:rsidR="001F27D2" w:rsidRPr="006713C4" w:rsidRDefault="001F27D2" w:rsidP="006713C4">
            <w:pPr>
              <w:spacing w:before="0" w:after="0"/>
              <w:rPr>
                <w:rFonts w:cs="Calibri"/>
                <w:bCs/>
                <w:color w:val="000000"/>
                <w:sz w:val="22"/>
                <w:szCs w:val="22"/>
              </w:rPr>
            </w:pPr>
            <w:r w:rsidRPr="006713C4">
              <w:rPr>
                <w:rFonts w:cs="Calibri"/>
                <w:bCs/>
                <w:color w:val="000000"/>
                <w:sz w:val="22"/>
                <w:szCs w:val="22"/>
              </w:rPr>
              <w:t>HMA5 West of M6</w:t>
            </w:r>
          </w:p>
        </w:tc>
        <w:tc>
          <w:tcPr>
            <w:tcW w:w="3260" w:type="dxa"/>
            <w:shd w:val="clear" w:color="auto" w:fill="auto"/>
            <w:noWrap/>
            <w:vAlign w:val="bottom"/>
          </w:tcPr>
          <w:p w14:paraId="1D84FEFF" w14:textId="77777777" w:rsidR="001F27D2" w:rsidRPr="006713C4" w:rsidRDefault="001F27D2" w:rsidP="006713C4">
            <w:pPr>
              <w:spacing w:before="0" w:after="0"/>
              <w:jc w:val="center"/>
              <w:rPr>
                <w:rFonts w:cs="Calibri"/>
                <w:color w:val="000000"/>
                <w:sz w:val="22"/>
                <w:szCs w:val="22"/>
              </w:rPr>
            </w:pPr>
            <w:r w:rsidRPr="006713C4">
              <w:rPr>
                <w:rFonts w:cs="Calibri"/>
                <w:bCs/>
                <w:color w:val="000000"/>
                <w:sz w:val="22"/>
                <w:szCs w:val="22"/>
              </w:rPr>
              <w:t>3,121</w:t>
            </w:r>
          </w:p>
        </w:tc>
        <w:tc>
          <w:tcPr>
            <w:tcW w:w="2835" w:type="dxa"/>
            <w:vAlign w:val="bottom"/>
          </w:tcPr>
          <w:p w14:paraId="12373F1A" w14:textId="77777777" w:rsidR="001F27D2" w:rsidRPr="006713C4" w:rsidRDefault="001F27D2" w:rsidP="006713C4">
            <w:pPr>
              <w:spacing w:before="0" w:after="0"/>
              <w:jc w:val="center"/>
              <w:rPr>
                <w:rFonts w:cs="Calibri"/>
                <w:color w:val="000000"/>
                <w:sz w:val="22"/>
                <w:szCs w:val="22"/>
              </w:rPr>
            </w:pPr>
            <w:r w:rsidRPr="006713C4">
              <w:rPr>
                <w:rFonts w:cs="Calibri"/>
                <w:bCs/>
                <w:color w:val="000000"/>
                <w:sz w:val="22"/>
                <w:szCs w:val="22"/>
              </w:rPr>
              <w:t>2,581</w:t>
            </w:r>
          </w:p>
        </w:tc>
      </w:tr>
      <w:tr w:rsidR="001F27D2" w:rsidRPr="006713C4" w14:paraId="50AC5AE7" w14:textId="77777777" w:rsidTr="001F27D2">
        <w:trPr>
          <w:trHeight w:val="300"/>
        </w:trPr>
        <w:tc>
          <w:tcPr>
            <w:tcW w:w="2507" w:type="dxa"/>
            <w:shd w:val="clear" w:color="auto" w:fill="auto"/>
            <w:noWrap/>
            <w:vAlign w:val="bottom"/>
          </w:tcPr>
          <w:p w14:paraId="7F5476C6" w14:textId="77777777" w:rsidR="001F27D2" w:rsidRPr="006713C4" w:rsidRDefault="001F27D2" w:rsidP="006713C4">
            <w:pPr>
              <w:spacing w:before="0" w:after="0"/>
              <w:rPr>
                <w:rFonts w:cs="Calibri"/>
                <w:bCs/>
                <w:color w:val="000000"/>
                <w:sz w:val="22"/>
                <w:szCs w:val="22"/>
              </w:rPr>
            </w:pPr>
            <w:r w:rsidRPr="006713C4">
              <w:rPr>
                <w:rFonts w:cs="Calibri"/>
                <w:bCs/>
                <w:color w:val="000000"/>
                <w:sz w:val="22"/>
                <w:szCs w:val="22"/>
              </w:rPr>
              <w:t>TOTAL</w:t>
            </w:r>
          </w:p>
        </w:tc>
        <w:tc>
          <w:tcPr>
            <w:tcW w:w="3260" w:type="dxa"/>
            <w:shd w:val="clear" w:color="auto" w:fill="auto"/>
            <w:noWrap/>
            <w:vAlign w:val="bottom"/>
          </w:tcPr>
          <w:p w14:paraId="665D7CCB" w14:textId="77777777" w:rsidR="001F27D2" w:rsidRPr="006713C4" w:rsidRDefault="001F27D2" w:rsidP="006713C4">
            <w:pPr>
              <w:spacing w:before="0" w:after="0"/>
              <w:jc w:val="center"/>
              <w:rPr>
                <w:rFonts w:cs="Calibri"/>
                <w:color w:val="000000"/>
                <w:sz w:val="22"/>
                <w:szCs w:val="22"/>
              </w:rPr>
            </w:pPr>
            <w:r w:rsidRPr="006713C4">
              <w:rPr>
                <w:rFonts w:cs="Calibri"/>
                <w:bCs/>
                <w:color w:val="000000"/>
                <w:sz w:val="22"/>
                <w:szCs w:val="22"/>
              </w:rPr>
              <w:t>25,997</w:t>
            </w:r>
          </w:p>
        </w:tc>
        <w:tc>
          <w:tcPr>
            <w:tcW w:w="2835" w:type="dxa"/>
            <w:vAlign w:val="bottom"/>
          </w:tcPr>
          <w:p w14:paraId="2B89631F" w14:textId="77777777" w:rsidR="001F27D2" w:rsidRPr="006713C4" w:rsidRDefault="001F27D2" w:rsidP="006713C4">
            <w:pPr>
              <w:spacing w:before="0" w:after="0"/>
              <w:jc w:val="center"/>
              <w:rPr>
                <w:rFonts w:cs="Calibri"/>
                <w:color w:val="000000"/>
                <w:sz w:val="22"/>
                <w:szCs w:val="22"/>
              </w:rPr>
            </w:pPr>
            <w:r w:rsidRPr="006713C4">
              <w:rPr>
                <w:rFonts w:cs="Calibri"/>
                <w:bCs/>
                <w:color w:val="000000"/>
                <w:sz w:val="22"/>
                <w:szCs w:val="22"/>
              </w:rPr>
              <w:t>23,763</w:t>
            </w:r>
          </w:p>
        </w:tc>
      </w:tr>
    </w:tbl>
    <w:p w14:paraId="7F28240F" w14:textId="77777777" w:rsidR="001F27D2" w:rsidRPr="002B2A7F" w:rsidRDefault="001F27D2" w:rsidP="001F27D2">
      <w:pPr>
        <w:ind w:left="709"/>
        <w:rPr>
          <w:rFonts w:asciiTheme="minorHAnsi" w:hAnsiTheme="minorHAnsi" w:cs="Calibri"/>
          <w:sz w:val="20"/>
        </w:rPr>
      </w:pPr>
      <w:r w:rsidRPr="002B2A7F">
        <w:rPr>
          <w:rFonts w:asciiTheme="minorHAnsi" w:hAnsiTheme="minorHAnsi" w:cs="Calibri"/>
          <w:sz w:val="20"/>
        </w:rPr>
        <w:t>Source: 2018 Council Tax</w:t>
      </w:r>
    </w:p>
    <w:p w14:paraId="41FC52FA" w14:textId="77777777" w:rsidR="001F27D2" w:rsidRPr="002B2A7F" w:rsidRDefault="001F27D2" w:rsidP="001F27D2">
      <w:pPr>
        <w:rPr>
          <w:rFonts w:asciiTheme="minorHAnsi" w:hAnsiTheme="minorHAnsi" w:cs="Calibri"/>
        </w:rPr>
      </w:pPr>
    </w:p>
    <w:p w14:paraId="080820A8" w14:textId="77777777" w:rsidR="001F27D2" w:rsidRPr="002B2A7F" w:rsidRDefault="001F27D2" w:rsidP="001F27D2">
      <w:pPr>
        <w:pStyle w:val="Heading3"/>
        <w:rPr>
          <w:rFonts w:asciiTheme="minorHAnsi" w:hAnsiTheme="minorHAnsi" w:cs="Calibri"/>
        </w:rPr>
      </w:pPr>
      <w:r w:rsidRPr="002B2A7F">
        <w:rPr>
          <w:rFonts w:asciiTheme="minorHAnsi" w:hAnsiTheme="minorHAnsi" w:cs="Calibri"/>
        </w:rPr>
        <w:t>Dwelling type and size</w:t>
      </w:r>
    </w:p>
    <w:p w14:paraId="3AD98CB9" w14:textId="62903E19" w:rsidR="001F27D2" w:rsidRPr="002B2A7F" w:rsidRDefault="001F27D2" w:rsidP="001F27D2">
      <w:pPr>
        <w:pStyle w:val="Reporttext"/>
      </w:pPr>
      <w:r w:rsidRPr="002B2A7F">
        <w:t xml:space="preserve">The following tables show the breakdown of dwelling stock by type and size by housing market area based on 2017 Valuation Office Agency data.  </w:t>
      </w:r>
    </w:p>
    <w:p w14:paraId="46F857D1" w14:textId="0B12E6CC" w:rsidR="001F27D2" w:rsidRPr="002B2A7F" w:rsidRDefault="001F27D2" w:rsidP="001F27D2">
      <w:pPr>
        <w:pStyle w:val="Reporttext"/>
      </w:pPr>
      <w:r w:rsidRPr="002B2A7F">
        <w:t>Table 4.2 shows that detached houses account for 26.9% of all dwellings which is markedly higher than the regional and national proportion; The highest proportion was in HMA 1BPenrith Rural (37.2%). Semi-detached houses account for 23.6% which is similar to the national average and highest in HMA 1A Penrith Urban (27.6%). Terraced stock accounted for 24% which is lower than regional and national averages and highest in HMA3 Kirkby Stephen. The proportion of bungalows is considerably higher than the regional and national averages and accounts for around 20% of stock in HMA 1B Penrith Rural and HMA5 West of M6. Flats account for 10.3% of dwelling stock which is lower than regional and national averages and highest in HMA 1A Penrith Urban at 21.</w:t>
      </w:r>
      <w:r w:rsidR="001860AC">
        <w:t>2</w:t>
      </w:r>
      <w:r w:rsidRPr="002B2A7F">
        <w:t>%</w:t>
      </w:r>
    </w:p>
    <w:p w14:paraId="058F5F32" w14:textId="1576B2C5" w:rsidR="001F27D2" w:rsidRDefault="001F27D2" w:rsidP="001F27D2">
      <w:pPr>
        <w:pStyle w:val="Reporttext"/>
        <w:numPr>
          <w:ilvl w:val="0"/>
          <w:numId w:val="0"/>
        </w:numPr>
        <w:rPr>
          <w:highlight w:val="yellow"/>
        </w:rPr>
      </w:pPr>
    </w:p>
    <w:p w14:paraId="05B4F301" w14:textId="09DB3320" w:rsidR="0060295C" w:rsidRDefault="0060295C">
      <w:pPr>
        <w:spacing w:before="0" w:after="0"/>
        <w:jc w:val="left"/>
        <w:rPr>
          <w:rFonts w:asciiTheme="minorHAnsi" w:hAnsiTheme="minorHAnsi" w:cs="Calibri"/>
          <w:highlight w:val="yellow"/>
        </w:rPr>
      </w:pPr>
      <w:r>
        <w:rPr>
          <w:highlight w:val="yellow"/>
        </w:rPr>
        <w:br w:type="page"/>
      </w: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2249"/>
        <w:gridCol w:w="903"/>
        <w:gridCol w:w="1107"/>
        <w:gridCol w:w="968"/>
        <w:gridCol w:w="968"/>
        <w:gridCol w:w="1107"/>
        <w:gridCol w:w="969"/>
        <w:gridCol w:w="909"/>
      </w:tblGrid>
      <w:tr w:rsidR="001F27D2" w:rsidRPr="00580B37" w14:paraId="068FFF1C" w14:textId="77777777" w:rsidTr="001F27D2">
        <w:trPr>
          <w:trHeight w:val="320"/>
        </w:trPr>
        <w:tc>
          <w:tcPr>
            <w:tcW w:w="5000" w:type="pct"/>
            <w:gridSpan w:val="8"/>
            <w:shd w:val="clear" w:color="000000" w:fill="009999"/>
            <w:vAlign w:val="center"/>
            <w:hideMark/>
          </w:tcPr>
          <w:p w14:paraId="6843A7FA" w14:textId="77777777" w:rsidR="001F27D2" w:rsidRPr="00580B37" w:rsidRDefault="001F27D2" w:rsidP="00580B37">
            <w:pPr>
              <w:pStyle w:val="Tableheading1"/>
            </w:pPr>
            <w:bookmarkStart w:id="312" w:name="_Toc524935665"/>
            <w:bookmarkStart w:id="313" w:name="_Toc531122938"/>
            <w:bookmarkStart w:id="314" w:name="_Toc532812473"/>
            <w:r w:rsidRPr="00580B37">
              <w:lastRenderedPageBreak/>
              <w:t xml:space="preserve">Table 4.2 </w:t>
            </w:r>
            <w:r w:rsidRPr="00580B37">
              <w:tab/>
              <w:t>Dwelling type</w:t>
            </w:r>
            <w:bookmarkEnd w:id="312"/>
            <w:r w:rsidRPr="00580B37">
              <w:t xml:space="preserve"> by HMA</w:t>
            </w:r>
            <w:bookmarkEnd w:id="313"/>
            <w:bookmarkEnd w:id="314"/>
          </w:p>
        </w:tc>
      </w:tr>
      <w:tr w:rsidR="001F27D2" w:rsidRPr="00580B37" w14:paraId="015A4C12" w14:textId="77777777" w:rsidTr="0060295C">
        <w:trPr>
          <w:trHeight w:val="660"/>
        </w:trPr>
        <w:tc>
          <w:tcPr>
            <w:tcW w:w="1225" w:type="pct"/>
            <w:shd w:val="clear" w:color="000000" w:fill="009999"/>
            <w:noWrap/>
            <w:vAlign w:val="bottom"/>
            <w:hideMark/>
          </w:tcPr>
          <w:p w14:paraId="5D3A8E1E" w14:textId="77777777" w:rsidR="001F27D2" w:rsidRPr="00580B37" w:rsidRDefault="001F27D2" w:rsidP="00580B37">
            <w:pPr>
              <w:spacing w:before="0" w:after="0"/>
              <w:rPr>
                <w:rFonts w:cs="Calibri"/>
                <w:b/>
                <w:bCs/>
                <w:color w:val="FFFFFF"/>
                <w:sz w:val="22"/>
                <w:szCs w:val="22"/>
              </w:rPr>
            </w:pPr>
            <w:r w:rsidRPr="00580B37">
              <w:rPr>
                <w:rFonts w:cs="Calibri"/>
                <w:b/>
                <w:bCs/>
                <w:color w:val="FFFFFF"/>
                <w:sz w:val="22"/>
                <w:szCs w:val="22"/>
              </w:rPr>
              <w:t>HMA</w:t>
            </w:r>
          </w:p>
        </w:tc>
        <w:tc>
          <w:tcPr>
            <w:tcW w:w="492" w:type="pct"/>
            <w:shd w:val="clear" w:color="000000" w:fill="009999"/>
            <w:noWrap/>
            <w:tcMar>
              <w:left w:w="0" w:type="dxa"/>
              <w:right w:w="0" w:type="dxa"/>
            </w:tcMar>
            <w:vAlign w:val="bottom"/>
            <w:hideMark/>
          </w:tcPr>
          <w:p w14:paraId="2A6AF08A" w14:textId="77777777" w:rsidR="001F27D2" w:rsidRPr="00580B37" w:rsidRDefault="001F27D2" w:rsidP="00580B37">
            <w:pPr>
              <w:spacing w:before="0" w:after="0"/>
              <w:jc w:val="center"/>
              <w:rPr>
                <w:rFonts w:cs="Calibri"/>
                <w:b/>
                <w:bCs/>
                <w:color w:val="FFFFFF" w:themeColor="background1"/>
                <w:sz w:val="22"/>
                <w:szCs w:val="22"/>
              </w:rPr>
            </w:pPr>
            <w:r w:rsidRPr="00580B37">
              <w:rPr>
                <w:rFonts w:cs="Calibri"/>
                <w:b/>
                <w:color w:val="FFFFFF" w:themeColor="background1"/>
                <w:sz w:val="22"/>
                <w:szCs w:val="22"/>
              </w:rPr>
              <w:t>Detached House</w:t>
            </w:r>
          </w:p>
        </w:tc>
        <w:tc>
          <w:tcPr>
            <w:tcW w:w="603" w:type="pct"/>
            <w:shd w:val="clear" w:color="000000" w:fill="009999"/>
            <w:tcMar>
              <w:left w:w="0" w:type="dxa"/>
              <w:right w:w="0" w:type="dxa"/>
            </w:tcMar>
            <w:vAlign w:val="bottom"/>
            <w:hideMark/>
          </w:tcPr>
          <w:p w14:paraId="639A973A" w14:textId="77777777" w:rsidR="001F27D2" w:rsidRPr="00580B37" w:rsidRDefault="001F27D2" w:rsidP="00580B37">
            <w:pPr>
              <w:spacing w:before="0" w:after="0"/>
              <w:jc w:val="center"/>
              <w:rPr>
                <w:rFonts w:cs="Calibri"/>
                <w:b/>
                <w:bCs/>
                <w:color w:val="FFFFFF" w:themeColor="background1"/>
                <w:sz w:val="22"/>
                <w:szCs w:val="22"/>
              </w:rPr>
            </w:pPr>
            <w:r w:rsidRPr="00580B37">
              <w:rPr>
                <w:rFonts w:cs="Calibri"/>
                <w:b/>
                <w:color w:val="FFFFFF" w:themeColor="background1"/>
                <w:sz w:val="22"/>
                <w:szCs w:val="22"/>
              </w:rPr>
              <w:t>Semi-Detached House</w:t>
            </w:r>
          </w:p>
        </w:tc>
        <w:tc>
          <w:tcPr>
            <w:tcW w:w="527" w:type="pct"/>
            <w:shd w:val="clear" w:color="000000" w:fill="009999"/>
            <w:tcMar>
              <w:left w:w="0" w:type="dxa"/>
              <w:right w:w="0" w:type="dxa"/>
            </w:tcMar>
            <w:vAlign w:val="bottom"/>
            <w:hideMark/>
          </w:tcPr>
          <w:p w14:paraId="3CA875A5" w14:textId="77777777" w:rsidR="001F27D2" w:rsidRPr="00580B37" w:rsidRDefault="001F27D2" w:rsidP="00580B37">
            <w:pPr>
              <w:spacing w:before="0" w:after="0"/>
              <w:jc w:val="center"/>
              <w:rPr>
                <w:rFonts w:cs="Calibri"/>
                <w:b/>
                <w:bCs/>
                <w:color w:val="FFFFFF" w:themeColor="background1"/>
                <w:sz w:val="22"/>
                <w:szCs w:val="22"/>
              </w:rPr>
            </w:pPr>
            <w:r w:rsidRPr="00580B37">
              <w:rPr>
                <w:rFonts w:cs="Calibri"/>
                <w:b/>
                <w:color w:val="FFFFFF" w:themeColor="background1"/>
                <w:sz w:val="22"/>
                <w:szCs w:val="22"/>
              </w:rPr>
              <w:t>Terraced House</w:t>
            </w:r>
          </w:p>
        </w:tc>
        <w:tc>
          <w:tcPr>
            <w:tcW w:w="527" w:type="pct"/>
            <w:shd w:val="clear" w:color="000000" w:fill="009999"/>
            <w:tcMar>
              <w:left w:w="0" w:type="dxa"/>
              <w:right w:w="0" w:type="dxa"/>
            </w:tcMar>
            <w:vAlign w:val="bottom"/>
            <w:hideMark/>
          </w:tcPr>
          <w:p w14:paraId="25B61229" w14:textId="77777777" w:rsidR="001F27D2" w:rsidRPr="00580B37" w:rsidRDefault="001F27D2" w:rsidP="00580B37">
            <w:pPr>
              <w:spacing w:before="0" w:after="0"/>
              <w:jc w:val="center"/>
              <w:rPr>
                <w:rFonts w:cs="Calibri"/>
                <w:b/>
                <w:bCs/>
                <w:color w:val="FFFFFF" w:themeColor="background1"/>
                <w:sz w:val="22"/>
                <w:szCs w:val="22"/>
              </w:rPr>
            </w:pPr>
            <w:r w:rsidRPr="00580B37">
              <w:rPr>
                <w:rFonts w:cs="Calibri"/>
                <w:b/>
                <w:color w:val="FFFFFF" w:themeColor="background1"/>
                <w:sz w:val="22"/>
                <w:szCs w:val="22"/>
              </w:rPr>
              <w:t>Flat</w:t>
            </w:r>
          </w:p>
        </w:tc>
        <w:tc>
          <w:tcPr>
            <w:tcW w:w="603" w:type="pct"/>
            <w:shd w:val="clear" w:color="000000" w:fill="009999"/>
            <w:tcMar>
              <w:left w:w="0" w:type="dxa"/>
              <w:right w:w="0" w:type="dxa"/>
            </w:tcMar>
            <w:vAlign w:val="bottom"/>
            <w:hideMark/>
          </w:tcPr>
          <w:p w14:paraId="54E372DB" w14:textId="77777777" w:rsidR="001F27D2" w:rsidRPr="00580B37" w:rsidRDefault="001F27D2" w:rsidP="00580B37">
            <w:pPr>
              <w:spacing w:before="0" w:after="0"/>
              <w:jc w:val="center"/>
              <w:rPr>
                <w:rFonts w:cs="Calibri"/>
                <w:b/>
                <w:bCs/>
                <w:color w:val="FFFFFF" w:themeColor="background1"/>
                <w:sz w:val="22"/>
                <w:szCs w:val="22"/>
              </w:rPr>
            </w:pPr>
            <w:r w:rsidRPr="00580B37">
              <w:rPr>
                <w:rFonts w:cs="Calibri"/>
                <w:b/>
                <w:color w:val="FFFFFF" w:themeColor="background1"/>
                <w:sz w:val="22"/>
                <w:szCs w:val="22"/>
              </w:rPr>
              <w:t>Bungalow</w:t>
            </w:r>
          </w:p>
        </w:tc>
        <w:tc>
          <w:tcPr>
            <w:tcW w:w="528" w:type="pct"/>
            <w:shd w:val="clear" w:color="000000" w:fill="009999"/>
            <w:tcMar>
              <w:left w:w="0" w:type="dxa"/>
              <w:right w:w="0" w:type="dxa"/>
            </w:tcMar>
            <w:vAlign w:val="bottom"/>
            <w:hideMark/>
          </w:tcPr>
          <w:p w14:paraId="34BA0BBC" w14:textId="77777777" w:rsidR="001F27D2" w:rsidRPr="00580B37" w:rsidRDefault="001F27D2" w:rsidP="00580B37">
            <w:pPr>
              <w:spacing w:before="0" w:after="0"/>
              <w:jc w:val="center"/>
              <w:rPr>
                <w:rFonts w:cs="Calibri"/>
                <w:b/>
                <w:bCs/>
                <w:color w:val="FFFFFF" w:themeColor="background1"/>
                <w:sz w:val="22"/>
                <w:szCs w:val="22"/>
              </w:rPr>
            </w:pPr>
            <w:r w:rsidRPr="00580B37">
              <w:rPr>
                <w:rFonts w:cs="Calibri"/>
                <w:b/>
                <w:color w:val="FFFFFF" w:themeColor="background1"/>
                <w:sz w:val="22"/>
                <w:szCs w:val="22"/>
              </w:rPr>
              <w:t>Total</w:t>
            </w:r>
          </w:p>
        </w:tc>
        <w:tc>
          <w:tcPr>
            <w:tcW w:w="496" w:type="pct"/>
            <w:shd w:val="clear" w:color="000000" w:fill="009999"/>
            <w:tcMar>
              <w:left w:w="0" w:type="dxa"/>
              <w:right w:w="0" w:type="dxa"/>
            </w:tcMar>
            <w:vAlign w:val="bottom"/>
          </w:tcPr>
          <w:p w14:paraId="6060EC68" w14:textId="77777777" w:rsidR="001F27D2" w:rsidRPr="00580B37" w:rsidRDefault="001F27D2" w:rsidP="00580B37">
            <w:pPr>
              <w:spacing w:before="0" w:after="0"/>
              <w:jc w:val="center"/>
              <w:rPr>
                <w:rFonts w:cs="Calibri"/>
                <w:b/>
                <w:bCs/>
                <w:color w:val="FFFFFF"/>
                <w:sz w:val="22"/>
                <w:szCs w:val="22"/>
              </w:rPr>
            </w:pPr>
            <w:r w:rsidRPr="00580B37">
              <w:rPr>
                <w:rFonts w:cs="Calibri"/>
                <w:b/>
                <w:bCs/>
                <w:color w:val="FFFFFF"/>
                <w:sz w:val="22"/>
                <w:szCs w:val="22"/>
              </w:rPr>
              <w:t>Base</w:t>
            </w:r>
          </w:p>
        </w:tc>
      </w:tr>
      <w:tr w:rsidR="001F27D2" w:rsidRPr="00580B37" w14:paraId="51DC5863" w14:textId="77777777" w:rsidTr="0060295C">
        <w:trPr>
          <w:trHeight w:val="300"/>
        </w:trPr>
        <w:tc>
          <w:tcPr>
            <w:tcW w:w="1225" w:type="pct"/>
            <w:shd w:val="clear" w:color="auto" w:fill="auto"/>
            <w:noWrap/>
            <w:vAlign w:val="center"/>
          </w:tcPr>
          <w:p w14:paraId="0024EC71"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HMA 1A Penrith Urban</w:t>
            </w:r>
          </w:p>
        </w:tc>
        <w:tc>
          <w:tcPr>
            <w:tcW w:w="492" w:type="pct"/>
            <w:shd w:val="clear" w:color="auto" w:fill="auto"/>
            <w:noWrap/>
            <w:vAlign w:val="bottom"/>
          </w:tcPr>
          <w:p w14:paraId="238F4A60"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11.1</w:t>
            </w:r>
          </w:p>
        </w:tc>
        <w:tc>
          <w:tcPr>
            <w:tcW w:w="603" w:type="pct"/>
            <w:shd w:val="clear" w:color="auto" w:fill="auto"/>
            <w:noWrap/>
            <w:vAlign w:val="bottom"/>
          </w:tcPr>
          <w:p w14:paraId="4B250101"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27.6</w:t>
            </w:r>
          </w:p>
        </w:tc>
        <w:tc>
          <w:tcPr>
            <w:tcW w:w="527" w:type="pct"/>
            <w:shd w:val="clear" w:color="auto" w:fill="auto"/>
            <w:noWrap/>
            <w:vAlign w:val="bottom"/>
          </w:tcPr>
          <w:p w14:paraId="65A4534F"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28.9</w:t>
            </w:r>
          </w:p>
        </w:tc>
        <w:tc>
          <w:tcPr>
            <w:tcW w:w="527" w:type="pct"/>
            <w:shd w:val="clear" w:color="auto" w:fill="auto"/>
            <w:noWrap/>
            <w:vAlign w:val="bottom"/>
          </w:tcPr>
          <w:p w14:paraId="6C1CF6A2"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21.2</w:t>
            </w:r>
          </w:p>
        </w:tc>
        <w:tc>
          <w:tcPr>
            <w:tcW w:w="603" w:type="pct"/>
            <w:shd w:val="clear" w:color="auto" w:fill="auto"/>
            <w:noWrap/>
            <w:vAlign w:val="bottom"/>
          </w:tcPr>
          <w:p w14:paraId="2E2E8523"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11.2</w:t>
            </w:r>
          </w:p>
        </w:tc>
        <w:tc>
          <w:tcPr>
            <w:tcW w:w="528" w:type="pct"/>
            <w:shd w:val="clear" w:color="auto" w:fill="auto"/>
            <w:noWrap/>
            <w:vAlign w:val="bottom"/>
          </w:tcPr>
          <w:p w14:paraId="49B652ED"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100.0</w:t>
            </w:r>
          </w:p>
        </w:tc>
        <w:tc>
          <w:tcPr>
            <w:tcW w:w="496" w:type="pct"/>
            <w:vAlign w:val="bottom"/>
          </w:tcPr>
          <w:p w14:paraId="72982550" w14:textId="77777777" w:rsidR="001F27D2" w:rsidRPr="00580B37" w:rsidRDefault="001F27D2" w:rsidP="00580B37">
            <w:pPr>
              <w:spacing w:before="0" w:after="0"/>
              <w:jc w:val="center"/>
              <w:rPr>
                <w:rFonts w:cs="Calibri"/>
                <w:color w:val="000000"/>
                <w:sz w:val="22"/>
                <w:szCs w:val="22"/>
              </w:rPr>
            </w:pPr>
            <w:r w:rsidRPr="00580B37">
              <w:rPr>
                <w:rFonts w:cs="Calibri"/>
                <w:bCs/>
                <w:color w:val="000000"/>
                <w:sz w:val="22"/>
                <w:szCs w:val="22"/>
              </w:rPr>
              <w:t>7,806</w:t>
            </w:r>
          </w:p>
        </w:tc>
      </w:tr>
      <w:tr w:rsidR="001F27D2" w:rsidRPr="00580B37" w14:paraId="4DCC36DB" w14:textId="77777777" w:rsidTr="0060295C">
        <w:trPr>
          <w:trHeight w:val="300"/>
        </w:trPr>
        <w:tc>
          <w:tcPr>
            <w:tcW w:w="1225" w:type="pct"/>
            <w:shd w:val="clear" w:color="auto" w:fill="auto"/>
            <w:noWrap/>
            <w:vAlign w:val="center"/>
          </w:tcPr>
          <w:p w14:paraId="0D379E37"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HMA 1B Penrith Rural</w:t>
            </w:r>
          </w:p>
        </w:tc>
        <w:tc>
          <w:tcPr>
            <w:tcW w:w="492" w:type="pct"/>
            <w:shd w:val="clear" w:color="auto" w:fill="auto"/>
            <w:noWrap/>
            <w:vAlign w:val="bottom"/>
          </w:tcPr>
          <w:p w14:paraId="29BD6C10"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37.2</w:t>
            </w:r>
          </w:p>
        </w:tc>
        <w:tc>
          <w:tcPr>
            <w:tcW w:w="603" w:type="pct"/>
            <w:shd w:val="clear" w:color="auto" w:fill="auto"/>
            <w:noWrap/>
            <w:vAlign w:val="bottom"/>
          </w:tcPr>
          <w:p w14:paraId="62E7719C"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24.2</w:t>
            </w:r>
          </w:p>
        </w:tc>
        <w:tc>
          <w:tcPr>
            <w:tcW w:w="527" w:type="pct"/>
            <w:shd w:val="clear" w:color="auto" w:fill="auto"/>
            <w:noWrap/>
            <w:vAlign w:val="bottom"/>
          </w:tcPr>
          <w:p w14:paraId="63FE58AB"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15.8</w:t>
            </w:r>
          </w:p>
        </w:tc>
        <w:tc>
          <w:tcPr>
            <w:tcW w:w="527" w:type="pct"/>
            <w:shd w:val="clear" w:color="auto" w:fill="auto"/>
            <w:noWrap/>
            <w:vAlign w:val="bottom"/>
          </w:tcPr>
          <w:p w14:paraId="2F9C80A6"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2.6</w:t>
            </w:r>
          </w:p>
        </w:tc>
        <w:tc>
          <w:tcPr>
            <w:tcW w:w="603" w:type="pct"/>
            <w:shd w:val="clear" w:color="auto" w:fill="auto"/>
            <w:noWrap/>
            <w:vAlign w:val="bottom"/>
          </w:tcPr>
          <w:p w14:paraId="220022B1"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20.1</w:t>
            </w:r>
          </w:p>
        </w:tc>
        <w:tc>
          <w:tcPr>
            <w:tcW w:w="528" w:type="pct"/>
            <w:shd w:val="clear" w:color="auto" w:fill="auto"/>
            <w:noWrap/>
            <w:vAlign w:val="bottom"/>
          </w:tcPr>
          <w:p w14:paraId="7A3FB797"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100.0</w:t>
            </w:r>
          </w:p>
        </w:tc>
        <w:tc>
          <w:tcPr>
            <w:tcW w:w="496" w:type="pct"/>
            <w:vAlign w:val="bottom"/>
          </w:tcPr>
          <w:p w14:paraId="79730D25" w14:textId="77777777" w:rsidR="001F27D2" w:rsidRPr="00580B37" w:rsidRDefault="001F27D2" w:rsidP="00580B37">
            <w:pPr>
              <w:spacing w:before="0" w:after="0"/>
              <w:jc w:val="center"/>
              <w:rPr>
                <w:rFonts w:cs="Calibri"/>
                <w:color w:val="000000"/>
                <w:sz w:val="22"/>
                <w:szCs w:val="22"/>
              </w:rPr>
            </w:pPr>
            <w:r w:rsidRPr="00580B37">
              <w:rPr>
                <w:rFonts w:cs="Calibri"/>
                <w:bCs/>
                <w:color w:val="000000"/>
                <w:sz w:val="22"/>
                <w:szCs w:val="22"/>
              </w:rPr>
              <w:t>5,352</w:t>
            </w:r>
          </w:p>
        </w:tc>
      </w:tr>
      <w:tr w:rsidR="001F27D2" w:rsidRPr="00580B37" w14:paraId="636979A8" w14:textId="77777777" w:rsidTr="0060295C">
        <w:trPr>
          <w:trHeight w:val="300"/>
        </w:trPr>
        <w:tc>
          <w:tcPr>
            <w:tcW w:w="1225" w:type="pct"/>
            <w:shd w:val="clear" w:color="auto" w:fill="auto"/>
            <w:noWrap/>
            <w:vAlign w:val="center"/>
          </w:tcPr>
          <w:p w14:paraId="2E61577C"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HMA2 Appleby</w:t>
            </w:r>
          </w:p>
        </w:tc>
        <w:tc>
          <w:tcPr>
            <w:tcW w:w="492" w:type="pct"/>
            <w:shd w:val="clear" w:color="auto" w:fill="auto"/>
            <w:noWrap/>
            <w:vAlign w:val="bottom"/>
          </w:tcPr>
          <w:p w14:paraId="67660769"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30.6</w:t>
            </w:r>
          </w:p>
        </w:tc>
        <w:tc>
          <w:tcPr>
            <w:tcW w:w="603" w:type="pct"/>
            <w:shd w:val="clear" w:color="auto" w:fill="auto"/>
            <w:noWrap/>
            <w:vAlign w:val="bottom"/>
          </w:tcPr>
          <w:p w14:paraId="50373F67"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21.8</w:t>
            </w:r>
          </w:p>
        </w:tc>
        <w:tc>
          <w:tcPr>
            <w:tcW w:w="527" w:type="pct"/>
            <w:shd w:val="clear" w:color="auto" w:fill="auto"/>
            <w:noWrap/>
            <w:vAlign w:val="bottom"/>
          </w:tcPr>
          <w:p w14:paraId="728840B6"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24.3</w:t>
            </w:r>
          </w:p>
        </w:tc>
        <w:tc>
          <w:tcPr>
            <w:tcW w:w="527" w:type="pct"/>
            <w:shd w:val="clear" w:color="auto" w:fill="auto"/>
            <w:noWrap/>
            <w:vAlign w:val="bottom"/>
          </w:tcPr>
          <w:p w14:paraId="70276E57"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6.6</w:t>
            </w:r>
          </w:p>
        </w:tc>
        <w:tc>
          <w:tcPr>
            <w:tcW w:w="603" w:type="pct"/>
            <w:shd w:val="clear" w:color="auto" w:fill="auto"/>
            <w:noWrap/>
            <w:vAlign w:val="bottom"/>
          </w:tcPr>
          <w:p w14:paraId="33C0F2EC"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16.7</w:t>
            </w:r>
          </w:p>
        </w:tc>
        <w:tc>
          <w:tcPr>
            <w:tcW w:w="528" w:type="pct"/>
            <w:shd w:val="clear" w:color="auto" w:fill="auto"/>
            <w:noWrap/>
            <w:vAlign w:val="bottom"/>
          </w:tcPr>
          <w:p w14:paraId="0C341032"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100.0</w:t>
            </w:r>
          </w:p>
        </w:tc>
        <w:tc>
          <w:tcPr>
            <w:tcW w:w="496" w:type="pct"/>
            <w:vAlign w:val="bottom"/>
          </w:tcPr>
          <w:p w14:paraId="445DF414" w14:textId="77777777" w:rsidR="001F27D2" w:rsidRPr="00580B37" w:rsidRDefault="001F27D2" w:rsidP="00580B37">
            <w:pPr>
              <w:spacing w:before="0" w:after="0"/>
              <w:jc w:val="center"/>
              <w:rPr>
                <w:rFonts w:cs="Calibri"/>
                <w:color w:val="000000"/>
                <w:sz w:val="22"/>
                <w:szCs w:val="22"/>
              </w:rPr>
            </w:pPr>
            <w:r w:rsidRPr="00580B37">
              <w:rPr>
                <w:rFonts w:cs="Calibri"/>
                <w:bCs/>
                <w:color w:val="000000"/>
                <w:sz w:val="22"/>
                <w:szCs w:val="22"/>
              </w:rPr>
              <w:t>4,524</w:t>
            </w:r>
          </w:p>
        </w:tc>
      </w:tr>
      <w:tr w:rsidR="001F27D2" w:rsidRPr="00580B37" w14:paraId="27766C3B" w14:textId="77777777" w:rsidTr="0060295C">
        <w:trPr>
          <w:trHeight w:val="300"/>
        </w:trPr>
        <w:tc>
          <w:tcPr>
            <w:tcW w:w="1225" w:type="pct"/>
            <w:shd w:val="clear" w:color="auto" w:fill="auto"/>
            <w:noWrap/>
            <w:vAlign w:val="center"/>
          </w:tcPr>
          <w:p w14:paraId="606D0C6E"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HMA3 Kirkby Stephen</w:t>
            </w:r>
          </w:p>
        </w:tc>
        <w:tc>
          <w:tcPr>
            <w:tcW w:w="492" w:type="pct"/>
            <w:shd w:val="clear" w:color="auto" w:fill="auto"/>
            <w:noWrap/>
            <w:vAlign w:val="bottom"/>
          </w:tcPr>
          <w:p w14:paraId="5282AF1A"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31.8</w:t>
            </w:r>
          </w:p>
        </w:tc>
        <w:tc>
          <w:tcPr>
            <w:tcW w:w="603" w:type="pct"/>
            <w:shd w:val="clear" w:color="auto" w:fill="auto"/>
            <w:noWrap/>
            <w:vAlign w:val="bottom"/>
          </w:tcPr>
          <w:p w14:paraId="7A845BCC"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18.2</w:t>
            </w:r>
          </w:p>
        </w:tc>
        <w:tc>
          <w:tcPr>
            <w:tcW w:w="527" w:type="pct"/>
            <w:shd w:val="clear" w:color="auto" w:fill="auto"/>
            <w:noWrap/>
            <w:vAlign w:val="bottom"/>
          </w:tcPr>
          <w:p w14:paraId="42C29BC4"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32.2</w:t>
            </w:r>
          </w:p>
        </w:tc>
        <w:tc>
          <w:tcPr>
            <w:tcW w:w="527" w:type="pct"/>
            <w:shd w:val="clear" w:color="auto" w:fill="auto"/>
            <w:noWrap/>
            <w:vAlign w:val="bottom"/>
          </w:tcPr>
          <w:p w14:paraId="3EDE9561"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7.0</w:t>
            </w:r>
          </w:p>
        </w:tc>
        <w:tc>
          <w:tcPr>
            <w:tcW w:w="603" w:type="pct"/>
            <w:shd w:val="clear" w:color="auto" w:fill="auto"/>
            <w:noWrap/>
            <w:vAlign w:val="bottom"/>
          </w:tcPr>
          <w:p w14:paraId="7C1588A5"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10.8</w:t>
            </w:r>
          </w:p>
        </w:tc>
        <w:tc>
          <w:tcPr>
            <w:tcW w:w="528" w:type="pct"/>
            <w:shd w:val="clear" w:color="auto" w:fill="auto"/>
            <w:noWrap/>
            <w:vAlign w:val="bottom"/>
          </w:tcPr>
          <w:p w14:paraId="61281D0C"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100.0</w:t>
            </w:r>
          </w:p>
        </w:tc>
        <w:tc>
          <w:tcPr>
            <w:tcW w:w="496" w:type="pct"/>
            <w:vAlign w:val="bottom"/>
          </w:tcPr>
          <w:p w14:paraId="5AEF3FFB" w14:textId="77777777" w:rsidR="001F27D2" w:rsidRPr="00580B37" w:rsidRDefault="001F27D2" w:rsidP="00580B37">
            <w:pPr>
              <w:spacing w:before="0" w:after="0"/>
              <w:jc w:val="center"/>
              <w:rPr>
                <w:rFonts w:cs="Calibri"/>
                <w:color w:val="000000"/>
                <w:sz w:val="22"/>
                <w:szCs w:val="22"/>
              </w:rPr>
            </w:pPr>
            <w:r w:rsidRPr="00580B37">
              <w:rPr>
                <w:rFonts w:cs="Calibri"/>
                <w:bCs/>
                <w:color w:val="000000"/>
                <w:sz w:val="22"/>
                <w:szCs w:val="22"/>
              </w:rPr>
              <w:t>3,373</w:t>
            </w:r>
          </w:p>
        </w:tc>
      </w:tr>
      <w:tr w:rsidR="001F27D2" w:rsidRPr="00580B37" w14:paraId="7AC0F121" w14:textId="77777777" w:rsidTr="0060295C">
        <w:trPr>
          <w:trHeight w:val="300"/>
        </w:trPr>
        <w:tc>
          <w:tcPr>
            <w:tcW w:w="1225" w:type="pct"/>
            <w:shd w:val="clear" w:color="auto" w:fill="auto"/>
            <w:noWrap/>
            <w:vAlign w:val="center"/>
          </w:tcPr>
          <w:p w14:paraId="0522EA6E"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HMA4 Alston</w:t>
            </w:r>
          </w:p>
        </w:tc>
        <w:tc>
          <w:tcPr>
            <w:tcW w:w="492" w:type="pct"/>
            <w:shd w:val="clear" w:color="auto" w:fill="auto"/>
            <w:noWrap/>
            <w:vAlign w:val="bottom"/>
          </w:tcPr>
          <w:p w14:paraId="27882D05"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32.1</w:t>
            </w:r>
          </w:p>
        </w:tc>
        <w:tc>
          <w:tcPr>
            <w:tcW w:w="603" w:type="pct"/>
            <w:shd w:val="clear" w:color="auto" w:fill="auto"/>
            <w:noWrap/>
            <w:vAlign w:val="bottom"/>
          </w:tcPr>
          <w:p w14:paraId="2E33CEFE"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22.0</w:t>
            </w:r>
          </w:p>
        </w:tc>
        <w:tc>
          <w:tcPr>
            <w:tcW w:w="527" w:type="pct"/>
            <w:shd w:val="clear" w:color="auto" w:fill="auto"/>
            <w:noWrap/>
            <w:vAlign w:val="bottom"/>
          </w:tcPr>
          <w:p w14:paraId="1498A644"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23.2</w:t>
            </w:r>
          </w:p>
        </w:tc>
        <w:tc>
          <w:tcPr>
            <w:tcW w:w="527" w:type="pct"/>
            <w:shd w:val="clear" w:color="auto" w:fill="auto"/>
            <w:noWrap/>
            <w:vAlign w:val="bottom"/>
          </w:tcPr>
          <w:p w14:paraId="3F2F36D3"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8.3</w:t>
            </w:r>
          </w:p>
        </w:tc>
        <w:tc>
          <w:tcPr>
            <w:tcW w:w="603" w:type="pct"/>
            <w:shd w:val="clear" w:color="auto" w:fill="auto"/>
            <w:noWrap/>
            <w:vAlign w:val="bottom"/>
          </w:tcPr>
          <w:p w14:paraId="1157185E"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14.3</w:t>
            </w:r>
          </w:p>
        </w:tc>
        <w:tc>
          <w:tcPr>
            <w:tcW w:w="528" w:type="pct"/>
            <w:shd w:val="clear" w:color="auto" w:fill="auto"/>
            <w:noWrap/>
            <w:vAlign w:val="bottom"/>
          </w:tcPr>
          <w:p w14:paraId="554E8E36"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100.0</w:t>
            </w:r>
          </w:p>
        </w:tc>
        <w:tc>
          <w:tcPr>
            <w:tcW w:w="496" w:type="pct"/>
            <w:vAlign w:val="bottom"/>
          </w:tcPr>
          <w:p w14:paraId="41B29312" w14:textId="77777777" w:rsidR="001F27D2" w:rsidRPr="00580B37" w:rsidRDefault="001F27D2" w:rsidP="00580B37">
            <w:pPr>
              <w:spacing w:before="0" w:after="0"/>
              <w:jc w:val="center"/>
              <w:rPr>
                <w:rFonts w:cs="Calibri"/>
                <w:color w:val="000000"/>
                <w:sz w:val="22"/>
                <w:szCs w:val="22"/>
              </w:rPr>
            </w:pPr>
            <w:r w:rsidRPr="00580B37">
              <w:rPr>
                <w:rFonts w:cs="Calibri"/>
                <w:bCs/>
                <w:color w:val="000000"/>
                <w:sz w:val="22"/>
                <w:szCs w:val="22"/>
              </w:rPr>
              <w:t>1,821</w:t>
            </w:r>
          </w:p>
        </w:tc>
      </w:tr>
      <w:tr w:rsidR="001F27D2" w:rsidRPr="00580B37" w14:paraId="11FFCCC8" w14:textId="77777777" w:rsidTr="0060295C">
        <w:trPr>
          <w:trHeight w:val="300"/>
        </w:trPr>
        <w:tc>
          <w:tcPr>
            <w:tcW w:w="1225" w:type="pct"/>
            <w:shd w:val="clear" w:color="auto" w:fill="auto"/>
            <w:noWrap/>
            <w:vAlign w:val="center"/>
          </w:tcPr>
          <w:p w14:paraId="56EF65CA"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HMA5 West of M6</w:t>
            </w:r>
          </w:p>
        </w:tc>
        <w:tc>
          <w:tcPr>
            <w:tcW w:w="492" w:type="pct"/>
            <w:shd w:val="clear" w:color="auto" w:fill="auto"/>
            <w:noWrap/>
            <w:vAlign w:val="bottom"/>
          </w:tcPr>
          <w:p w14:paraId="3920D851"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35.4</w:t>
            </w:r>
          </w:p>
        </w:tc>
        <w:tc>
          <w:tcPr>
            <w:tcW w:w="603" w:type="pct"/>
            <w:shd w:val="clear" w:color="auto" w:fill="auto"/>
            <w:noWrap/>
            <w:vAlign w:val="bottom"/>
          </w:tcPr>
          <w:p w14:paraId="3C175E6A"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22.1</w:t>
            </w:r>
          </w:p>
        </w:tc>
        <w:tc>
          <w:tcPr>
            <w:tcW w:w="527" w:type="pct"/>
            <w:shd w:val="clear" w:color="auto" w:fill="auto"/>
            <w:noWrap/>
            <w:vAlign w:val="bottom"/>
          </w:tcPr>
          <w:p w14:paraId="678DCAD1"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17.7</w:t>
            </w:r>
          </w:p>
        </w:tc>
        <w:tc>
          <w:tcPr>
            <w:tcW w:w="527" w:type="pct"/>
            <w:shd w:val="clear" w:color="auto" w:fill="auto"/>
            <w:noWrap/>
            <w:vAlign w:val="bottom"/>
          </w:tcPr>
          <w:p w14:paraId="45AAAA9D"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5.3</w:t>
            </w:r>
          </w:p>
        </w:tc>
        <w:tc>
          <w:tcPr>
            <w:tcW w:w="603" w:type="pct"/>
            <w:shd w:val="clear" w:color="auto" w:fill="auto"/>
            <w:noWrap/>
            <w:vAlign w:val="bottom"/>
          </w:tcPr>
          <w:p w14:paraId="3F601816"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19.4</w:t>
            </w:r>
          </w:p>
        </w:tc>
        <w:tc>
          <w:tcPr>
            <w:tcW w:w="528" w:type="pct"/>
            <w:shd w:val="clear" w:color="auto" w:fill="auto"/>
            <w:noWrap/>
            <w:vAlign w:val="bottom"/>
          </w:tcPr>
          <w:p w14:paraId="6488CFAB"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100.0</w:t>
            </w:r>
          </w:p>
        </w:tc>
        <w:tc>
          <w:tcPr>
            <w:tcW w:w="496" w:type="pct"/>
            <w:vAlign w:val="bottom"/>
          </w:tcPr>
          <w:p w14:paraId="6F93BE7E" w14:textId="77777777" w:rsidR="001F27D2" w:rsidRPr="00580B37" w:rsidRDefault="001F27D2" w:rsidP="00580B37">
            <w:pPr>
              <w:spacing w:before="0" w:after="0"/>
              <w:jc w:val="center"/>
              <w:rPr>
                <w:rFonts w:cs="Calibri"/>
                <w:color w:val="000000"/>
                <w:sz w:val="22"/>
                <w:szCs w:val="22"/>
              </w:rPr>
            </w:pPr>
            <w:r w:rsidRPr="00580B37">
              <w:rPr>
                <w:rFonts w:cs="Calibri"/>
                <w:bCs/>
                <w:color w:val="000000"/>
                <w:sz w:val="22"/>
                <w:szCs w:val="22"/>
              </w:rPr>
              <w:t>3,121</w:t>
            </w:r>
          </w:p>
        </w:tc>
      </w:tr>
      <w:tr w:rsidR="001F27D2" w:rsidRPr="00580B37" w14:paraId="6511A5D7" w14:textId="77777777" w:rsidTr="0060295C">
        <w:trPr>
          <w:trHeight w:val="300"/>
        </w:trPr>
        <w:tc>
          <w:tcPr>
            <w:tcW w:w="1225" w:type="pct"/>
            <w:shd w:val="clear" w:color="auto" w:fill="auto"/>
            <w:noWrap/>
            <w:vAlign w:val="bottom"/>
          </w:tcPr>
          <w:p w14:paraId="1D5FC271"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Eden District</w:t>
            </w:r>
          </w:p>
        </w:tc>
        <w:tc>
          <w:tcPr>
            <w:tcW w:w="492" w:type="pct"/>
            <w:shd w:val="clear" w:color="auto" w:fill="auto"/>
            <w:noWrap/>
            <w:vAlign w:val="bottom"/>
          </w:tcPr>
          <w:p w14:paraId="7DB31BD9"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26.9</w:t>
            </w:r>
          </w:p>
        </w:tc>
        <w:tc>
          <w:tcPr>
            <w:tcW w:w="603" w:type="pct"/>
            <w:shd w:val="clear" w:color="auto" w:fill="auto"/>
            <w:noWrap/>
            <w:vAlign w:val="bottom"/>
          </w:tcPr>
          <w:p w14:paraId="5B4059E1"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23.6</w:t>
            </w:r>
          </w:p>
        </w:tc>
        <w:tc>
          <w:tcPr>
            <w:tcW w:w="527" w:type="pct"/>
            <w:shd w:val="clear" w:color="auto" w:fill="auto"/>
            <w:noWrap/>
            <w:vAlign w:val="bottom"/>
          </w:tcPr>
          <w:p w14:paraId="4EC4E4EE"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24.0</w:t>
            </w:r>
          </w:p>
        </w:tc>
        <w:tc>
          <w:tcPr>
            <w:tcW w:w="527" w:type="pct"/>
            <w:shd w:val="clear" w:color="auto" w:fill="auto"/>
            <w:noWrap/>
            <w:vAlign w:val="bottom"/>
          </w:tcPr>
          <w:p w14:paraId="728F5048"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10.3</w:t>
            </w:r>
          </w:p>
        </w:tc>
        <w:tc>
          <w:tcPr>
            <w:tcW w:w="603" w:type="pct"/>
            <w:shd w:val="clear" w:color="auto" w:fill="auto"/>
            <w:noWrap/>
            <w:vAlign w:val="bottom"/>
          </w:tcPr>
          <w:p w14:paraId="7F07C17B"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15.2</w:t>
            </w:r>
          </w:p>
        </w:tc>
        <w:tc>
          <w:tcPr>
            <w:tcW w:w="528" w:type="pct"/>
            <w:shd w:val="clear" w:color="auto" w:fill="auto"/>
            <w:noWrap/>
            <w:vAlign w:val="bottom"/>
          </w:tcPr>
          <w:p w14:paraId="6796781A"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100.0</w:t>
            </w:r>
          </w:p>
        </w:tc>
        <w:tc>
          <w:tcPr>
            <w:tcW w:w="496" w:type="pct"/>
            <w:vAlign w:val="bottom"/>
          </w:tcPr>
          <w:p w14:paraId="128A775B" w14:textId="77777777" w:rsidR="001F27D2" w:rsidRPr="00580B37" w:rsidRDefault="001F27D2" w:rsidP="00580B37">
            <w:pPr>
              <w:spacing w:before="0" w:after="0"/>
              <w:jc w:val="center"/>
              <w:rPr>
                <w:rFonts w:cs="Calibri"/>
                <w:color w:val="000000"/>
                <w:sz w:val="22"/>
                <w:szCs w:val="22"/>
              </w:rPr>
            </w:pPr>
            <w:r w:rsidRPr="00580B37">
              <w:rPr>
                <w:rFonts w:cs="Calibri"/>
                <w:bCs/>
                <w:color w:val="000000"/>
                <w:sz w:val="22"/>
                <w:szCs w:val="22"/>
              </w:rPr>
              <w:t>25,997</w:t>
            </w:r>
          </w:p>
        </w:tc>
      </w:tr>
      <w:tr w:rsidR="001F27D2" w:rsidRPr="00580B37" w14:paraId="546C3168" w14:textId="77777777" w:rsidTr="0060295C">
        <w:trPr>
          <w:trHeight w:val="300"/>
        </w:trPr>
        <w:tc>
          <w:tcPr>
            <w:tcW w:w="1225" w:type="pct"/>
            <w:shd w:val="clear" w:color="auto" w:fill="auto"/>
            <w:noWrap/>
            <w:vAlign w:val="bottom"/>
          </w:tcPr>
          <w:p w14:paraId="71140364"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North West</w:t>
            </w:r>
          </w:p>
        </w:tc>
        <w:tc>
          <w:tcPr>
            <w:tcW w:w="492" w:type="pct"/>
            <w:shd w:val="clear" w:color="auto" w:fill="auto"/>
            <w:noWrap/>
            <w:vAlign w:val="bottom"/>
          </w:tcPr>
          <w:p w14:paraId="27D30ED0"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12.9</w:t>
            </w:r>
          </w:p>
        </w:tc>
        <w:tc>
          <w:tcPr>
            <w:tcW w:w="603" w:type="pct"/>
            <w:shd w:val="clear" w:color="auto" w:fill="auto"/>
            <w:noWrap/>
            <w:vAlign w:val="bottom"/>
          </w:tcPr>
          <w:p w14:paraId="66EC0239"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29.1</w:t>
            </w:r>
          </w:p>
        </w:tc>
        <w:tc>
          <w:tcPr>
            <w:tcW w:w="527" w:type="pct"/>
            <w:shd w:val="clear" w:color="auto" w:fill="auto"/>
            <w:noWrap/>
            <w:vAlign w:val="bottom"/>
          </w:tcPr>
          <w:p w14:paraId="071E3B8C"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32.4</w:t>
            </w:r>
          </w:p>
        </w:tc>
        <w:tc>
          <w:tcPr>
            <w:tcW w:w="527" w:type="pct"/>
            <w:shd w:val="clear" w:color="auto" w:fill="auto"/>
            <w:noWrap/>
            <w:vAlign w:val="bottom"/>
          </w:tcPr>
          <w:p w14:paraId="2DDF207C"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16.9</w:t>
            </w:r>
          </w:p>
        </w:tc>
        <w:tc>
          <w:tcPr>
            <w:tcW w:w="603" w:type="pct"/>
            <w:shd w:val="clear" w:color="auto" w:fill="auto"/>
            <w:noWrap/>
            <w:vAlign w:val="bottom"/>
          </w:tcPr>
          <w:p w14:paraId="63EDF87B"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8.7</w:t>
            </w:r>
          </w:p>
        </w:tc>
        <w:tc>
          <w:tcPr>
            <w:tcW w:w="528" w:type="pct"/>
            <w:shd w:val="clear" w:color="auto" w:fill="auto"/>
            <w:noWrap/>
            <w:vAlign w:val="bottom"/>
          </w:tcPr>
          <w:p w14:paraId="3B6272CE"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100.0</w:t>
            </w:r>
          </w:p>
        </w:tc>
        <w:tc>
          <w:tcPr>
            <w:tcW w:w="496" w:type="pct"/>
            <w:vAlign w:val="bottom"/>
          </w:tcPr>
          <w:p w14:paraId="4ADB26CC"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3.2m</w:t>
            </w:r>
          </w:p>
        </w:tc>
      </w:tr>
      <w:tr w:rsidR="001F27D2" w:rsidRPr="00580B37" w14:paraId="402EDA22" w14:textId="77777777" w:rsidTr="0060295C">
        <w:trPr>
          <w:trHeight w:val="300"/>
        </w:trPr>
        <w:tc>
          <w:tcPr>
            <w:tcW w:w="1225" w:type="pct"/>
            <w:shd w:val="clear" w:color="auto" w:fill="auto"/>
            <w:noWrap/>
            <w:vAlign w:val="bottom"/>
          </w:tcPr>
          <w:p w14:paraId="55B03FB1"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England</w:t>
            </w:r>
          </w:p>
        </w:tc>
        <w:tc>
          <w:tcPr>
            <w:tcW w:w="492" w:type="pct"/>
            <w:shd w:val="clear" w:color="auto" w:fill="auto"/>
            <w:noWrap/>
            <w:vAlign w:val="bottom"/>
          </w:tcPr>
          <w:p w14:paraId="65884C21"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15.8</w:t>
            </w:r>
          </w:p>
        </w:tc>
        <w:tc>
          <w:tcPr>
            <w:tcW w:w="603" w:type="pct"/>
            <w:shd w:val="clear" w:color="auto" w:fill="auto"/>
            <w:noWrap/>
            <w:vAlign w:val="bottom"/>
          </w:tcPr>
          <w:p w14:paraId="38DD7E3B"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24.3</w:t>
            </w:r>
          </w:p>
        </w:tc>
        <w:tc>
          <w:tcPr>
            <w:tcW w:w="527" w:type="pct"/>
            <w:shd w:val="clear" w:color="auto" w:fill="auto"/>
            <w:noWrap/>
            <w:vAlign w:val="bottom"/>
          </w:tcPr>
          <w:p w14:paraId="24407B05"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27.0</w:t>
            </w:r>
          </w:p>
        </w:tc>
        <w:tc>
          <w:tcPr>
            <w:tcW w:w="527" w:type="pct"/>
            <w:shd w:val="clear" w:color="auto" w:fill="auto"/>
            <w:noWrap/>
            <w:vAlign w:val="bottom"/>
          </w:tcPr>
          <w:p w14:paraId="58BC43A2"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23.2</w:t>
            </w:r>
          </w:p>
        </w:tc>
        <w:tc>
          <w:tcPr>
            <w:tcW w:w="603" w:type="pct"/>
            <w:shd w:val="clear" w:color="auto" w:fill="auto"/>
            <w:noWrap/>
            <w:vAlign w:val="bottom"/>
          </w:tcPr>
          <w:p w14:paraId="497B8F5E"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9.6</w:t>
            </w:r>
          </w:p>
        </w:tc>
        <w:tc>
          <w:tcPr>
            <w:tcW w:w="528" w:type="pct"/>
            <w:shd w:val="clear" w:color="auto" w:fill="auto"/>
            <w:noWrap/>
            <w:vAlign w:val="bottom"/>
          </w:tcPr>
          <w:p w14:paraId="2437EA1C"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100.0</w:t>
            </w:r>
          </w:p>
        </w:tc>
        <w:tc>
          <w:tcPr>
            <w:tcW w:w="496" w:type="pct"/>
            <w:vAlign w:val="bottom"/>
          </w:tcPr>
          <w:p w14:paraId="101CE94D"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23.6m</w:t>
            </w:r>
          </w:p>
        </w:tc>
      </w:tr>
    </w:tbl>
    <w:p w14:paraId="607315CD" w14:textId="77777777" w:rsidR="001F27D2" w:rsidRPr="002B2A7F" w:rsidRDefault="001F27D2" w:rsidP="001F27D2">
      <w:pPr>
        <w:rPr>
          <w:rFonts w:asciiTheme="minorHAnsi" w:hAnsiTheme="minorHAnsi" w:cs="Calibri"/>
          <w:sz w:val="20"/>
        </w:rPr>
      </w:pPr>
      <w:r w:rsidRPr="002B2A7F">
        <w:rPr>
          <w:rFonts w:asciiTheme="minorHAnsi" w:hAnsiTheme="minorHAnsi" w:cs="Calibri"/>
          <w:sz w:val="20"/>
        </w:rPr>
        <w:t>Source: VOA 2017</w:t>
      </w:r>
    </w:p>
    <w:p w14:paraId="3A18564E" w14:textId="77777777" w:rsidR="001F27D2" w:rsidRPr="002B2A7F" w:rsidRDefault="001F27D2" w:rsidP="001F27D2">
      <w:pPr>
        <w:pStyle w:val="Reporttext"/>
        <w:numPr>
          <w:ilvl w:val="0"/>
          <w:numId w:val="0"/>
        </w:numPr>
        <w:ind w:left="709"/>
      </w:pPr>
    </w:p>
    <w:p w14:paraId="52B3B957" w14:textId="77777777" w:rsidR="001F27D2" w:rsidRPr="002B2A7F" w:rsidRDefault="001F27D2" w:rsidP="001F27D2">
      <w:pPr>
        <w:pStyle w:val="Heading3"/>
        <w:rPr>
          <w:rFonts w:asciiTheme="minorHAnsi" w:hAnsiTheme="minorHAnsi"/>
        </w:rPr>
      </w:pPr>
      <w:r w:rsidRPr="002B2A7F">
        <w:rPr>
          <w:rFonts w:asciiTheme="minorHAnsi" w:hAnsiTheme="minorHAnsi"/>
        </w:rPr>
        <w:t>Size (number of bedrooms)</w:t>
      </w:r>
    </w:p>
    <w:p w14:paraId="53DA11A0" w14:textId="69717D3D" w:rsidR="001F27D2" w:rsidRPr="002B2A7F" w:rsidRDefault="001F27D2" w:rsidP="001F27D2">
      <w:pPr>
        <w:pStyle w:val="Reporttext"/>
      </w:pPr>
      <w:r w:rsidRPr="002B2A7F">
        <w:t>Table 4.3 state</w:t>
      </w:r>
      <w:r w:rsidR="001860AC">
        <w:t>s</w:t>
      </w:r>
      <w:r w:rsidRPr="002B2A7F">
        <w:t xml:space="preserve"> the breakdown of the stock by number of bedrooms by HMA</w:t>
      </w:r>
      <w:r w:rsidR="001860AC">
        <w:t>.</w:t>
      </w:r>
      <w:r w:rsidRPr="002B2A7F">
        <w:t xml:space="preserve"> Almost half of dwellings in Eden District have three-bedrooms (45.6%) followed by 26.6% having two-bedrooms, 21.8% four or more bedrooms and 6% one bedroom. Overall, the proportion of 4 or more bedroom dwellings is higher than regional and national averages and </w:t>
      </w:r>
      <w:r w:rsidR="001860AC">
        <w:t xml:space="preserve">the </w:t>
      </w:r>
      <w:r w:rsidRPr="002B2A7F">
        <w:t xml:space="preserve">proportion of 1 bedroom is lower. Within Eden, the number of bedrooms is markedly different in HMA 1A Penrith Urban (where 10% of stock has one bedroom and 14.4% has four or bedrooms) compared with the other HMAs which have similar dwelling size profiles.  </w:t>
      </w:r>
    </w:p>
    <w:p w14:paraId="6FE30ADA" w14:textId="77777777" w:rsidR="001F27D2" w:rsidRPr="002B2A7F" w:rsidRDefault="001F27D2" w:rsidP="001F27D2">
      <w:pPr>
        <w:pStyle w:val="Reporttext"/>
        <w:numPr>
          <w:ilvl w:val="0"/>
          <w:numId w:val="0"/>
        </w:numPr>
      </w:pP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350"/>
        <w:gridCol w:w="1175"/>
        <w:gridCol w:w="1175"/>
        <w:gridCol w:w="1175"/>
        <w:gridCol w:w="1348"/>
        <w:gridCol w:w="980"/>
        <w:gridCol w:w="977"/>
      </w:tblGrid>
      <w:tr w:rsidR="001F27D2" w:rsidRPr="00580B37" w14:paraId="2E5E4387" w14:textId="77777777" w:rsidTr="00580B37">
        <w:trPr>
          <w:trHeight w:val="320"/>
        </w:trPr>
        <w:tc>
          <w:tcPr>
            <w:tcW w:w="5000" w:type="pct"/>
            <w:gridSpan w:val="7"/>
            <w:shd w:val="clear" w:color="000000" w:fill="009999"/>
            <w:vAlign w:val="center"/>
            <w:hideMark/>
          </w:tcPr>
          <w:p w14:paraId="74244454" w14:textId="77777777" w:rsidR="001F27D2" w:rsidRPr="00580B37" w:rsidRDefault="001F27D2" w:rsidP="00580B37">
            <w:pPr>
              <w:pStyle w:val="Tableheading1"/>
            </w:pPr>
            <w:bookmarkStart w:id="315" w:name="_Toc524935666"/>
            <w:bookmarkStart w:id="316" w:name="_Toc531122939"/>
            <w:bookmarkStart w:id="317" w:name="_Toc532812474"/>
            <w:r w:rsidRPr="00580B37">
              <w:t>Table 4.3</w:t>
            </w:r>
            <w:r w:rsidRPr="00580B37">
              <w:tab/>
              <w:t xml:space="preserve">Number of bedrooms </w:t>
            </w:r>
            <w:bookmarkEnd w:id="315"/>
            <w:r w:rsidRPr="00580B37">
              <w:t>by HMA</w:t>
            </w:r>
            <w:bookmarkEnd w:id="316"/>
            <w:bookmarkEnd w:id="317"/>
          </w:p>
        </w:tc>
      </w:tr>
      <w:tr w:rsidR="001F27D2" w:rsidRPr="00580B37" w14:paraId="2161084A" w14:textId="77777777" w:rsidTr="00580B37">
        <w:trPr>
          <w:trHeight w:val="660"/>
        </w:trPr>
        <w:tc>
          <w:tcPr>
            <w:tcW w:w="1280" w:type="pct"/>
            <w:shd w:val="clear" w:color="000000" w:fill="009999"/>
            <w:noWrap/>
            <w:vAlign w:val="bottom"/>
            <w:hideMark/>
          </w:tcPr>
          <w:p w14:paraId="71515301" w14:textId="77777777" w:rsidR="001F27D2" w:rsidRPr="00580B37" w:rsidRDefault="001F27D2" w:rsidP="00580B37">
            <w:pPr>
              <w:spacing w:before="0" w:after="0"/>
              <w:rPr>
                <w:rFonts w:cs="Calibri"/>
                <w:b/>
                <w:bCs/>
                <w:color w:val="FFFFFF"/>
                <w:sz w:val="22"/>
                <w:szCs w:val="22"/>
              </w:rPr>
            </w:pPr>
            <w:r w:rsidRPr="00580B37">
              <w:rPr>
                <w:rFonts w:cs="Calibri"/>
                <w:b/>
                <w:bCs/>
                <w:color w:val="FFFFFF"/>
                <w:sz w:val="22"/>
                <w:szCs w:val="22"/>
              </w:rPr>
              <w:t>HMA</w:t>
            </w:r>
          </w:p>
        </w:tc>
        <w:tc>
          <w:tcPr>
            <w:tcW w:w="640" w:type="pct"/>
            <w:shd w:val="clear" w:color="000000" w:fill="009999"/>
            <w:noWrap/>
            <w:tcMar>
              <w:left w:w="0" w:type="dxa"/>
              <w:right w:w="0" w:type="dxa"/>
            </w:tcMar>
            <w:vAlign w:val="bottom"/>
            <w:hideMark/>
          </w:tcPr>
          <w:p w14:paraId="57EA39B5" w14:textId="77777777" w:rsidR="001F27D2" w:rsidRPr="00580B37" w:rsidRDefault="001F27D2" w:rsidP="00580B37">
            <w:pPr>
              <w:spacing w:before="0" w:after="0"/>
              <w:jc w:val="center"/>
              <w:rPr>
                <w:rFonts w:cs="Calibri"/>
                <w:b/>
                <w:bCs/>
                <w:color w:val="FFFFFF"/>
                <w:sz w:val="22"/>
                <w:szCs w:val="22"/>
              </w:rPr>
            </w:pPr>
            <w:r w:rsidRPr="00580B37">
              <w:rPr>
                <w:rFonts w:cs="Calibri"/>
                <w:b/>
                <w:bCs/>
                <w:color w:val="FFFFFF"/>
                <w:sz w:val="22"/>
                <w:szCs w:val="22"/>
              </w:rPr>
              <w:t>1-bedroom</w:t>
            </w:r>
          </w:p>
        </w:tc>
        <w:tc>
          <w:tcPr>
            <w:tcW w:w="640" w:type="pct"/>
            <w:shd w:val="clear" w:color="000000" w:fill="009999"/>
            <w:tcMar>
              <w:left w:w="0" w:type="dxa"/>
              <w:right w:w="0" w:type="dxa"/>
            </w:tcMar>
            <w:vAlign w:val="bottom"/>
            <w:hideMark/>
          </w:tcPr>
          <w:p w14:paraId="4FB4C7C5" w14:textId="77777777" w:rsidR="001F27D2" w:rsidRPr="00580B37" w:rsidRDefault="001F27D2" w:rsidP="00580B37">
            <w:pPr>
              <w:spacing w:before="0" w:after="0"/>
              <w:jc w:val="center"/>
              <w:rPr>
                <w:rFonts w:cs="Calibri"/>
                <w:b/>
                <w:bCs/>
                <w:color w:val="FFFFFF"/>
                <w:sz w:val="22"/>
                <w:szCs w:val="22"/>
              </w:rPr>
            </w:pPr>
            <w:r w:rsidRPr="00580B37">
              <w:rPr>
                <w:rFonts w:cs="Calibri"/>
                <w:b/>
                <w:bCs/>
                <w:color w:val="FFFFFF"/>
                <w:sz w:val="22"/>
                <w:szCs w:val="22"/>
              </w:rPr>
              <w:t>2-bedroom</w:t>
            </w:r>
          </w:p>
        </w:tc>
        <w:tc>
          <w:tcPr>
            <w:tcW w:w="640" w:type="pct"/>
            <w:shd w:val="clear" w:color="000000" w:fill="009999"/>
            <w:tcMar>
              <w:left w:w="0" w:type="dxa"/>
              <w:right w:w="0" w:type="dxa"/>
            </w:tcMar>
            <w:vAlign w:val="bottom"/>
            <w:hideMark/>
          </w:tcPr>
          <w:p w14:paraId="6560A36F" w14:textId="77777777" w:rsidR="001F27D2" w:rsidRPr="00580B37" w:rsidRDefault="001F27D2" w:rsidP="00580B37">
            <w:pPr>
              <w:spacing w:before="0" w:after="0"/>
              <w:jc w:val="center"/>
              <w:rPr>
                <w:rFonts w:cs="Calibri"/>
                <w:b/>
                <w:bCs/>
                <w:color w:val="FFFFFF"/>
                <w:sz w:val="22"/>
                <w:szCs w:val="22"/>
              </w:rPr>
            </w:pPr>
            <w:r w:rsidRPr="00580B37">
              <w:rPr>
                <w:rFonts w:cs="Calibri"/>
                <w:b/>
                <w:bCs/>
                <w:color w:val="FFFFFF"/>
                <w:sz w:val="22"/>
                <w:szCs w:val="22"/>
              </w:rPr>
              <w:t>3-bedroom</w:t>
            </w:r>
          </w:p>
        </w:tc>
        <w:tc>
          <w:tcPr>
            <w:tcW w:w="734" w:type="pct"/>
            <w:shd w:val="clear" w:color="000000" w:fill="009999"/>
            <w:tcMar>
              <w:left w:w="0" w:type="dxa"/>
              <w:right w:w="0" w:type="dxa"/>
            </w:tcMar>
            <w:vAlign w:val="bottom"/>
            <w:hideMark/>
          </w:tcPr>
          <w:p w14:paraId="476AD57B" w14:textId="77777777" w:rsidR="001F27D2" w:rsidRPr="00580B37" w:rsidRDefault="001F27D2" w:rsidP="00580B37">
            <w:pPr>
              <w:spacing w:before="0" w:after="0"/>
              <w:jc w:val="center"/>
              <w:rPr>
                <w:rFonts w:cs="Calibri"/>
                <w:b/>
                <w:bCs/>
                <w:color w:val="FFFFFF"/>
                <w:sz w:val="22"/>
                <w:szCs w:val="22"/>
              </w:rPr>
            </w:pPr>
            <w:r w:rsidRPr="00580B37">
              <w:rPr>
                <w:rFonts w:cs="Calibri"/>
                <w:b/>
                <w:bCs/>
                <w:color w:val="FFFFFF"/>
                <w:sz w:val="22"/>
                <w:szCs w:val="22"/>
              </w:rPr>
              <w:t>4-bedroom</w:t>
            </w:r>
          </w:p>
        </w:tc>
        <w:tc>
          <w:tcPr>
            <w:tcW w:w="534" w:type="pct"/>
            <w:shd w:val="clear" w:color="000000" w:fill="009999"/>
            <w:tcMar>
              <w:left w:w="0" w:type="dxa"/>
              <w:right w:w="0" w:type="dxa"/>
            </w:tcMar>
            <w:vAlign w:val="bottom"/>
            <w:hideMark/>
          </w:tcPr>
          <w:p w14:paraId="688CA8B2" w14:textId="77777777" w:rsidR="001F27D2" w:rsidRPr="00580B37" w:rsidRDefault="001F27D2" w:rsidP="00580B37">
            <w:pPr>
              <w:spacing w:before="0" w:after="0"/>
              <w:jc w:val="center"/>
              <w:rPr>
                <w:rFonts w:cs="Calibri"/>
                <w:b/>
                <w:bCs/>
                <w:color w:val="FFFFFF"/>
                <w:sz w:val="22"/>
                <w:szCs w:val="22"/>
              </w:rPr>
            </w:pPr>
            <w:r w:rsidRPr="00580B37">
              <w:rPr>
                <w:rFonts w:cs="Calibri"/>
                <w:b/>
                <w:bCs/>
                <w:color w:val="FFFFFF"/>
                <w:sz w:val="22"/>
                <w:szCs w:val="22"/>
              </w:rPr>
              <w:t>Total</w:t>
            </w:r>
          </w:p>
        </w:tc>
        <w:tc>
          <w:tcPr>
            <w:tcW w:w="532" w:type="pct"/>
            <w:shd w:val="clear" w:color="000000" w:fill="009999"/>
            <w:tcMar>
              <w:left w:w="0" w:type="dxa"/>
              <w:right w:w="0" w:type="dxa"/>
            </w:tcMar>
            <w:vAlign w:val="bottom"/>
          </w:tcPr>
          <w:p w14:paraId="7730ACC5" w14:textId="77777777" w:rsidR="001F27D2" w:rsidRPr="00580B37" w:rsidRDefault="001F27D2" w:rsidP="00580B37">
            <w:pPr>
              <w:spacing w:before="0" w:after="0"/>
              <w:jc w:val="center"/>
              <w:rPr>
                <w:rFonts w:cs="Calibri"/>
                <w:b/>
                <w:bCs/>
                <w:color w:val="FFFFFF"/>
                <w:sz w:val="22"/>
                <w:szCs w:val="22"/>
              </w:rPr>
            </w:pPr>
            <w:r w:rsidRPr="00580B37">
              <w:rPr>
                <w:rFonts w:cs="Calibri"/>
                <w:b/>
                <w:bCs/>
                <w:color w:val="FFFFFF"/>
                <w:sz w:val="22"/>
                <w:szCs w:val="22"/>
              </w:rPr>
              <w:t>Base</w:t>
            </w:r>
          </w:p>
        </w:tc>
      </w:tr>
      <w:tr w:rsidR="001F27D2" w:rsidRPr="00580B37" w14:paraId="1BB98B94" w14:textId="77777777" w:rsidTr="00580B37">
        <w:trPr>
          <w:trHeight w:val="300"/>
        </w:trPr>
        <w:tc>
          <w:tcPr>
            <w:tcW w:w="1280" w:type="pct"/>
            <w:shd w:val="clear" w:color="auto" w:fill="auto"/>
            <w:noWrap/>
            <w:vAlign w:val="center"/>
          </w:tcPr>
          <w:p w14:paraId="2287C924"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HMA 1A Penrith Urban</w:t>
            </w:r>
          </w:p>
        </w:tc>
        <w:tc>
          <w:tcPr>
            <w:tcW w:w="640" w:type="pct"/>
            <w:shd w:val="clear" w:color="auto" w:fill="auto"/>
            <w:noWrap/>
            <w:vAlign w:val="bottom"/>
          </w:tcPr>
          <w:p w14:paraId="4E3C1DC7"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10.2</w:t>
            </w:r>
          </w:p>
        </w:tc>
        <w:tc>
          <w:tcPr>
            <w:tcW w:w="640" w:type="pct"/>
            <w:shd w:val="clear" w:color="auto" w:fill="auto"/>
            <w:noWrap/>
            <w:vAlign w:val="bottom"/>
          </w:tcPr>
          <w:p w14:paraId="734F41DE"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32.6</w:t>
            </w:r>
          </w:p>
        </w:tc>
        <w:tc>
          <w:tcPr>
            <w:tcW w:w="640" w:type="pct"/>
            <w:shd w:val="clear" w:color="auto" w:fill="auto"/>
            <w:noWrap/>
            <w:vAlign w:val="bottom"/>
          </w:tcPr>
          <w:p w14:paraId="429ED50A"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42.9</w:t>
            </w:r>
          </w:p>
        </w:tc>
        <w:tc>
          <w:tcPr>
            <w:tcW w:w="734" w:type="pct"/>
            <w:shd w:val="clear" w:color="auto" w:fill="auto"/>
            <w:noWrap/>
            <w:vAlign w:val="bottom"/>
          </w:tcPr>
          <w:p w14:paraId="625FAFFB"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14.4</w:t>
            </w:r>
          </w:p>
        </w:tc>
        <w:tc>
          <w:tcPr>
            <w:tcW w:w="534" w:type="pct"/>
            <w:shd w:val="clear" w:color="auto" w:fill="auto"/>
            <w:noWrap/>
            <w:vAlign w:val="bottom"/>
          </w:tcPr>
          <w:p w14:paraId="0BEF17BD"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100.0</w:t>
            </w:r>
          </w:p>
        </w:tc>
        <w:tc>
          <w:tcPr>
            <w:tcW w:w="532" w:type="pct"/>
            <w:vAlign w:val="bottom"/>
          </w:tcPr>
          <w:p w14:paraId="6E6E622F" w14:textId="77777777" w:rsidR="001F27D2" w:rsidRPr="00580B37" w:rsidRDefault="001F27D2" w:rsidP="00580B37">
            <w:pPr>
              <w:spacing w:before="0" w:after="0"/>
              <w:jc w:val="center"/>
              <w:rPr>
                <w:rFonts w:cs="Calibri"/>
                <w:color w:val="000000"/>
                <w:sz w:val="22"/>
                <w:szCs w:val="22"/>
              </w:rPr>
            </w:pPr>
            <w:r w:rsidRPr="00580B37">
              <w:rPr>
                <w:rFonts w:cs="Calibri"/>
                <w:bCs/>
                <w:color w:val="000000"/>
                <w:sz w:val="22"/>
                <w:szCs w:val="22"/>
              </w:rPr>
              <w:t>7,806</w:t>
            </w:r>
          </w:p>
        </w:tc>
      </w:tr>
      <w:tr w:rsidR="001F27D2" w:rsidRPr="00580B37" w14:paraId="6B76B96B" w14:textId="77777777" w:rsidTr="00580B37">
        <w:trPr>
          <w:trHeight w:val="300"/>
        </w:trPr>
        <w:tc>
          <w:tcPr>
            <w:tcW w:w="1280" w:type="pct"/>
            <w:shd w:val="clear" w:color="auto" w:fill="auto"/>
            <w:noWrap/>
            <w:vAlign w:val="center"/>
          </w:tcPr>
          <w:p w14:paraId="382C72D3"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HMA 1B Penrith Rural</w:t>
            </w:r>
          </w:p>
        </w:tc>
        <w:tc>
          <w:tcPr>
            <w:tcW w:w="640" w:type="pct"/>
            <w:shd w:val="clear" w:color="auto" w:fill="auto"/>
            <w:noWrap/>
            <w:vAlign w:val="bottom"/>
          </w:tcPr>
          <w:p w14:paraId="1C3DDC20"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2.4</w:t>
            </w:r>
          </w:p>
        </w:tc>
        <w:tc>
          <w:tcPr>
            <w:tcW w:w="640" w:type="pct"/>
            <w:shd w:val="clear" w:color="auto" w:fill="auto"/>
            <w:noWrap/>
            <w:vAlign w:val="bottom"/>
          </w:tcPr>
          <w:p w14:paraId="0C327871"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22.1</w:t>
            </w:r>
          </w:p>
        </w:tc>
        <w:tc>
          <w:tcPr>
            <w:tcW w:w="640" w:type="pct"/>
            <w:shd w:val="clear" w:color="auto" w:fill="auto"/>
            <w:noWrap/>
            <w:vAlign w:val="bottom"/>
          </w:tcPr>
          <w:p w14:paraId="07433F1A"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48.1</w:t>
            </w:r>
          </w:p>
        </w:tc>
        <w:tc>
          <w:tcPr>
            <w:tcW w:w="734" w:type="pct"/>
            <w:shd w:val="clear" w:color="auto" w:fill="auto"/>
            <w:noWrap/>
            <w:vAlign w:val="bottom"/>
          </w:tcPr>
          <w:p w14:paraId="39D876D4"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27.5</w:t>
            </w:r>
          </w:p>
        </w:tc>
        <w:tc>
          <w:tcPr>
            <w:tcW w:w="534" w:type="pct"/>
            <w:shd w:val="clear" w:color="auto" w:fill="auto"/>
            <w:noWrap/>
            <w:vAlign w:val="bottom"/>
          </w:tcPr>
          <w:p w14:paraId="40536733"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100.0</w:t>
            </w:r>
          </w:p>
        </w:tc>
        <w:tc>
          <w:tcPr>
            <w:tcW w:w="532" w:type="pct"/>
            <w:vAlign w:val="bottom"/>
          </w:tcPr>
          <w:p w14:paraId="5AAAF49B" w14:textId="77777777" w:rsidR="001F27D2" w:rsidRPr="00580B37" w:rsidRDefault="001F27D2" w:rsidP="00580B37">
            <w:pPr>
              <w:spacing w:before="0" w:after="0"/>
              <w:jc w:val="center"/>
              <w:rPr>
                <w:rFonts w:cs="Calibri"/>
                <w:color w:val="000000"/>
                <w:sz w:val="22"/>
                <w:szCs w:val="22"/>
              </w:rPr>
            </w:pPr>
            <w:r w:rsidRPr="00580B37">
              <w:rPr>
                <w:rFonts w:cs="Calibri"/>
                <w:bCs/>
                <w:color w:val="000000"/>
                <w:sz w:val="22"/>
                <w:szCs w:val="22"/>
              </w:rPr>
              <w:t>5,352</w:t>
            </w:r>
          </w:p>
        </w:tc>
      </w:tr>
      <w:tr w:rsidR="001F27D2" w:rsidRPr="00580B37" w14:paraId="6AD6F73E" w14:textId="77777777" w:rsidTr="00580B37">
        <w:trPr>
          <w:trHeight w:val="300"/>
        </w:trPr>
        <w:tc>
          <w:tcPr>
            <w:tcW w:w="1280" w:type="pct"/>
            <w:shd w:val="clear" w:color="auto" w:fill="auto"/>
            <w:noWrap/>
            <w:vAlign w:val="center"/>
          </w:tcPr>
          <w:p w14:paraId="44B43947"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HMA2 Appleby</w:t>
            </w:r>
          </w:p>
        </w:tc>
        <w:tc>
          <w:tcPr>
            <w:tcW w:w="640" w:type="pct"/>
            <w:shd w:val="clear" w:color="auto" w:fill="auto"/>
            <w:noWrap/>
            <w:vAlign w:val="bottom"/>
          </w:tcPr>
          <w:p w14:paraId="510638ED"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5.1</w:t>
            </w:r>
          </w:p>
        </w:tc>
        <w:tc>
          <w:tcPr>
            <w:tcW w:w="640" w:type="pct"/>
            <w:shd w:val="clear" w:color="auto" w:fill="auto"/>
            <w:noWrap/>
            <w:vAlign w:val="bottom"/>
          </w:tcPr>
          <w:p w14:paraId="76C2B7A8"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24.6</w:t>
            </w:r>
          </w:p>
        </w:tc>
        <w:tc>
          <w:tcPr>
            <w:tcW w:w="640" w:type="pct"/>
            <w:shd w:val="clear" w:color="auto" w:fill="auto"/>
            <w:noWrap/>
            <w:vAlign w:val="bottom"/>
          </w:tcPr>
          <w:p w14:paraId="270CA6E3"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46.3</w:t>
            </w:r>
          </w:p>
        </w:tc>
        <w:tc>
          <w:tcPr>
            <w:tcW w:w="734" w:type="pct"/>
            <w:shd w:val="clear" w:color="auto" w:fill="auto"/>
            <w:noWrap/>
            <w:vAlign w:val="bottom"/>
          </w:tcPr>
          <w:p w14:paraId="2B6B19E0"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23.9</w:t>
            </w:r>
          </w:p>
        </w:tc>
        <w:tc>
          <w:tcPr>
            <w:tcW w:w="534" w:type="pct"/>
            <w:shd w:val="clear" w:color="auto" w:fill="auto"/>
            <w:noWrap/>
            <w:vAlign w:val="bottom"/>
          </w:tcPr>
          <w:p w14:paraId="46CC5DD2"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100.0</w:t>
            </w:r>
          </w:p>
        </w:tc>
        <w:tc>
          <w:tcPr>
            <w:tcW w:w="532" w:type="pct"/>
            <w:vAlign w:val="bottom"/>
          </w:tcPr>
          <w:p w14:paraId="29382B04" w14:textId="77777777" w:rsidR="001F27D2" w:rsidRPr="00580B37" w:rsidRDefault="001F27D2" w:rsidP="00580B37">
            <w:pPr>
              <w:spacing w:before="0" w:after="0"/>
              <w:jc w:val="center"/>
              <w:rPr>
                <w:rFonts w:cs="Calibri"/>
                <w:color w:val="000000"/>
                <w:sz w:val="22"/>
                <w:szCs w:val="22"/>
              </w:rPr>
            </w:pPr>
            <w:r w:rsidRPr="00580B37">
              <w:rPr>
                <w:rFonts w:cs="Calibri"/>
                <w:bCs/>
                <w:color w:val="000000"/>
                <w:sz w:val="22"/>
                <w:szCs w:val="22"/>
              </w:rPr>
              <w:t>4,524</w:t>
            </w:r>
          </w:p>
        </w:tc>
      </w:tr>
      <w:tr w:rsidR="001F27D2" w:rsidRPr="00580B37" w14:paraId="04711484" w14:textId="77777777" w:rsidTr="00580B37">
        <w:trPr>
          <w:trHeight w:val="300"/>
        </w:trPr>
        <w:tc>
          <w:tcPr>
            <w:tcW w:w="1280" w:type="pct"/>
            <w:shd w:val="clear" w:color="auto" w:fill="auto"/>
            <w:noWrap/>
            <w:vAlign w:val="center"/>
          </w:tcPr>
          <w:p w14:paraId="53D7E79B"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HMA3 Kirkby Stephen</w:t>
            </w:r>
          </w:p>
        </w:tc>
        <w:tc>
          <w:tcPr>
            <w:tcW w:w="640" w:type="pct"/>
            <w:shd w:val="clear" w:color="auto" w:fill="auto"/>
            <w:noWrap/>
            <w:vAlign w:val="bottom"/>
          </w:tcPr>
          <w:p w14:paraId="1CDCF64F"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3.8</w:t>
            </w:r>
          </w:p>
        </w:tc>
        <w:tc>
          <w:tcPr>
            <w:tcW w:w="640" w:type="pct"/>
            <w:shd w:val="clear" w:color="auto" w:fill="auto"/>
            <w:noWrap/>
            <w:vAlign w:val="bottom"/>
          </w:tcPr>
          <w:p w14:paraId="63E1F5BC"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25.2</w:t>
            </w:r>
          </w:p>
        </w:tc>
        <w:tc>
          <w:tcPr>
            <w:tcW w:w="640" w:type="pct"/>
            <w:shd w:val="clear" w:color="auto" w:fill="auto"/>
            <w:noWrap/>
            <w:vAlign w:val="bottom"/>
          </w:tcPr>
          <w:p w14:paraId="6E9D209C"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46.5</w:t>
            </w:r>
          </w:p>
        </w:tc>
        <w:tc>
          <w:tcPr>
            <w:tcW w:w="734" w:type="pct"/>
            <w:shd w:val="clear" w:color="auto" w:fill="auto"/>
            <w:noWrap/>
            <w:vAlign w:val="bottom"/>
          </w:tcPr>
          <w:p w14:paraId="1CF8EF6B"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24.5</w:t>
            </w:r>
          </w:p>
        </w:tc>
        <w:tc>
          <w:tcPr>
            <w:tcW w:w="534" w:type="pct"/>
            <w:shd w:val="clear" w:color="auto" w:fill="auto"/>
            <w:noWrap/>
            <w:vAlign w:val="bottom"/>
          </w:tcPr>
          <w:p w14:paraId="1505A155"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100.0</w:t>
            </w:r>
          </w:p>
        </w:tc>
        <w:tc>
          <w:tcPr>
            <w:tcW w:w="532" w:type="pct"/>
            <w:vAlign w:val="bottom"/>
          </w:tcPr>
          <w:p w14:paraId="140AFBF8" w14:textId="77777777" w:rsidR="001F27D2" w:rsidRPr="00580B37" w:rsidRDefault="001F27D2" w:rsidP="00580B37">
            <w:pPr>
              <w:spacing w:before="0" w:after="0"/>
              <w:jc w:val="center"/>
              <w:rPr>
                <w:rFonts w:cs="Calibri"/>
                <w:color w:val="000000"/>
                <w:sz w:val="22"/>
                <w:szCs w:val="22"/>
              </w:rPr>
            </w:pPr>
            <w:r w:rsidRPr="00580B37">
              <w:rPr>
                <w:rFonts w:cs="Calibri"/>
                <w:bCs/>
                <w:color w:val="000000"/>
                <w:sz w:val="22"/>
                <w:szCs w:val="22"/>
              </w:rPr>
              <w:t>3,373</w:t>
            </w:r>
          </w:p>
        </w:tc>
      </w:tr>
      <w:tr w:rsidR="001F27D2" w:rsidRPr="00580B37" w14:paraId="7A0F4E0E" w14:textId="77777777" w:rsidTr="00580B37">
        <w:trPr>
          <w:trHeight w:val="300"/>
        </w:trPr>
        <w:tc>
          <w:tcPr>
            <w:tcW w:w="1280" w:type="pct"/>
            <w:shd w:val="clear" w:color="auto" w:fill="auto"/>
            <w:noWrap/>
            <w:vAlign w:val="center"/>
          </w:tcPr>
          <w:p w14:paraId="012CC102"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HMA4 Alston</w:t>
            </w:r>
          </w:p>
        </w:tc>
        <w:tc>
          <w:tcPr>
            <w:tcW w:w="640" w:type="pct"/>
            <w:shd w:val="clear" w:color="auto" w:fill="auto"/>
            <w:noWrap/>
            <w:vAlign w:val="bottom"/>
          </w:tcPr>
          <w:p w14:paraId="2CF50DEB"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5.3</w:t>
            </w:r>
          </w:p>
        </w:tc>
        <w:tc>
          <w:tcPr>
            <w:tcW w:w="640" w:type="pct"/>
            <w:shd w:val="clear" w:color="auto" w:fill="auto"/>
            <w:noWrap/>
            <w:vAlign w:val="bottom"/>
          </w:tcPr>
          <w:p w14:paraId="5023BFF2"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29.2</w:t>
            </w:r>
          </w:p>
        </w:tc>
        <w:tc>
          <w:tcPr>
            <w:tcW w:w="640" w:type="pct"/>
            <w:shd w:val="clear" w:color="auto" w:fill="auto"/>
            <w:noWrap/>
            <w:vAlign w:val="bottom"/>
          </w:tcPr>
          <w:p w14:paraId="06878883"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43.3</w:t>
            </w:r>
          </w:p>
        </w:tc>
        <w:tc>
          <w:tcPr>
            <w:tcW w:w="734" w:type="pct"/>
            <w:shd w:val="clear" w:color="auto" w:fill="auto"/>
            <w:noWrap/>
            <w:vAlign w:val="bottom"/>
          </w:tcPr>
          <w:p w14:paraId="188CC071"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22.2</w:t>
            </w:r>
          </w:p>
        </w:tc>
        <w:tc>
          <w:tcPr>
            <w:tcW w:w="534" w:type="pct"/>
            <w:shd w:val="clear" w:color="auto" w:fill="auto"/>
            <w:noWrap/>
            <w:vAlign w:val="bottom"/>
          </w:tcPr>
          <w:p w14:paraId="6ABF6107"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100.0</w:t>
            </w:r>
          </w:p>
        </w:tc>
        <w:tc>
          <w:tcPr>
            <w:tcW w:w="532" w:type="pct"/>
            <w:vAlign w:val="bottom"/>
          </w:tcPr>
          <w:p w14:paraId="4AFA294D" w14:textId="77777777" w:rsidR="001F27D2" w:rsidRPr="00580B37" w:rsidRDefault="001F27D2" w:rsidP="00580B37">
            <w:pPr>
              <w:spacing w:before="0" w:after="0"/>
              <w:jc w:val="center"/>
              <w:rPr>
                <w:rFonts w:cs="Calibri"/>
                <w:color w:val="000000"/>
                <w:sz w:val="22"/>
                <w:szCs w:val="22"/>
              </w:rPr>
            </w:pPr>
            <w:r w:rsidRPr="00580B37">
              <w:rPr>
                <w:rFonts w:cs="Calibri"/>
                <w:bCs/>
                <w:color w:val="000000"/>
                <w:sz w:val="22"/>
                <w:szCs w:val="22"/>
              </w:rPr>
              <w:t>1,821</w:t>
            </w:r>
          </w:p>
        </w:tc>
      </w:tr>
      <w:tr w:rsidR="001F27D2" w:rsidRPr="00580B37" w14:paraId="4E0F93D2" w14:textId="77777777" w:rsidTr="00580B37">
        <w:trPr>
          <w:trHeight w:val="300"/>
        </w:trPr>
        <w:tc>
          <w:tcPr>
            <w:tcW w:w="1280" w:type="pct"/>
            <w:shd w:val="clear" w:color="auto" w:fill="auto"/>
            <w:noWrap/>
            <w:vAlign w:val="center"/>
          </w:tcPr>
          <w:p w14:paraId="38325C2F"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HMA5 West of M6</w:t>
            </w:r>
          </w:p>
        </w:tc>
        <w:tc>
          <w:tcPr>
            <w:tcW w:w="640" w:type="pct"/>
            <w:shd w:val="clear" w:color="auto" w:fill="auto"/>
            <w:noWrap/>
            <w:vAlign w:val="bottom"/>
          </w:tcPr>
          <w:p w14:paraId="7F073C87"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3.1</w:t>
            </w:r>
          </w:p>
        </w:tc>
        <w:tc>
          <w:tcPr>
            <w:tcW w:w="640" w:type="pct"/>
            <w:shd w:val="clear" w:color="auto" w:fill="auto"/>
            <w:noWrap/>
            <w:vAlign w:val="bottom"/>
          </w:tcPr>
          <w:p w14:paraId="53AA15DB"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23.7</w:t>
            </w:r>
          </w:p>
        </w:tc>
        <w:tc>
          <w:tcPr>
            <w:tcW w:w="640" w:type="pct"/>
            <w:shd w:val="clear" w:color="auto" w:fill="auto"/>
            <w:noWrap/>
            <w:vAlign w:val="bottom"/>
          </w:tcPr>
          <w:p w14:paraId="3F15547E"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47.5</w:t>
            </w:r>
          </w:p>
        </w:tc>
        <w:tc>
          <w:tcPr>
            <w:tcW w:w="734" w:type="pct"/>
            <w:shd w:val="clear" w:color="auto" w:fill="auto"/>
            <w:noWrap/>
            <w:vAlign w:val="bottom"/>
          </w:tcPr>
          <w:p w14:paraId="305728C3"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25.7</w:t>
            </w:r>
          </w:p>
        </w:tc>
        <w:tc>
          <w:tcPr>
            <w:tcW w:w="534" w:type="pct"/>
            <w:shd w:val="clear" w:color="auto" w:fill="auto"/>
            <w:noWrap/>
            <w:vAlign w:val="bottom"/>
          </w:tcPr>
          <w:p w14:paraId="1AC38327"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100.0</w:t>
            </w:r>
          </w:p>
        </w:tc>
        <w:tc>
          <w:tcPr>
            <w:tcW w:w="532" w:type="pct"/>
            <w:vAlign w:val="bottom"/>
          </w:tcPr>
          <w:p w14:paraId="598B3F7D" w14:textId="77777777" w:rsidR="001F27D2" w:rsidRPr="00580B37" w:rsidRDefault="001F27D2" w:rsidP="00580B37">
            <w:pPr>
              <w:spacing w:before="0" w:after="0"/>
              <w:jc w:val="center"/>
              <w:rPr>
                <w:rFonts w:cs="Calibri"/>
                <w:color w:val="000000"/>
                <w:sz w:val="22"/>
                <w:szCs w:val="22"/>
              </w:rPr>
            </w:pPr>
            <w:r w:rsidRPr="00580B37">
              <w:rPr>
                <w:rFonts w:cs="Calibri"/>
                <w:bCs/>
                <w:color w:val="000000"/>
                <w:sz w:val="22"/>
                <w:szCs w:val="22"/>
              </w:rPr>
              <w:t>3,121</w:t>
            </w:r>
          </w:p>
        </w:tc>
      </w:tr>
      <w:tr w:rsidR="001F27D2" w:rsidRPr="00580B37" w14:paraId="2705BA47" w14:textId="77777777" w:rsidTr="00580B37">
        <w:trPr>
          <w:trHeight w:val="300"/>
        </w:trPr>
        <w:tc>
          <w:tcPr>
            <w:tcW w:w="1280" w:type="pct"/>
            <w:shd w:val="clear" w:color="auto" w:fill="auto"/>
            <w:noWrap/>
            <w:vAlign w:val="bottom"/>
          </w:tcPr>
          <w:p w14:paraId="46A6D154"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Eden District</w:t>
            </w:r>
          </w:p>
        </w:tc>
        <w:tc>
          <w:tcPr>
            <w:tcW w:w="640" w:type="pct"/>
            <w:shd w:val="clear" w:color="auto" w:fill="auto"/>
            <w:noWrap/>
            <w:vAlign w:val="bottom"/>
          </w:tcPr>
          <w:p w14:paraId="08B96EE4"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6.0</w:t>
            </w:r>
          </w:p>
        </w:tc>
        <w:tc>
          <w:tcPr>
            <w:tcW w:w="640" w:type="pct"/>
            <w:shd w:val="clear" w:color="auto" w:fill="auto"/>
            <w:noWrap/>
            <w:vAlign w:val="bottom"/>
          </w:tcPr>
          <w:p w14:paraId="4CDFDF78"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26.6</w:t>
            </w:r>
          </w:p>
        </w:tc>
        <w:tc>
          <w:tcPr>
            <w:tcW w:w="640" w:type="pct"/>
            <w:shd w:val="clear" w:color="auto" w:fill="auto"/>
            <w:noWrap/>
            <w:vAlign w:val="bottom"/>
          </w:tcPr>
          <w:p w14:paraId="438CD2BD"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45.6</w:t>
            </w:r>
          </w:p>
        </w:tc>
        <w:tc>
          <w:tcPr>
            <w:tcW w:w="734" w:type="pct"/>
            <w:shd w:val="clear" w:color="auto" w:fill="auto"/>
            <w:noWrap/>
            <w:vAlign w:val="bottom"/>
          </w:tcPr>
          <w:p w14:paraId="0C7D75D4"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21.8</w:t>
            </w:r>
          </w:p>
        </w:tc>
        <w:tc>
          <w:tcPr>
            <w:tcW w:w="534" w:type="pct"/>
            <w:shd w:val="clear" w:color="auto" w:fill="auto"/>
            <w:noWrap/>
            <w:vAlign w:val="bottom"/>
          </w:tcPr>
          <w:p w14:paraId="441DFF56"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100.0</w:t>
            </w:r>
          </w:p>
        </w:tc>
        <w:tc>
          <w:tcPr>
            <w:tcW w:w="532" w:type="pct"/>
            <w:vAlign w:val="bottom"/>
          </w:tcPr>
          <w:p w14:paraId="4DD95E5B" w14:textId="77777777" w:rsidR="001F27D2" w:rsidRPr="00580B37" w:rsidRDefault="001F27D2" w:rsidP="00580B37">
            <w:pPr>
              <w:spacing w:before="0" w:after="0"/>
              <w:jc w:val="center"/>
              <w:rPr>
                <w:rFonts w:cs="Calibri"/>
                <w:color w:val="000000"/>
                <w:sz w:val="22"/>
                <w:szCs w:val="22"/>
              </w:rPr>
            </w:pPr>
            <w:r w:rsidRPr="00580B37">
              <w:rPr>
                <w:rFonts w:cs="Calibri"/>
                <w:bCs/>
                <w:color w:val="000000"/>
                <w:sz w:val="22"/>
                <w:szCs w:val="22"/>
              </w:rPr>
              <w:t>25,997</w:t>
            </w:r>
          </w:p>
        </w:tc>
      </w:tr>
      <w:tr w:rsidR="001F27D2" w:rsidRPr="00580B37" w14:paraId="673937F0" w14:textId="77777777" w:rsidTr="00580B37">
        <w:trPr>
          <w:trHeight w:val="300"/>
        </w:trPr>
        <w:tc>
          <w:tcPr>
            <w:tcW w:w="1280" w:type="pct"/>
            <w:shd w:val="clear" w:color="auto" w:fill="auto"/>
            <w:noWrap/>
            <w:vAlign w:val="bottom"/>
          </w:tcPr>
          <w:p w14:paraId="21C7FAE1"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North West</w:t>
            </w:r>
          </w:p>
        </w:tc>
        <w:tc>
          <w:tcPr>
            <w:tcW w:w="640" w:type="pct"/>
            <w:shd w:val="clear" w:color="auto" w:fill="auto"/>
            <w:noWrap/>
            <w:vAlign w:val="bottom"/>
          </w:tcPr>
          <w:p w14:paraId="0FF04F5A"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9.4</w:t>
            </w:r>
          </w:p>
        </w:tc>
        <w:tc>
          <w:tcPr>
            <w:tcW w:w="640" w:type="pct"/>
            <w:shd w:val="clear" w:color="auto" w:fill="auto"/>
            <w:noWrap/>
            <w:vAlign w:val="bottom"/>
          </w:tcPr>
          <w:p w14:paraId="1120D95C"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29.6</w:t>
            </w:r>
          </w:p>
        </w:tc>
        <w:tc>
          <w:tcPr>
            <w:tcW w:w="640" w:type="pct"/>
            <w:shd w:val="clear" w:color="auto" w:fill="auto"/>
            <w:noWrap/>
            <w:vAlign w:val="bottom"/>
          </w:tcPr>
          <w:p w14:paraId="343F5199"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47.4</w:t>
            </w:r>
          </w:p>
        </w:tc>
        <w:tc>
          <w:tcPr>
            <w:tcW w:w="734" w:type="pct"/>
            <w:shd w:val="clear" w:color="auto" w:fill="auto"/>
            <w:noWrap/>
            <w:vAlign w:val="bottom"/>
          </w:tcPr>
          <w:p w14:paraId="7C2A36BE"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13.6</w:t>
            </w:r>
          </w:p>
        </w:tc>
        <w:tc>
          <w:tcPr>
            <w:tcW w:w="534" w:type="pct"/>
            <w:shd w:val="clear" w:color="auto" w:fill="auto"/>
            <w:noWrap/>
            <w:vAlign w:val="bottom"/>
          </w:tcPr>
          <w:p w14:paraId="7A8300E5"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100.0</w:t>
            </w:r>
          </w:p>
        </w:tc>
        <w:tc>
          <w:tcPr>
            <w:tcW w:w="532" w:type="pct"/>
          </w:tcPr>
          <w:p w14:paraId="0EC6445C"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3.2m</w:t>
            </w:r>
          </w:p>
        </w:tc>
      </w:tr>
      <w:tr w:rsidR="001F27D2" w:rsidRPr="00580B37" w14:paraId="6656F611" w14:textId="77777777" w:rsidTr="00580B37">
        <w:trPr>
          <w:trHeight w:val="300"/>
        </w:trPr>
        <w:tc>
          <w:tcPr>
            <w:tcW w:w="1280" w:type="pct"/>
            <w:shd w:val="clear" w:color="auto" w:fill="auto"/>
            <w:noWrap/>
            <w:vAlign w:val="bottom"/>
          </w:tcPr>
          <w:p w14:paraId="1923ED13"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England</w:t>
            </w:r>
          </w:p>
        </w:tc>
        <w:tc>
          <w:tcPr>
            <w:tcW w:w="640" w:type="pct"/>
            <w:shd w:val="clear" w:color="auto" w:fill="auto"/>
            <w:noWrap/>
            <w:vAlign w:val="bottom"/>
          </w:tcPr>
          <w:p w14:paraId="124AA12F"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12.2</w:t>
            </w:r>
          </w:p>
        </w:tc>
        <w:tc>
          <w:tcPr>
            <w:tcW w:w="640" w:type="pct"/>
            <w:shd w:val="clear" w:color="auto" w:fill="auto"/>
            <w:noWrap/>
            <w:vAlign w:val="bottom"/>
          </w:tcPr>
          <w:p w14:paraId="54165327"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28.6</w:t>
            </w:r>
          </w:p>
        </w:tc>
        <w:tc>
          <w:tcPr>
            <w:tcW w:w="640" w:type="pct"/>
            <w:shd w:val="clear" w:color="auto" w:fill="auto"/>
            <w:noWrap/>
            <w:vAlign w:val="bottom"/>
          </w:tcPr>
          <w:p w14:paraId="7780D927"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44.1</w:t>
            </w:r>
          </w:p>
        </w:tc>
        <w:tc>
          <w:tcPr>
            <w:tcW w:w="734" w:type="pct"/>
            <w:shd w:val="clear" w:color="auto" w:fill="auto"/>
            <w:noWrap/>
            <w:vAlign w:val="bottom"/>
          </w:tcPr>
          <w:p w14:paraId="2517B324"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15.2</w:t>
            </w:r>
          </w:p>
        </w:tc>
        <w:tc>
          <w:tcPr>
            <w:tcW w:w="534" w:type="pct"/>
            <w:shd w:val="clear" w:color="auto" w:fill="auto"/>
            <w:noWrap/>
            <w:vAlign w:val="bottom"/>
          </w:tcPr>
          <w:p w14:paraId="19403D3A"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100.0</w:t>
            </w:r>
          </w:p>
        </w:tc>
        <w:tc>
          <w:tcPr>
            <w:tcW w:w="532" w:type="pct"/>
          </w:tcPr>
          <w:p w14:paraId="5079A90B"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23.4m</w:t>
            </w:r>
          </w:p>
        </w:tc>
      </w:tr>
    </w:tbl>
    <w:p w14:paraId="312AD9AC" w14:textId="77777777" w:rsidR="001F27D2" w:rsidRPr="002B2A7F" w:rsidRDefault="001F27D2" w:rsidP="00580B37">
      <w:pPr>
        <w:rPr>
          <w:rFonts w:asciiTheme="minorHAnsi" w:hAnsiTheme="minorHAnsi" w:cs="Calibri"/>
          <w:sz w:val="20"/>
        </w:rPr>
      </w:pPr>
      <w:r w:rsidRPr="002B2A7F">
        <w:rPr>
          <w:rFonts w:asciiTheme="minorHAnsi" w:hAnsiTheme="minorHAnsi" w:cs="Calibri"/>
          <w:sz w:val="20"/>
        </w:rPr>
        <w:t>Source: VOA 2017</w:t>
      </w:r>
    </w:p>
    <w:p w14:paraId="53ED59C0" w14:textId="77777777" w:rsidR="001F27D2" w:rsidRPr="002B2A7F" w:rsidRDefault="001F27D2" w:rsidP="001F27D2">
      <w:pPr>
        <w:pStyle w:val="Reporttext"/>
        <w:numPr>
          <w:ilvl w:val="0"/>
          <w:numId w:val="0"/>
        </w:numPr>
        <w:ind w:left="709"/>
      </w:pPr>
    </w:p>
    <w:p w14:paraId="5398F26A" w14:textId="77777777" w:rsidR="001F27D2" w:rsidRPr="002B2A7F" w:rsidRDefault="001F27D2" w:rsidP="001F27D2">
      <w:pPr>
        <w:pStyle w:val="Heading3"/>
        <w:rPr>
          <w:rFonts w:asciiTheme="minorHAnsi" w:hAnsiTheme="minorHAnsi"/>
        </w:rPr>
      </w:pPr>
      <w:bookmarkStart w:id="318" w:name="_Toc395193555"/>
      <w:r w:rsidRPr="002B2A7F">
        <w:rPr>
          <w:rFonts w:asciiTheme="minorHAnsi" w:hAnsiTheme="minorHAnsi"/>
        </w:rPr>
        <w:lastRenderedPageBreak/>
        <w:t>Tenure</w:t>
      </w:r>
      <w:bookmarkEnd w:id="318"/>
    </w:p>
    <w:p w14:paraId="2D98BA47" w14:textId="4B28B89A" w:rsidR="001F27D2" w:rsidRPr="002B2A7F" w:rsidRDefault="001F27D2" w:rsidP="001F27D2">
      <w:pPr>
        <w:pStyle w:val="Reporttext"/>
      </w:pPr>
      <w:r w:rsidRPr="002B2A7F">
        <w:t xml:space="preserve">Table 4.4 summarises the tenure profile which is based on the 2011 </w:t>
      </w:r>
      <w:r w:rsidR="001860AC">
        <w:t>C</w:t>
      </w:r>
      <w:r w:rsidRPr="002B2A7F">
        <w:t>ensus but adjusted to the total number of households in 2018. Overall, 70.3% of occupied dwellings were owner-occupied, 18.6% were private rented and 11.1% were affordable (mainly social rented but includes intermediate tenure).</w:t>
      </w:r>
      <w:r w:rsidR="001860AC">
        <w:t xml:space="preserve"> </w:t>
      </w:r>
      <w:r w:rsidRPr="002B2A7F">
        <w:t>The proportion of owner occupied dwellings is highest in Penrith Rural; the private rented sector proportion is similar across all HMAs but the proportion of affordable housing is highest in Penrith Urban (17%).</w:t>
      </w:r>
    </w:p>
    <w:p w14:paraId="572F139A" w14:textId="77777777" w:rsidR="001F27D2" w:rsidRPr="002B2A7F" w:rsidRDefault="001F27D2" w:rsidP="001F27D2">
      <w:pPr>
        <w:pStyle w:val="Reporttext"/>
        <w:numPr>
          <w:ilvl w:val="0"/>
          <w:numId w:val="0"/>
        </w:numPr>
        <w:ind w:left="709"/>
      </w:pP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1709"/>
        <w:gridCol w:w="1020"/>
        <w:gridCol w:w="1074"/>
        <w:gridCol w:w="1075"/>
        <w:gridCol w:w="1075"/>
        <w:gridCol w:w="804"/>
        <w:gridCol w:w="822"/>
        <w:gridCol w:w="1601"/>
      </w:tblGrid>
      <w:tr w:rsidR="001F27D2" w:rsidRPr="00580B37" w14:paraId="30C45947" w14:textId="77777777" w:rsidTr="001F27D2">
        <w:tc>
          <w:tcPr>
            <w:tcW w:w="5000" w:type="pct"/>
            <w:gridSpan w:val="8"/>
            <w:shd w:val="clear" w:color="auto" w:fill="009999"/>
            <w:noWrap/>
            <w:vAlign w:val="bottom"/>
          </w:tcPr>
          <w:p w14:paraId="440FE4AB" w14:textId="77777777" w:rsidR="001F27D2" w:rsidRPr="00580B37" w:rsidRDefault="001F27D2" w:rsidP="00580B37">
            <w:pPr>
              <w:pStyle w:val="Tableheading1"/>
            </w:pPr>
            <w:bookmarkStart w:id="319" w:name="_Toc531122940"/>
            <w:bookmarkStart w:id="320" w:name="_Toc532812475"/>
            <w:r w:rsidRPr="00580B37">
              <w:t>Table 4.4</w:t>
            </w:r>
            <w:r w:rsidRPr="00580B37">
              <w:tab/>
              <w:t>Tenure Profile</w:t>
            </w:r>
            <w:bookmarkEnd w:id="319"/>
            <w:bookmarkEnd w:id="320"/>
          </w:p>
        </w:tc>
      </w:tr>
      <w:tr w:rsidR="001F27D2" w:rsidRPr="00580B37" w14:paraId="1E94F741" w14:textId="77777777" w:rsidTr="001F27D2">
        <w:tc>
          <w:tcPr>
            <w:tcW w:w="908" w:type="pct"/>
            <w:vMerge w:val="restart"/>
            <w:shd w:val="clear" w:color="auto" w:fill="009999"/>
            <w:noWrap/>
            <w:vAlign w:val="bottom"/>
            <w:hideMark/>
          </w:tcPr>
          <w:p w14:paraId="77A1B482" w14:textId="77777777" w:rsidR="001F27D2" w:rsidRPr="00580B37" w:rsidRDefault="001F27D2" w:rsidP="00580B37">
            <w:pPr>
              <w:spacing w:before="0" w:after="0"/>
              <w:rPr>
                <w:rFonts w:cs="Calibri"/>
                <w:b/>
                <w:color w:val="FFFFFF" w:themeColor="background1"/>
                <w:sz w:val="22"/>
                <w:szCs w:val="22"/>
              </w:rPr>
            </w:pPr>
            <w:r w:rsidRPr="00580B37">
              <w:rPr>
                <w:rFonts w:cs="Calibri"/>
                <w:b/>
                <w:color w:val="FFFFFF" w:themeColor="background1"/>
                <w:sz w:val="22"/>
                <w:szCs w:val="22"/>
              </w:rPr>
              <w:t>Tenure</w:t>
            </w:r>
          </w:p>
        </w:tc>
        <w:tc>
          <w:tcPr>
            <w:tcW w:w="3217" w:type="pct"/>
            <w:gridSpan w:val="6"/>
            <w:shd w:val="clear" w:color="auto" w:fill="009999"/>
            <w:noWrap/>
            <w:vAlign w:val="bottom"/>
            <w:hideMark/>
          </w:tcPr>
          <w:p w14:paraId="1196D684" w14:textId="77777777" w:rsidR="001F27D2" w:rsidRPr="00580B37" w:rsidRDefault="001F27D2" w:rsidP="00580B37">
            <w:pPr>
              <w:spacing w:before="0" w:after="0"/>
              <w:jc w:val="center"/>
              <w:rPr>
                <w:rFonts w:cs="Calibri"/>
                <w:b/>
                <w:color w:val="FFFFFF" w:themeColor="background1"/>
                <w:sz w:val="22"/>
                <w:szCs w:val="22"/>
              </w:rPr>
            </w:pPr>
            <w:r w:rsidRPr="00580B37">
              <w:rPr>
                <w:rFonts w:cs="Calibri"/>
                <w:b/>
                <w:color w:val="FFFFFF" w:themeColor="background1"/>
                <w:sz w:val="22"/>
                <w:szCs w:val="22"/>
              </w:rPr>
              <w:t>HMA</w:t>
            </w:r>
          </w:p>
        </w:tc>
        <w:tc>
          <w:tcPr>
            <w:tcW w:w="875" w:type="pct"/>
            <w:vMerge w:val="restart"/>
            <w:shd w:val="clear" w:color="auto" w:fill="009999"/>
            <w:noWrap/>
            <w:vAlign w:val="bottom"/>
            <w:hideMark/>
          </w:tcPr>
          <w:p w14:paraId="62B04005" w14:textId="77777777" w:rsidR="001F27D2" w:rsidRPr="00580B37" w:rsidRDefault="001F27D2" w:rsidP="00580B37">
            <w:pPr>
              <w:spacing w:before="0" w:after="0"/>
              <w:jc w:val="center"/>
              <w:rPr>
                <w:rFonts w:cs="Calibri"/>
                <w:color w:val="FFFFFF" w:themeColor="background1"/>
                <w:sz w:val="22"/>
                <w:szCs w:val="22"/>
              </w:rPr>
            </w:pPr>
            <w:r w:rsidRPr="00580B37">
              <w:rPr>
                <w:rFonts w:cs="Calibri"/>
                <w:b/>
                <w:color w:val="FFFFFF" w:themeColor="background1"/>
                <w:sz w:val="22"/>
                <w:szCs w:val="22"/>
              </w:rPr>
              <w:t>Total</w:t>
            </w:r>
          </w:p>
        </w:tc>
      </w:tr>
      <w:tr w:rsidR="001F27D2" w:rsidRPr="00580B37" w14:paraId="55B12BB2" w14:textId="77777777" w:rsidTr="001F27D2">
        <w:tc>
          <w:tcPr>
            <w:tcW w:w="908" w:type="pct"/>
            <w:vMerge/>
            <w:shd w:val="clear" w:color="auto" w:fill="auto"/>
            <w:noWrap/>
            <w:vAlign w:val="bottom"/>
            <w:hideMark/>
          </w:tcPr>
          <w:p w14:paraId="53DE409E" w14:textId="77777777" w:rsidR="001F27D2" w:rsidRPr="00580B37" w:rsidRDefault="001F27D2" w:rsidP="00580B37">
            <w:pPr>
              <w:spacing w:before="0" w:after="0"/>
              <w:rPr>
                <w:rFonts w:cs="Calibri"/>
                <w:b/>
                <w:color w:val="000000"/>
                <w:sz w:val="22"/>
                <w:szCs w:val="22"/>
              </w:rPr>
            </w:pPr>
          </w:p>
        </w:tc>
        <w:tc>
          <w:tcPr>
            <w:tcW w:w="559" w:type="pct"/>
            <w:shd w:val="clear" w:color="auto" w:fill="009999"/>
            <w:tcMar>
              <w:left w:w="0" w:type="dxa"/>
              <w:right w:w="0" w:type="dxa"/>
            </w:tcMar>
            <w:vAlign w:val="bottom"/>
            <w:hideMark/>
          </w:tcPr>
          <w:p w14:paraId="1061DC98" w14:textId="77777777" w:rsidR="001F27D2" w:rsidRPr="00580B37" w:rsidRDefault="001F27D2" w:rsidP="00580B37">
            <w:pPr>
              <w:spacing w:before="0" w:after="0"/>
              <w:jc w:val="center"/>
              <w:rPr>
                <w:rFonts w:cs="Calibri"/>
                <w:color w:val="FFFFFF" w:themeColor="background1"/>
                <w:sz w:val="22"/>
                <w:szCs w:val="22"/>
              </w:rPr>
            </w:pPr>
            <w:r w:rsidRPr="00580B37">
              <w:rPr>
                <w:rFonts w:cs="Calibri"/>
                <w:color w:val="FFFFFF" w:themeColor="background1"/>
                <w:sz w:val="22"/>
                <w:szCs w:val="22"/>
              </w:rPr>
              <w:t>HMA1A Penrith Urban</w:t>
            </w:r>
          </w:p>
        </w:tc>
        <w:tc>
          <w:tcPr>
            <w:tcW w:w="588" w:type="pct"/>
            <w:shd w:val="clear" w:color="auto" w:fill="009999"/>
            <w:tcMar>
              <w:left w:w="0" w:type="dxa"/>
              <w:right w:w="0" w:type="dxa"/>
            </w:tcMar>
            <w:vAlign w:val="bottom"/>
            <w:hideMark/>
          </w:tcPr>
          <w:p w14:paraId="15587BFA" w14:textId="77777777" w:rsidR="001F27D2" w:rsidRPr="00580B37" w:rsidRDefault="001F27D2" w:rsidP="00580B37">
            <w:pPr>
              <w:spacing w:before="0" w:after="0"/>
              <w:jc w:val="center"/>
              <w:rPr>
                <w:rFonts w:cs="Calibri"/>
                <w:color w:val="FFFFFF" w:themeColor="background1"/>
                <w:sz w:val="22"/>
                <w:szCs w:val="22"/>
              </w:rPr>
            </w:pPr>
            <w:r w:rsidRPr="00580B37">
              <w:rPr>
                <w:rFonts w:cs="Calibri"/>
                <w:color w:val="FFFFFF" w:themeColor="background1"/>
                <w:sz w:val="22"/>
                <w:szCs w:val="22"/>
              </w:rPr>
              <w:t>HMA1B Penrith Rural</w:t>
            </w:r>
          </w:p>
        </w:tc>
        <w:tc>
          <w:tcPr>
            <w:tcW w:w="589" w:type="pct"/>
            <w:shd w:val="clear" w:color="auto" w:fill="009999"/>
            <w:tcMar>
              <w:left w:w="0" w:type="dxa"/>
              <w:right w:w="0" w:type="dxa"/>
            </w:tcMar>
            <w:vAlign w:val="bottom"/>
            <w:hideMark/>
          </w:tcPr>
          <w:p w14:paraId="7E98E79B" w14:textId="77777777" w:rsidR="001F27D2" w:rsidRPr="00580B37" w:rsidRDefault="001F27D2" w:rsidP="00580B37">
            <w:pPr>
              <w:spacing w:before="0" w:after="0"/>
              <w:jc w:val="center"/>
              <w:rPr>
                <w:rFonts w:cs="Calibri"/>
                <w:color w:val="FFFFFF" w:themeColor="background1"/>
                <w:sz w:val="22"/>
                <w:szCs w:val="22"/>
              </w:rPr>
            </w:pPr>
            <w:r w:rsidRPr="00580B37">
              <w:rPr>
                <w:rFonts w:cs="Calibri"/>
                <w:color w:val="FFFFFF" w:themeColor="background1"/>
                <w:sz w:val="22"/>
                <w:szCs w:val="22"/>
              </w:rPr>
              <w:t>HMA2 Appleby</w:t>
            </w:r>
          </w:p>
        </w:tc>
        <w:tc>
          <w:tcPr>
            <w:tcW w:w="589" w:type="pct"/>
            <w:shd w:val="clear" w:color="auto" w:fill="009999"/>
            <w:tcMar>
              <w:left w:w="0" w:type="dxa"/>
              <w:right w:w="0" w:type="dxa"/>
            </w:tcMar>
            <w:vAlign w:val="bottom"/>
            <w:hideMark/>
          </w:tcPr>
          <w:p w14:paraId="4AFA1194" w14:textId="77777777" w:rsidR="001F27D2" w:rsidRPr="00580B37" w:rsidRDefault="001F27D2" w:rsidP="00580B37">
            <w:pPr>
              <w:spacing w:before="0" w:after="0"/>
              <w:jc w:val="center"/>
              <w:rPr>
                <w:rFonts w:cs="Calibri"/>
                <w:color w:val="FFFFFF" w:themeColor="background1"/>
                <w:sz w:val="22"/>
                <w:szCs w:val="22"/>
              </w:rPr>
            </w:pPr>
            <w:r w:rsidRPr="00580B37">
              <w:rPr>
                <w:rFonts w:cs="Calibri"/>
                <w:color w:val="FFFFFF" w:themeColor="background1"/>
                <w:sz w:val="22"/>
                <w:szCs w:val="22"/>
              </w:rPr>
              <w:t>HMA3 Kirkby Stephen</w:t>
            </w:r>
          </w:p>
        </w:tc>
        <w:tc>
          <w:tcPr>
            <w:tcW w:w="441" w:type="pct"/>
            <w:shd w:val="clear" w:color="auto" w:fill="009999"/>
            <w:tcMar>
              <w:left w:w="0" w:type="dxa"/>
              <w:right w:w="0" w:type="dxa"/>
            </w:tcMar>
            <w:vAlign w:val="bottom"/>
            <w:hideMark/>
          </w:tcPr>
          <w:p w14:paraId="768146BC" w14:textId="77777777" w:rsidR="001F27D2" w:rsidRPr="00580B37" w:rsidRDefault="001F27D2" w:rsidP="00580B37">
            <w:pPr>
              <w:spacing w:before="0" w:after="0"/>
              <w:jc w:val="center"/>
              <w:rPr>
                <w:rFonts w:cs="Calibri"/>
                <w:color w:val="FFFFFF" w:themeColor="background1"/>
                <w:sz w:val="22"/>
                <w:szCs w:val="22"/>
              </w:rPr>
            </w:pPr>
            <w:r w:rsidRPr="00580B37">
              <w:rPr>
                <w:rFonts w:cs="Calibri"/>
                <w:color w:val="FFFFFF" w:themeColor="background1"/>
                <w:sz w:val="22"/>
                <w:szCs w:val="22"/>
              </w:rPr>
              <w:t>HMA4 Alston</w:t>
            </w:r>
          </w:p>
        </w:tc>
        <w:tc>
          <w:tcPr>
            <w:tcW w:w="450" w:type="pct"/>
            <w:shd w:val="clear" w:color="auto" w:fill="009999"/>
            <w:tcMar>
              <w:left w:w="0" w:type="dxa"/>
              <w:right w:w="0" w:type="dxa"/>
            </w:tcMar>
            <w:vAlign w:val="bottom"/>
            <w:hideMark/>
          </w:tcPr>
          <w:p w14:paraId="588390AF" w14:textId="77777777" w:rsidR="001F27D2" w:rsidRPr="00580B37" w:rsidRDefault="001F27D2" w:rsidP="00580B37">
            <w:pPr>
              <w:spacing w:before="0" w:after="0"/>
              <w:jc w:val="center"/>
              <w:rPr>
                <w:rFonts w:cs="Calibri"/>
                <w:color w:val="FFFFFF" w:themeColor="background1"/>
                <w:sz w:val="22"/>
                <w:szCs w:val="22"/>
              </w:rPr>
            </w:pPr>
            <w:r w:rsidRPr="00580B37">
              <w:rPr>
                <w:rFonts w:cs="Calibri"/>
                <w:color w:val="FFFFFF" w:themeColor="background1"/>
                <w:sz w:val="22"/>
                <w:szCs w:val="22"/>
              </w:rPr>
              <w:t>HMA5 West of M6</w:t>
            </w:r>
          </w:p>
        </w:tc>
        <w:tc>
          <w:tcPr>
            <w:tcW w:w="875" w:type="pct"/>
            <w:vMerge/>
            <w:shd w:val="clear" w:color="auto" w:fill="auto"/>
            <w:tcMar>
              <w:left w:w="0" w:type="dxa"/>
              <w:right w:w="0" w:type="dxa"/>
            </w:tcMar>
            <w:vAlign w:val="bottom"/>
            <w:hideMark/>
          </w:tcPr>
          <w:p w14:paraId="4A52631D" w14:textId="77777777" w:rsidR="001F27D2" w:rsidRPr="00580B37" w:rsidRDefault="001F27D2" w:rsidP="00580B37">
            <w:pPr>
              <w:spacing w:before="0" w:after="0"/>
              <w:jc w:val="center"/>
              <w:rPr>
                <w:rFonts w:cs="Calibri"/>
                <w:b/>
                <w:color w:val="000000"/>
                <w:sz w:val="22"/>
                <w:szCs w:val="22"/>
              </w:rPr>
            </w:pPr>
          </w:p>
        </w:tc>
      </w:tr>
      <w:tr w:rsidR="001F27D2" w:rsidRPr="00580B37" w14:paraId="367168F1" w14:textId="77777777" w:rsidTr="001F27D2">
        <w:tc>
          <w:tcPr>
            <w:tcW w:w="908" w:type="pct"/>
            <w:shd w:val="clear" w:color="auto" w:fill="auto"/>
            <w:noWrap/>
            <w:vAlign w:val="bottom"/>
            <w:hideMark/>
          </w:tcPr>
          <w:p w14:paraId="08E6358B"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Owner Occupied</w:t>
            </w:r>
          </w:p>
        </w:tc>
        <w:tc>
          <w:tcPr>
            <w:tcW w:w="559" w:type="pct"/>
            <w:shd w:val="clear" w:color="auto" w:fill="auto"/>
            <w:noWrap/>
            <w:vAlign w:val="bottom"/>
            <w:hideMark/>
          </w:tcPr>
          <w:p w14:paraId="02A0BBDD"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66.8</w:t>
            </w:r>
          </w:p>
        </w:tc>
        <w:tc>
          <w:tcPr>
            <w:tcW w:w="588" w:type="pct"/>
            <w:shd w:val="clear" w:color="auto" w:fill="auto"/>
            <w:noWrap/>
            <w:vAlign w:val="bottom"/>
            <w:hideMark/>
          </w:tcPr>
          <w:p w14:paraId="6B53C0C2"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74.8</w:t>
            </w:r>
          </w:p>
        </w:tc>
        <w:tc>
          <w:tcPr>
            <w:tcW w:w="589" w:type="pct"/>
            <w:shd w:val="clear" w:color="auto" w:fill="auto"/>
            <w:noWrap/>
            <w:vAlign w:val="bottom"/>
            <w:hideMark/>
          </w:tcPr>
          <w:p w14:paraId="0716CA85"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71.6</w:t>
            </w:r>
          </w:p>
        </w:tc>
        <w:tc>
          <w:tcPr>
            <w:tcW w:w="589" w:type="pct"/>
            <w:shd w:val="clear" w:color="auto" w:fill="auto"/>
            <w:noWrap/>
            <w:vAlign w:val="bottom"/>
            <w:hideMark/>
          </w:tcPr>
          <w:p w14:paraId="1063F40F"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70.3</w:t>
            </w:r>
          </w:p>
        </w:tc>
        <w:tc>
          <w:tcPr>
            <w:tcW w:w="441" w:type="pct"/>
            <w:shd w:val="clear" w:color="auto" w:fill="auto"/>
            <w:noWrap/>
            <w:vAlign w:val="bottom"/>
            <w:hideMark/>
          </w:tcPr>
          <w:p w14:paraId="6596AF93"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70.4</w:t>
            </w:r>
          </w:p>
        </w:tc>
        <w:tc>
          <w:tcPr>
            <w:tcW w:w="450" w:type="pct"/>
            <w:shd w:val="clear" w:color="auto" w:fill="auto"/>
            <w:noWrap/>
            <w:vAlign w:val="bottom"/>
            <w:hideMark/>
          </w:tcPr>
          <w:p w14:paraId="60DA8938"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69.9</w:t>
            </w:r>
          </w:p>
        </w:tc>
        <w:tc>
          <w:tcPr>
            <w:tcW w:w="875" w:type="pct"/>
            <w:shd w:val="clear" w:color="auto" w:fill="auto"/>
            <w:noWrap/>
            <w:vAlign w:val="bottom"/>
            <w:hideMark/>
          </w:tcPr>
          <w:p w14:paraId="3ACF1BFC"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70.3</w:t>
            </w:r>
          </w:p>
        </w:tc>
      </w:tr>
      <w:tr w:rsidR="001F27D2" w:rsidRPr="00580B37" w14:paraId="27DD4B26" w14:textId="77777777" w:rsidTr="001F27D2">
        <w:tc>
          <w:tcPr>
            <w:tcW w:w="908" w:type="pct"/>
            <w:shd w:val="clear" w:color="auto" w:fill="auto"/>
            <w:noWrap/>
            <w:vAlign w:val="bottom"/>
            <w:hideMark/>
          </w:tcPr>
          <w:p w14:paraId="37D3A996"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Private rented</w:t>
            </w:r>
          </w:p>
        </w:tc>
        <w:tc>
          <w:tcPr>
            <w:tcW w:w="559" w:type="pct"/>
            <w:shd w:val="clear" w:color="auto" w:fill="auto"/>
            <w:noWrap/>
            <w:vAlign w:val="bottom"/>
            <w:hideMark/>
          </w:tcPr>
          <w:p w14:paraId="4E1DB6A2"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16.1</w:t>
            </w:r>
          </w:p>
        </w:tc>
        <w:tc>
          <w:tcPr>
            <w:tcW w:w="588" w:type="pct"/>
            <w:shd w:val="clear" w:color="auto" w:fill="auto"/>
            <w:noWrap/>
            <w:vAlign w:val="bottom"/>
            <w:hideMark/>
          </w:tcPr>
          <w:p w14:paraId="64F44834"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19.2</w:t>
            </w:r>
          </w:p>
        </w:tc>
        <w:tc>
          <w:tcPr>
            <w:tcW w:w="589" w:type="pct"/>
            <w:shd w:val="clear" w:color="auto" w:fill="auto"/>
            <w:noWrap/>
            <w:vAlign w:val="bottom"/>
            <w:hideMark/>
          </w:tcPr>
          <w:p w14:paraId="0A82ED8D"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20.0</w:t>
            </w:r>
          </w:p>
        </w:tc>
        <w:tc>
          <w:tcPr>
            <w:tcW w:w="589" w:type="pct"/>
            <w:shd w:val="clear" w:color="auto" w:fill="auto"/>
            <w:noWrap/>
            <w:vAlign w:val="bottom"/>
            <w:hideMark/>
          </w:tcPr>
          <w:p w14:paraId="5BDFFAF6"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20.7</w:t>
            </w:r>
          </w:p>
        </w:tc>
        <w:tc>
          <w:tcPr>
            <w:tcW w:w="441" w:type="pct"/>
            <w:shd w:val="clear" w:color="auto" w:fill="auto"/>
            <w:noWrap/>
            <w:vAlign w:val="bottom"/>
            <w:hideMark/>
          </w:tcPr>
          <w:p w14:paraId="3AAB86CF"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18.0</w:t>
            </w:r>
          </w:p>
        </w:tc>
        <w:tc>
          <w:tcPr>
            <w:tcW w:w="450" w:type="pct"/>
            <w:shd w:val="clear" w:color="auto" w:fill="auto"/>
            <w:noWrap/>
            <w:vAlign w:val="bottom"/>
            <w:hideMark/>
          </w:tcPr>
          <w:p w14:paraId="615F8C10"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19.9</w:t>
            </w:r>
          </w:p>
        </w:tc>
        <w:tc>
          <w:tcPr>
            <w:tcW w:w="875" w:type="pct"/>
            <w:shd w:val="clear" w:color="auto" w:fill="auto"/>
            <w:noWrap/>
            <w:vAlign w:val="bottom"/>
            <w:hideMark/>
          </w:tcPr>
          <w:p w14:paraId="298D2BFD"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18.6</w:t>
            </w:r>
          </w:p>
        </w:tc>
      </w:tr>
      <w:tr w:rsidR="001F27D2" w:rsidRPr="00580B37" w14:paraId="7CCE72FA" w14:textId="77777777" w:rsidTr="001F27D2">
        <w:tc>
          <w:tcPr>
            <w:tcW w:w="908" w:type="pct"/>
            <w:shd w:val="clear" w:color="auto" w:fill="auto"/>
            <w:noWrap/>
            <w:vAlign w:val="bottom"/>
            <w:hideMark/>
          </w:tcPr>
          <w:p w14:paraId="6F98BA28"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Affordable</w:t>
            </w:r>
          </w:p>
        </w:tc>
        <w:tc>
          <w:tcPr>
            <w:tcW w:w="559" w:type="pct"/>
            <w:shd w:val="clear" w:color="auto" w:fill="auto"/>
            <w:noWrap/>
            <w:vAlign w:val="bottom"/>
            <w:hideMark/>
          </w:tcPr>
          <w:p w14:paraId="512A8A10"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17.0</w:t>
            </w:r>
          </w:p>
        </w:tc>
        <w:tc>
          <w:tcPr>
            <w:tcW w:w="588" w:type="pct"/>
            <w:shd w:val="clear" w:color="auto" w:fill="auto"/>
            <w:noWrap/>
            <w:vAlign w:val="bottom"/>
            <w:hideMark/>
          </w:tcPr>
          <w:p w14:paraId="67FF79A0"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6.0</w:t>
            </w:r>
          </w:p>
        </w:tc>
        <w:tc>
          <w:tcPr>
            <w:tcW w:w="589" w:type="pct"/>
            <w:shd w:val="clear" w:color="auto" w:fill="auto"/>
            <w:noWrap/>
            <w:vAlign w:val="bottom"/>
            <w:hideMark/>
          </w:tcPr>
          <w:p w14:paraId="4EE9EBF4"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8.4</w:t>
            </w:r>
          </w:p>
        </w:tc>
        <w:tc>
          <w:tcPr>
            <w:tcW w:w="589" w:type="pct"/>
            <w:shd w:val="clear" w:color="auto" w:fill="auto"/>
            <w:noWrap/>
            <w:vAlign w:val="bottom"/>
            <w:hideMark/>
          </w:tcPr>
          <w:p w14:paraId="7F0DE101"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9.0</w:t>
            </w:r>
          </w:p>
        </w:tc>
        <w:tc>
          <w:tcPr>
            <w:tcW w:w="441" w:type="pct"/>
            <w:shd w:val="clear" w:color="auto" w:fill="auto"/>
            <w:noWrap/>
            <w:vAlign w:val="bottom"/>
            <w:hideMark/>
          </w:tcPr>
          <w:p w14:paraId="527DDCBF"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11.6</w:t>
            </w:r>
          </w:p>
        </w:tc>
        <w:tc>
          <w:tcPr>
            <w:tcW w:w="450" w:type="pct"/>
            <w:shd w:val="clear" w:color="auto" w:fill="auto"/>
            <w:noWrap/>
            <w:vAlign w:val="bottom"/>
            <w:hideMark/>
          </w:tcPr>
          <w:p w14:paraId="418A6F1E"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10.2</w:t>
            </w:r>
          </w:p>
        </w:tc>
        <w:tc>
          <w:tcPr>
            <w:tcW w:w="875" w:type="pct"/>
            <w:shd w:val="clear" w:color="auto" w:fill="auto"/>
            <w:noWrap/>
            <w:vAlign w:val="bottom"/>
            <w:hideMark/>
          </w:tcPr>
          <w:p w14:paraId="76D5A2AB"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11.1</w:t>
            </w:r>
          </w:p>
        </w:tc>
      </w:tr>
      <w:tr w:rsidR="001F27D2" w:rsidRPr="00580B37" w14:paraId="624B862A" w14:textId="77777777" w:rsidTr="001F27D2">
        <w:tc>
          <w:tcPr>
            <w:tcW w:w="908" w:type="pct"/>
            <w:shd w:val="clear" w:color="auto" w:fill="auto"/>
            <w:noWrap/>
            <w:vAlign w:val="bottom"/>
            <w:hideMark/>
          </w:tcPr>
          <w:p w14:paraId="171DE093"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Base</w:t>
            </w:r>
          </w:p>
        </w:tc>
        <w:tc>
          <w:tcPr>
            <w:tcW w:w="559" w:type="pct"/>
            <w:shd w:val="clear" w:color="auto" w:fill="auto"/>
            <w:noWrap/>
            <w:vAlign w:val="bottom"/>
            <w:hideMark/>
          </w:tcPr>
          <w:p w14:paraId="703D35B3"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7,489</w:t>
            </w:r>
          </w:p>
        </w:tc>
        <w:tc>
          <w:tcPr>
            <w:tcW w:w="588" w:type="pct"/>
            <w:shd w:val="clear" w:color="auto" w:fill="auto"/>
            <w:noWrap/>
            <w:vAlign w:val="bottom"/>
            <w:hideMark/>
          </w:tcPr>
          <w:p w14:paraId="77420D1C"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4,939</w:t>
            </w:r>
          </w:p>
        </w:tc>
        <w:tc>
          <w:tcPr>
            <w:tcW w:w="589" w:type="pct"/>
            <w:shd w:val="clear" w:color="auto" w:fill="auto"/>
            <w:noWrap/>
            <w:vAlign w:val="bottom"/>
            <w:hideMark/>
          </w:tcPr>
          <w:p w14:paraId="3BFDD964"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4,105</w:t>
            </w:r>
          </w:p>
        </w:tc>
        <w:tc>
          <w:tcPr>
            <w:tcW w:w="589" w:type="pct"/>
            <w:shd w:val="clear" w:color="auto" w:fill="auto"/>
            <w:noWrap/>
            <w:vAlign w:val="bottom"/>
            <w:hideMark/>
          </w:tcPr>
          <w:p w14:paraId="1489B2AA"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3,023</w:t>
            </w:r>
          </w:p>
        </w:tc>
        <w:tc>
          <w:tcPr>
            <w:tcW w:w="441" w:type="pct"/>
            <w:shd w:val="clear" w:color="auto" w:fill="auto"/>
            <w:noWrap/>
            <w:vAlign w:val="bottom"/>
            <w:hideMark/>
          </w:tcPr>
          <w:p w14:paraId="0197D55D"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1,626</w:t>
            </w:r>
          </w:p>
        </w:tc>
        <w:tc>
          <w:tcPr>
            <w:tcW w:w="450" w:type="pct"/>
            <w:shd w:val="clear" w:color="auto" w:fill="auto"/>
            <w:noWrap/>
            <w:vAlign w:val="bottom"/>
            <w:hideMark/>
          </w:tcPr>
          <w:p w14:paraId="38E10DB4"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2,581</w:t>
            </w:r>
          </w:p>
        </w:tc>
        <w:tc>
          <w:tcPr>
            <w:tcW w:w="875" w:type="pct"/>
            <w:shd w:val="clear" w:color="auto" w:fill="auto"/>
            <w:noWrap/>
            <w:vAlign w:val="bottom"/>
            <w:hideMark/>
          </w:tcPr>
          <w:p w14:paraId="2CD77FB8"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23,763</w:t>
            </w:r>
          </w:p>
        </w:tc>
      </w:tr>
    </w:tbl>
    <w:p w14:paraId="0666EEAD" w14:textId="77777777" w:rsidR="001F27D2" w:rsidRPr="002B2A7F" w:rsidRDefault="001F27D2" w:rsidP="001F27D2">
      <w:pPr>
        <w:rPr>
          <w:rFonts w:asciiTheme="minorHAnsi" w:hAnsiTheme="minorHAnsi" w:cs="Calibri"/>
          <w:color w:val="000000" w:themeColor="text1"/>
          <w:sz w:val="20"/>
          <w:szCs w:val="20"/>
        </w:rPr>
      </w:pPr>
      <w:r w:rsidRPr="002B2A7F">
        <w:rPr>
          <w:rFonts w:asciiTheme="minorHAnsi" w:hAnsiTheme="minorHAnsi" w:cs="Calibri"/>
          <w:color w:val="000000" w:themeColor="text1"/>
          <w:sz w:val="20"/>
          <w:szCs w:val="20"/>
        </w:rPr>
        <w:t>Source: Census 2011</w:t>
      </w:r>
    </w:p>
    <w:p w14:paraId="35DF082A" w14:textId="77777777" w:rsidR="001F27D2" w:rsidRPr="002B2A7F" w:rsidRDefault="001F27D2" w:rsidP="001F27D2">
      <w:pPr>
        <w:rPr>
          <w:rFonts w:asciiTheme="minorHAnsi" w:hAnsiTheme="minorHAnsi" w:cs="Calibri"/>
          <w:b/>
        </w:rPr>
      </w:pPr>
    </w:p>
    <w:p w14:paraId="4848F844" w14:textId="77777777" w:rsidR="001F27D2" w:rsidRPr="002B2A7F" w:rsidRDefault="001F27D2" w:rsidP="001F27D2">
      <w:pPr>
        <w:pStyle w:val="Heading2"/>
        <w:rPr>
          <w:rFonts w:asciiTheme="minorHAnsi" w:hAnsiTheme="minorHAnsi" w:cs="Calibri"/>
        </w:rPr>
      </w:pPr>
      <w:bookmarkStart w:id="321" w:name="_Toc395193556"/>
      <w:bookmarkStart w:id="322" w:name="_Toc524935582"/>
      <w:bookmarkStart w:id="323" w:name="_Toc531122875"/>
      <w:bookmarkStart w:id="324" w:name="_Toc532812407"/>
      <w:r w:rsidRPr="002B2A7F">
        <w:rPr>
          <w:rFonts w:asciiTheme="minorHAnsi" w:hAnsiTheme="minorHAnsi" w:cs="Calibri"/>
        </w:rPr>
        <w:t>The owner-occupied sector</w:t>
      </w:r>
      <w:bookmarkEnd w:id="321"/>
      <w:bookmarkEnd w:id="322"/>
      <w:bookmarkEnd w:id="323"/>
      <w:bookmarkEnd w:id="324"/>
    </w:p>
    <w:p w14:paraId="32692DB5" w14:textId="77777777" w:rsidR="001F27D2" w:rsidRPr="002B2A7F" w:rsidRDefault="001F27D2" w:rsidP="001F27D2">
      <w:pPr>
        <w:pStyle w:val="Reporttext"/>
      </w:pPr>
      <w:r w:rsidRPr="002B2A7F">
        <w:t>Around, 70.3% of households (16,700) across Eden District were owner occupiers. 48.4% of all households (around 11,500) own outright and 21.9% of all households (around 5,200) have a mortgage or loan. The significance of dwellings owned outright is that these are likely to be occupied by older people.</w:t>
      </w:r>
    </w:p>
    <w:p w14:paraId="080B4CE7" w14:textId="77777777" w:rsidR="001F27D2" w:rsidRPr="002B2A7F" w:rsidRDefault="001F27D2" w:rsidP="001F27D2">
      <w:pPr>
        <w:pStyle w:val="Reporttext"/>
      </w:pPr>
      <w:r w:rsidRPr="002B2A7F">
        <w:t>In terms of the property characteristics of owner-occupied stock, 81% of properties were houses of which 40% were detached, 27.2% were semi-detached and 13.9% were terraced. 13.7% were bungalows and 3.6% were flats and 1.7% other property types e.g. caravans/park homes.</w:t>
      </w:r>
    </w:p>
    <w:p w14:paraId="3491ECB8" w14:textId="77777777" w:rsidR="001F27D2" w:rsidRPr="002B2A7F" w:rsidRDefault="001F27D2" w:rsidP="001F27D2">
      <w:pPr>
        <w:pStyle w:val="Reporttext"/>
      </w:pPr>
      <w:r w:rsidRPr="002B2A7F">
        <w:t>In terms of number of bedrooms, 1% of dwellings had one-bedroom, 16.2% had two-bedrooms, 47.6% had three-bedrooms and 35.2% had four or more bedrooms.</w:t>
      </w:r>
    </w:p>
    <w:p w14:paraId="5D332E87" w14:textId="77777777" w:rsidR="001F27D2" w:rsidRPr="002B2A7F" w:rsidRDefault="001F27D2" w:rsidP="001F27D2">
      <w:pPr>
        <w:pStyle w:val="Reporttext"/>
      </w:pPr>
      <w:r w:rsidRPr="002B2A7F">
        <w:t>Over the period 2000 to 2017, Land Registry data reveals that lower quartile house prices in Eden have increased from £52,000 to £130,000 and median prices have increased from £71,000 to £187,475. Change in price over time is summarised in Table 4.5.</w:t>
      </w:r>
    </w:p>
    <w:p w14:paraId="0F8CC929" w14:textId="2A08013B" w:rsidR="001F27D2" w:rsidRPr="002B2A7F" w:rsidRDefault="001F27D2" w:rsidP="001F27D2">
      <w:pPr>
        <w:pStyle w:val="Reporttext"/>
      </w:pPr>
      <w:r w:rsidRPr="002B2A7F">
        <w:t>It is noteworthy that in 2000, a household income of £13,371 was required to service a mortgage for a lower quartile priced home. By 2017 this had increased to £33,429. By comparison, an income of £18,257 was required for a median priced home in 2000 compared with £48,20</w:t>
      </w:r>
      <w:r w:rsidR="001860AC">
        <w:t>8</w:t>
      </w:r>
      <w:r w:rsidRPr="002B2A7F">
        <w:t xml:space="preserve"> in 2017. </w:t>
      </w:r>
    </w:p>
    <w:p w14:paraId="270DF4C0" w14:textId="77777777" w:rsidR="001F27D2" w:rsidRPr="002B2A7F" w:rsidRDefault="001F27D2" w:rsidP="001F27D2">
      <w:pPr>
        <w:pStyle w:val="Reporttext"/>
        <w:numPr>
          <w:ilvl w:val="0"/>
          <w:numId w:val="0"/>
        </w:numPr>
      </w:pPr>
    </w:p>
    <w:p w14:paraId="5D732ED5" w14:textId="77777777" w:rsidR="001F27D2" w:rsidRPr="002B2A7F" w:rsidRDefault="001F27D2" w:rsidP="001F27D2">
      <w:pPr>
        <w:pStyle w:val="Reporttext"/>
        <w:numPr>
          <w:ilvl w:val="0"/>
          <w:numId w:val="0"/>
        </w:numPr>
      </w:pPr>
    </w:p>
    <w:tbl>
      <w:tblPr>
        <w:tblW w:w="4586" w:type="pct"/>
        <w:tblInd w:w="720"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937"/>
        <w:gridCol w:w="1814"/>
        <w:gridCol w:w="1952"/>
        <w:gridCol w:w="1789"/>
        <w:gridCol w:w="1968"/>
      </w:tblGrid>
      <w:tr w:rsidR="001F27D2" w:rsidRPr="00580B37" w14:paraId="5CB385B8" w14:textId="77777777" w:rsidTr="001F27D2">
        <w:trPr>
          <w:trHeight w:val="300"/>
        </w:trPr>
        <w:tc>
          <w:tcPr>
            <w:tcW w:w="5000" w:type="pct"/>
            <w:gridSpan w:val="5"/>
            <w:shd w:val="clear" w:color="auto" w:fill="009999"/>
            <w:noWrap/>
            <w:vAlign w:val="center"/>
            <w:hideMark/>
          </w:tcPr>
          <w:p w14:paraId="26D88D5A" w14:textId="77777777" w:rsidR="001F27D2" w:rsidRPr="00580B37" w:rsidRDefault="001F27D2" w:rsidP="00580B37">
            <w:pPr>
              <w:pStyle w:val="Tableheading1"/>
            </w:pPr>
            <w:bookmarkStart w:id="325" w:name="RANGE!C80"/>
            <w:bookmarkStart w:id="326" w:name="_Toc524935670"/>
            <w:bookmarkStart w:id="327" w:name="_Toc531122941"/>
            <w:bookmarkStart w:id="328" w:name="_Toc532812476"/>
            <w:r w:rsidRPr="00580B37">
              <w:lastRenderedPageBreak/>
              <w:t>Table 4.5</w:t>
            </w:r>
            <w:r w:rsidRPr="00580B37">
              <w:tab/>
              <w:t xml:space="preserve">Lower Quartile and median price and income required to </w:t>
            </w:r>
            <w:bookmarkEnd w:id="325"/>
            <w:r w:rsidRPr="00580B37">
              <w:t>service a mortgage</w:t>
            </w:r>
            <w:bookmarkEnd w:id="326"/>
            <w:bookmarkEnd w:id="327"/>
            <w:bookmarkEnd w:id="328"/>
          </w:p>
        </w:tc>
      </w:tr>
      <w:tr w:rsidR="001F27D2" w:rsidRPr="00580B37" w14:paraId="370426F3" w14:textId="77777777" w:rsidTr="00580B37">
        <w:trPr>
          <w:trHeight w:val="320"/>
        </w:trPr>
        <w:tc>
          <w:tcPr>
            <w:tcW w:w="552" w:type="pct"/>
            <w:shd w:val="clear" w:color="auto" w:fill="009999"/>
            <w:noWrap/>
            <w:vAlign w:val="bottom"/>
          </w:tcPr>
          <w:p w14:paraId="6E1DBD61" w14:textId="77777777" w:rsidR="001F27D2" w:rsidRPr="00580B37" w:rsidRDefault="001F27D2" w:rsidP="00580B37">
            <w:pPr>
              <w:spacing w:before="0" w:after="0"/>
              <w:rPr>
                <w:rFonts w:cs="Calibri"/>
                <w:color w:val="000000"/>
                <w:sz w:val="22"/>
                <w:szCs w:val="22"/>
              </w:rPr>
            </w:pPr>
            <w:r w:rsidRPr="00580B37">
              <w:rPr>
                <w:rFonts w:cs="Calibri"/>
                <w:b/>
                <w:bCs/>
                <w:color w:val="FFFFFF"/>
                <w:sz w:val="22"/>
                <w:szCs w:val="22"/>
              </w:rPr>
              <w:t>Year</w:t>
            </w:r>
          </w:p>
        </w:tc>
        <w:tc>
          <w:tcPr>
            <w:tcW w:w="2226" w:type="pct"/>
            <w:gridSpan w:val="2"/>
            <w:shd w:val="clear" w:color="auto" w:fill="009999"/>
            <w:noWrap/>
            <w:vAlign w:val="center"/>
          </w:tcPr>
          <w:p w14:paraId="05F734C4" w14:textId="77777777" w:rsidR="001F27D2" w:rsidRPr="00580B37" w:rsidRDefault="001F27D2" w:rsidP="00580B37">
            <w:pPr>
              <w:spacing w:before="0" w:after="0"/>
              <w:jc w:val="center"/>
              <w:rPr>
                <w:rFonts w:cs="Calibri"/>
                <w:color w:val="000000"/>
                <w:sz w:val="22"/>
                <w:szCs w:val="22"/>
              </w:rPr>
            </w:pPr>
            <w:r w:rsidRPr="00580B37">
              <w:rPr>
                <w:rFonts w:cs="Calibri"/>
                <w:b/>
                <w:bCs/>
                <w:color w:val="FFFFFF"/>
                <w:sz w:val="22"/>
                <w:szCs w:val="22"/>
              </w:rPr>
              <w:t>House Price (£)</w:t>
            </w:r>
          </w:p>
        </w:tc>
        <w:tc>
          <w:tcPr>
            <w:tcW w:w="2221" w:type="pct"/>
            <w:gridSpan w:val="2"/>
            <w:shd w:val="clear" w:color="auto" w:fill="009999"/>
            <w:noWrap/>
            <w:vAlign w:val="bottom"/>
          </w:tcPr>
          <w:p w14:paraId="77B006DC" w14:textId="77777777" w:rsidR="001F27D2" w:rsidRPr="00580B37" w:rsidRDefault="001F27D2" w:rsidP="00580B37">
            <w:pPr>
              <w:spacing w:before="0" w:after="0"/>
              <w:jc w:val="center"/>
              <w:rPr>
                <w:rFonts w:cs="Calibri"/>
                <w:color w:val="000000"/>
                <w:sz w:val="22"/>
                <w:szCs w:val="22"/>
              </w:rPr>
            </w:pPr>
            <w:r w:rsidRPr="00580B37">
              <w:rPr>
                <w:rFonts w:cs="Calibri"/>
                <w:b/>
                <w:bCs/>
                <w:color w:val="FFFFFF"/>
                <w:sz w:val="22"/>
                <w:szCs w:val="22"/>
              </w:rPr>
              <w:t>Income required*</w:t>
            </w:r>
          </w:p>
        </w:tc>
      </w:tr>
      <w:tr w:rsidR="001F27D2" w:rsidRPr="00580B37" w14:paraId="138588E3" w14:textId="77777777" w:rsidTr="00580B37">
        <w:trPr>
          <w:trHeight w:val="320"/>
        </w:trPr>
        <w:tc>
          <w:tcPr>
            <w:tcW w:w="552" w:type="pct"/>
            <w:shd w:val="clear" w:color="auto" w:fill="FFFFFF" w:themeFill="background1"/>
            <w:noWrap/>
            <w:vAlign w:val="center"/>
          </w:tcPr>
          <w:p w14:paraId="35570A06" w14:textId="77777777" w:rsidR="001F27D2" w:rsidRPr="00580B37" w:rsidRDefault="001F27D2" w:rsidP="00580B37">
            <w:pPr>
              <w:spacing w:before="0" w:after="0"/>
              <w:rPr>
                <w:rFonts w:cs="Calibri"/>
                <w:b/>
                <w:color w:val="000000" w:themeColor="text1"/>
                <w:sz w:val="22"/>
                <w:szCs w:val="22"/>
              </w:rPr>
            </w:pPr>
          </w:p>
        </w:tc>
        <w:tc>
          <w:tcPr>
            <w:tcW w:w="1072" w:type="pct"/>
            <w:shd w:val="clear" w:color="auto" w:fill="FFFFFF" w:themeFill="background1"/>
            <w:noWrap/>
            <w:vAlign w:val="center"/>
          </w:tcPr>
          <w:p w14:paraId="67286889" w14:textId="77777777" w:rsidR="001F27D2" w:rsidRPr="00580B37" w:rsidRDefault="001F27D2" w:rsidP="00580B37">
            <w:pPr>
              <w:spacing w:before="0" w:after="0"/>
              <w:jc w:val="center"/>
              <w:rPr>
                <w:rFonts w:cs="Calibri"/>
                <w:b/>
                <w:color w:val="000000" w:themeColor="text1"/>
                <w:sz w:val="22"/>
                <w:szCs w:val="22"/>
              </w:rPr>
            </w:pPr>
            <w:r w:rsidRPr="00580B37">
              <w:rPr>
                <w:rFonts w:cs="Calibri"/>
                <w:b/>
                <w:color w:val="000000" w:themeColor="text1"/>
                <w:sz w:val="22"/>
                <w:szCs w:val="22"/>
              </w:rPr>
              <w:t>Lower Quartile</w:t>
            </w:r>
          </w:p>
        </w:tc>
        <w:tc>
          <w:tcPr>
            <w:tcW w:w="1154" w:type="pct"/>
            <w:shd w:val="clear" w:color="auto" w:fill="FFFFFF" w:themeFill="background1"/>
            <w:noWrap/>
            <w:vAlign w:val="center"/>
          </w:tcPr>
          <w:p w14:paraId="143F403D" w14:textId="77777777" w:rsidR="001F27D2" w:rsidRPr="00580B37" w:rsidRDefault="001F27D2" w:rsidP="00580B37">
            <w:pPr>
              <w:spacing w:before="0" w:after="0"/>
              <w:jc w:val="center"/>
              <w:rPr>
                <w:rFonts w:cs="Calibri"/>
                <w:b/>
                <w:color w:val="000000" w:themeColor="text1"/>
                <w:sz w:val="22"/>
                <w:szCs w:val="22"/>
              </w:rPr>
            </w:pPr>
            <w:r w:rsidRPr="00580B37">
              <w:rPr>
                <w:rFonts w:cs="Calibri"/>
                <w:b/>
                <w:color w:val="000000" w:themeColor="text1"/>
                <w:sz w:val="22"/>
                <w:szCs w:val="22"/>
              </w:rPr>
              <w:t>Median</w:t>
            </w:r>
          </w:p>
        </w:tc>
        <w:tc>
          <w:tcPr>
            <w:tcW w:w="1058" w:type="pct"/>
            <w:shd w:val="clear" w:color="auto" w:fill="FFFFFF" w:themeFill="background1"/>
            <w:noWrap/>
            <w:vAlign w:val="center"/>
          </w:tcPr>
          <w:p w14:paraId="59903049" w14:textId="77777777" w:rsidR="001F27D2" w:rsidRPr="00580B37" w:rsidRDefault="001F27D2" w:rsidP="00580B37">
            <w:pPr>
              <w:spacing w:before="0" w:after="0"/>
              <w:jc w:val="center"/>
              <w:rPr>
                <w:rFonts w:cs="Calibri"/>
                <w:b/>
                <w:color w:val="000000" w:themeColor="text1"/>
                <w:sz w:val="22"/>
                <w:szCs w:val="22"/>
              </w:rPr>
            </w:pPr>
            <w:r w:rsidRPr="00580B37">
              <w:rPr>
                <w:rFonts w:cs="Calibri"/>
                <w:b/>
                <w:color w:val="000000" w:themeColor="text1"/>
                <w:sz w:val="22"/>
                <w:szCs w:val="22"/>
              </w:rPr>
              <w:t>Lower Quartile</w:t>
            </w:r>
          </w:p>
        </w:tc>
        <w:tc>
          <w:tcPr>
            <w:tcW w:w="1164" w:type="pct"/>
            <w:shd w:val="clear" w:color="auto" w:fill="FFFFFF" w:themeFill="background1"/>
            <w:noWrap/>
            <w:vAlign w:val="center"/>
          </w:tcPr>
          <w:p w14:paraId="0B994F58" w14:textId="77777777" w:rsidR="001F27D2" w:rsidRPr="00580B37" w:rsidRDefault="001F27D2" w:rsidP="00580B37">
            <w:pPr>
              <w:spacing w:before="0" w:after="0"/>
              <w:jc w:val="center"/>
              <w:rPr>
                <w:rFonts w:cs="Calibri"/>
                <w:b/>
                <w:color w:val="000000" w:themeColor="text1"/>
                <w:sz w:val="22"/>
                <w:szCs w:val="22"/>
              </w:rPr>
            </w:pPr>
            <w:r w:rsidRPr="00580B37">
              <w:rPr>
                <w:rFonts w:cs="Calibri"/>
                <w:b/>
                <w:color w:val="000000" w:themeColor="text1"/>
                <w:sz w:val="22"/>
                <w:szCs w:val="22"/>
              </w:rPr>
              <w:t>Median</w:t>
            </w:r>
          </w:p>
        </w:tc>
      </w:tr>
      <w:tr w:rsidR="001F27D2" w:rsidRPr="00580B37" w14:paraId="19A97D6D" w14:textId="77777777" w:rsidTr="00580B37">
        <w:trPr>
          <w:trHeight w:val="320"/>
        </w:trPr>
        <w:tc>
          <w:tcPr>
            <w:tcW w:w="552" w:type="pct"/>
            <w:shd w:val="clear" w:color="auto" w:fill="auto"/>
            <w:noWrap/>
            <w:vAlign w:val="center"/>
            <w:hideMark/>
          </w:tcPr>
          <w:p w14:paraId="04E11C7F"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2000</w:t>
            </w:r>
          </w:p>
        </w:tc>
        <w:tc>
          <w:tcPr>
            <w:tcW w:w="1072" w:type="pct"/>
            <w:shd w:val="clear" w:color="auto" w:fill="auto"/>
            <w:noWrap/>
            <w:vAlign w:val="center"/>
            <w:hideMark/>
          </w:tcPr>
          <w:p w14:paraId="4B0EF82C"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£52,000</w:t>
            </w:r>
          </w:p>
        </w:tc>
        <w:tc>
          <w:tcPr>
            <w:tcW w:w="1154" w:type="pct"/>
            <w:shd w:val="clear" w:color="auto" w:fill="auto"/>
            <w:noWrap/>
            <w:vAlign w:val="center"/>
            <w:hideMark/>
          </w:tcPr>
          <w:p w14:paraId="18538721"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£71,000</w:t>
            </w:r>
          </w:p>
        </w:tc>
        <w:tc>
          <w:tcPr>
            <w:tcW w:w="1058" w:type="pct"/>
            <w:shd w:val="clear" w:color="auto" w:fill="auto"/>
            <w:noWrap/>
            <w:vAlign w:val="center"/>
          </w:tcPr>
          <w:p w14:paraId="5773B9FB"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£13,371</w:t>
            </w:r>
          </w:p>
        </w:tc>
        <w:tc>
          <w:tcPr>
            <w:tcW w:w="1164" w:type="pct"/>
            <w:shd w:val="clear" w:color="auto" w:fill="auto"/>
            <w:noWrap/>
            <w:vAlign w:val="center"/>
          </w:tcPr>
          <w:p w14:paraId="0DB2A67B"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£18,257</w:t>
            </w:r>
          </w:p>
        </w:tc>
      </w:tr>
      <w:tr w:rsidR="001F27D2" w:rsidRPr="00580B37" w14:paraId="63262796" w14:textId="77777777" w:rsidTr="00580B37">
        <w:trPr>
          <w:trHeight w:val="320"/>
        </w:trPr>
        <w:tc>
          <w:tcPr>
            <w:tcW w:w="552" w:type="pct"/>
            <w:shd w:val="clear" w:color="auto" w:fill="auto"/>
            <w:noWrap/>
            <w:vAlign w:val="center"/>
            <w:hideMark/>
          </w:tcPr>
          <w:p w14:paraId="163D6FAE"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2001</w:t>
            </w:r>
          </w:p>
        </w:tc>
        <w:tc>
          <w:tcPr>
            <w:tcW w:w="1072" w:type="pct"/>
            <w:shd w:val="clear" w:color="auto" w:fill="auto"/>
            <w:noWrap/>
            <w:vAlign w:val="center"/>
            <w:hideMark/>
          </w:tcPr>
          <w:p w14:paraId="4DF218B6"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£57,500</w:t>
            </w:r>
          </w:p>
        </w:tc>
        <w:tc>
          <w:tcPr>
            <w:tcW w:w="1154" w:type="pct"/>
            <w:shd w:val="clear" w:color="auto" w:fill="auto"/>
            <w:noWrap/>
            <w:vAlign w:val="center"/>
            <w:hideMark/>
          </w:tcPr>
          <w:p w14:paraId="5BAAE84A"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£76,850</w:t>
            </w:r>
          </w:p>
        </w:tc>
        <w:tc>
          <w:tcPr>
            <w:tcW w:w="1058" w:type="pct"/>
            <w:shd w:val="clear" w:color="auto" w:fill="auto"/>
            <w:noWrap/>
            <w:vAlign w:val="center"/>
          </w:tcPr>
          <w:p w14:paraId="469E477C"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£14,786</w:t>
            </w:r>
          </w:p>
        </w:tc>
        <w:tc>
          <w:tcPr>
            <w:tcW w:w="1164" w:type="pct"/>
            <w:shd w:val="clear" w:color="auto" w:fill="auto"/>
            <w:noWrap/>
            <w:vAlign w:val="center"/>
          </w:tcPr>
          <w:p w14:paraId="41292967"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£19,761</w:t>
            </w:r>
          </w:p>
        </w:tc>
      </w:tr>
      <w:tr w:rsidR="001F27D2" w:rsidRPr="00580B37" w14:paraId="36365EF2" w14:textId="77777777" w:rsidTr="00580B37">
        <w:trPr>
          <w:trHeight w:val="320"/>
        </w:trPr>
        <w:tc>
          <w:tcPr>
            <w:tcW w:w="552" w:type="pct"/>
            <w:shd w:val="clear" w:color="auto" w:fill="auto"/>
            <w:noWrap/>
            <w:vAlign w:val="center"/>
            <w:hideMark/>
          </w:tcPr>
          <w:p w14:paraId="49C99728"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2002</w:t>
            </w:r>
          </w:p>
        </w:tc>
        <w:tc>
          <w:tcPr>
            <w:tcW w:w="1072" w:type="pct"/>
            <w:shd w:val="clear" w:color="auto" w:fill="auto"/>
            <w:noWrap/>
            <w:vAlign w:val="center"/>
            <w:hideMark/>
          </w:tcPr>
          <w:p w14:paraId="55B8C86D"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£68,000</w:t>
            </w:r>
          </w:p>
        </w:tc>
        <w:tc>
          <w:tcPr>
            <w:tcW w:w="1154" w:type="pct"/>
            <w:shd w:val="clear" w:color="auto" w:fill="auto"/>
            <w:noWrap/>
            <w:vAlign w:val="center"/>
            <w:hideMark/>
          </w:tcPr>
          <w:p w14:paraId="2CEDD0D8"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£92,000</w:t>
            </w:r>
          </w:p>
        </w:tc>
        <w:tc>
          <w:tcPr>
            <w:tcW w:w="1058" w:type="pct"/>
            <w:shd w:val="clear" w:color="auto" w:fill="auto"/>
            <w:noWrap/>
            <w:vAlign w:val="center"/>
          </w:tcPr>
          <w:p w14:paraId="3A71C0BE"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£17,486</w:t>
            </w:r>
          </w:p>
        </w:tc>
        <w:tc>
          <w:tcPr>
            <w:tcW w:w="1164" w:type="pct"/>
            <w:shd w:val="clear" w:color="auto" w:fill="auto"/>
            <w:noWrap/>
            <w:vAlign w:val="center"/>
          </w:tcPr>
          <w:p w14:paraId="38FBFD6F"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£23,657</w:t>
            </w:r>
          </w:p>
        </w:tc>
      </w:tr>
      <w:tr w:rsidR="001F27D2" w:rsidRPr="00580B37" w14:paraId="486CBC87" w14:textId="77777777" w:rsidTr="00580B37">
        <w:trPr>
          <w:trHeight w:val="320"/>
        </w:trPr>
        <w:tc>
          <w:tcPr>
            <w:tcW w:w="552" w:type="pct"/>
            <w:shd w:val="clear" w:color="auto" w:fill="auto"/>
            <w:noWrap/>
            <w:vAlign w:val="center"/>
            <w:hideMark/>
          </w:tcPr>
          <w:p w14:paraId="5EE538AA"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2003</w:t>
            </w:r>
          </w:p>
        </w:tc>
        <w:tc>
          <w:tcPr>
            <w:tcW w:w="1072" w:type="pct"/>
            <w:shd w:val="clear" w:color="auto" w:fill="auto"/>
            <w:noWrap/>
            <w:vAlign w:val="center"/>
            <w:hideMark/>
          </w:tcPr>
          <w:p w14:paraId="1ABBA7EE"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£85,000</w:t>
            </w:r>
          </w:p>
        </w:tc>
        <w:tc>
          <w:tcPr>
            <w:tcW w:w="1154" w:type="pct"/>
            <w:shd w:val="clear" w:color="auto" w:fill="auto"/>
            <w:noWrap/>
            <w:vAlign w:val="center"/>
            <w:hideMark/>
          </w:tcPr>
          <w:p w14:paraId="2C260498"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£120,000</w:t>
            </w:r>
          </w:p>
        </w:tc>
        <w:tc>
          <w:tcPr>
            <w:tcW w:w="1058" w:type="pct"/>
            <w:shd w:val="clear" w:color="auto" w:fill="auto"/>
            <w:noWrap/>
            <w:vAlign w:val="center"/>
          </w:tcPr>
          <w:p w14:paraId="498AF85C"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£21,857</w:t>
            </w:r>
          </w:p>
        </w:tc>
        <w:tc>
          <w:tcPr>
            <w:tcW w:w="1164" w:type="pct"/>
            <w:shd w:val="clear" w:color="auto" w:fill="auto"/>
            <w:noWrap/>
            <w:vAlign w:val="center"/>
          </w:tcPr>
          <w:p w14:paraId="7366C3A6"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£30,857</w:t>
            </w:r>
          </w:p>
        </w:tc>
      </w:tr>
      <w:tr w:rsidR="001F27D2" w:rsidRPr="00580B37" w14:paraId="494F641A" w14:textId="77777777" w:rsidTr="00580B37">
        <w:trPr>
          <w:trHeight w:val="320"/>
        </w:trPr>
        <w:tc>
          <w:tcPr>
            <w:tcW w:w="552" w:type="pct"/>
            <w:shd w:val="clear" w:color="auto" w:fill="auto"/>
            <w:noWrap/>
            <w:vAlign w:val="center"/>
            <w:hideMark/>
          </w:tcPr>
          <w:p w14:paraId="0E895F63"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2004</w:t>
            </w:r>
          </w:p>
        </w:tc>
        <w:tc>
          <w:tcPr>
            <w:tcW w:w="1072" w:type="pct"/>
            <w:shd w:val="clear" w:color="auto" w:fill="auto"/>
            <w:noWrap/>
            <w:vAlign w:val="center"/>
            <w:hideMark/>
          </w:tcPr>
          <w:p w14:paraId="471D125C"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£115,000</w:t>
            </w:r>
          </w:p>
        </w:tc>
        <w:tc>
          <w:tcPr>
            <w:tcW w:w="1154" w:type="pct"/>
            <w:shd w:val="clear" w:color="auto" w:fill="auto"/>
            <w:noWrap/>
            <w:vAlign w:val="center"/>
            <w:hideMark/>
          </w:tcPr>
          <w:p w14:paraId="41563282"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£160,000</w:t>
            </w:r>
          </w:p>
        </w:tc>
        <w:tc>
          <w:tcPr>
            <w:tcW w:w="1058" w:type="pct"/>
            <w:shd w:val="clear" w:color="auto" w:fill="auto"/>
            <w:noWrap/>
            <w:vAlign w:val="center"/>
          </w:tcPr>
          <w:p w14:paraId="22DC6BF6"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£29,571</w:t>
            </w:r>
          </w:p>
        </w:tc>
        <w:tc>
          <w:tcPr>
            <w:tcW w:w="1164" w:type="pct"/>
            <w:shd w:val="clear" w:color="auto" w:fill="auto"/>
            <w:noWrap/>
            <w:vAlign w:val="center"/>
          </w:tcPr>
          <w:p w14:paraId="7D2681D3"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£41,143</w:t>
            </w:r>
          </w:p>
        </w:tc>
      </w:tr>
      <w:tr w:rsidR="001F27D2" w:rsidRPr="00580B37" w14:paraId="6E19A57B" w14:textId="77777777" w:rsidTr="00580B37">
        <w:trPr>
          <w:trHeight w:val="320"/>
        </w:trPr>
        <w:tc>
          <w:tcPr>
            <w:tcW w:w="552" w:type="pct"/>
            <w:shd w:val="clear" w:color="auto" w:fill="auto"/>
            <w:noWrap/>
            <w:vAlign w:val="center"/>
            <w:hideMark/>
          </w:tcPr>
          <w:p w14:paraId="05C01B61"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2005</w:t>
            </w:r>
          </w:p>
        </w:tc>
        <w:tc>
          <w:tcPr>
            <w:tcW w:w="1072" w:type="pct"/>
            <w:shd w:val="clear" w:color="auto" w:fill="auto"/>
            <w:noWrap/>
            <w:vAlign w:val="center"/>
            <w:hideMark/>
          </w:tcPr>
          <w:p w14:paraId="35E71B3A"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£126,000</w:t>
            </w:r>
          </w:p>
        </w:tc>
        <w:tc>
          <w:tcPr>
            <w:tcW w:w="1154" w:type="pct"/>
            <w:shd w:val="clear" w:color="auto" w:fill="auto"/>
            <w:noWrap/>
            <w:vAlign w:val="center"/>
            <w:hideMark/>
          </w:tcPr>
          <w:p w14:paraId="7E0C4261"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£170,000</w:t>
            </w:r>
          </w:p>
        </w:tc>
        <w:tc>
          <w:tcPr>
            <w:tcW w:w="1058" w:type="pct"/>
            <w:shd w:val="clear" w:color="auto" w:fill="auto"/>
            <w:noWrap/>
            <w:vAlign w:val="center"/>
          </w:tcPr>
          <w:p w14:paraId="375B79ED"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£32,400</w:t>
            </w:r>
          </w:p>
        </w:tc>
        <w:tc>
          <w:tcPr>
            <w:tcW w:w="1164" w:type="pct"/>
            <w:shd w:val="clear" w:color="auto" w:fill="auto"/>
            <w:noWrap/>
            <w:vAlign w:val="center"/>
          </w:tcPr>
          <w:p w14:paraId="4B614826"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£43,714</w:t>
            </w:r>
          </w:p>
        </w:tc>
      </w:tr>
      <w:tr w:rsidR="001F27D2" w:rsidRPr="00580B37" w14:paraId="47567D68" w14:textId="77777777" w:rsidTr="00580B37">
        <w:trPr>
          <w:trHeight w:val="320"/>
        </w:trPr>
        <w:tc>
          <w:tcPr>
            <w:tcW w:w="552" w:type="pct"/>
            <w:shd w:val="clear" w:color="auto" w:fill="auto"/>
            <w:noWrap/>
            <w:vAlign w:val="center"/>
            <w:hideMark/>
          </w:tcPr>
          <w:p w14:paraId="68EE4B0E"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2006</w:t>
            </w:r>
          </w:p>
        </w:tc>
        <w:tc>
          <w:tcPr>
            <w:tcW w:w="1072" w:type="pct"/>
            <w:shd w:val="clear" w:color="auto" w:fill="auto"/>
            <w:noWrap/>
            <w:vAlign w:val="center"/>
            <w:hideMark/>
          </w:tcPr>
          <w:p w14:paraId="18C23D2B"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£135,000</w:t>
            </w:r>
          </w:p>
        </w:tc>
        <w:tc>
          <w:tcPr>
            <w:tcW w:w="1154" w:type="pct"/>
            <w:shd w:val="clear" w:color="auto" w:fill="auto"/>
            <w:noWrap/>
            <w:vAlign w:val="center"/>
            <w:hideMark/>
          </w:tcPr>
          <w:p w14:paraId="6EB14F5E"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£180,000</w:t>
            </w:r>
          </w:p>
        </w:tc>
        <w:tc>
          <w:tcPr>
            <w:tcW w:w="1058" w:type="pct"/>
            <w:shd w:val="clear" w:color="auto" w:fill="auto"/>
            <w:noWrap/>
            <w:vAlign w:val="center"/>
          </w:tcPr>
          <w:p w14:paraId="233EC48F"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£34,714</w:t>
            </w:r>
          </w:p>
        </w:tc>
        <w:tc>
          <w:tcPr>
            <w:tcW w:w="1164" w:type="pct"/>
            <w:shd w:val="clear" w:color="auto" w:fill="auto"/>
            <w:noWrap/>
            <w:vAlign w:val="center"/>
          </w:tcPr>
          <w:p w14:paraId="3A075BB8"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£46,286</w:t>
            </w:r>
          </w:p>
        </w:tc>
      </w:tr>
      <w:tr w:rsidR="001F27D2" w:rsidRPr="00580B37" w14:paraId="2C8B8FF7" w14:textId="77777777" w:rsidTr="00580B37">
        <w:trPr>
          <w:trHeight w:val="320"/>
        </w:trPr>
        <w:tc>
          <w:tcPr>
            <w:tcW w:w="552" w:type="pct"/>
            <w:shd w:val="clear" w:color="auto" w:fill="auto"/>
            <w:noWrap/>
            <w:vAlign w:val="center"/>
            <w:hideMark/>
          </w:tcPr>
          <w:p w14:paraId="5C15D745"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2007</w:t>
            </w:r>
          </w:p>
        </w:tc>
        <w:tc>
          <w:tcPr>
            <w:tcW w:w="1072" w:type="pct"/>
            <w:shd w:val="clear" w:color="auto" w:fill="auto"/>
            <w:noWrap/>
            <w:vAlign w:val="center"/>
            <w:hideMark/>
          </w:tcPr>
          <w:p w14:paraId="4CF05FC3"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£138,500</w:t>
            </w:r>
          </w:p>
        </w:tc>
        <w:tc>
          <w:tcPr>
            <w:tcW w:w="1154" w:type="pct"/>
            <w:shd w:val="clear" w:color="auto" w:fill="auto"/>
            <w:noWrap/>
            <w:vAlign w:val="center"/>
            <w:hideMark/>
          </w:tcPr>
          <w:p w14:paraId="3C9692AF"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£185,000</w:t>
            </w:r>
          </w:p>
        </w:tc>
        <w:tc>
          <w:tcPr>
            <w:tcW w:w="1058" w:type="pct"/>
            <w:shd w:val="clear" w:color="auto" w:fill="auto"/>
            <w:noWrap/>
            <w:vAlign w:val="center"/>
          </w:tcPr>
          <w:p w14:paraId="77860B0E"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£35,614</w:t>
            </w:r>
          </w:p>
        </w:tc>
        <w:tc>
          <w:tcPr>
            <w:tcW w:w="1164" w:type="pct"/>
            <w:shd w:val="clear" w:color="auto" w:fill="auto"/>
            <w:noWrap/>
            <w:vAlign w:val="center"/>
          </w:tcPr>
          <w:p w14:paraId="6C62FCDD"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£47,571</w:t>
            </w:r>
          </w:p>
        </w:tc>
      </w:tr>
      <w:tr w:rsidR="001F27D2" w:rsidRPr="00580B37" w14:paraId="63DA48EF" w14:textId="77777777" w:rsidTr="00580B37">
        <w:trPr>
          <w:trHeight w:val="320"/>
        </w:trPr>
        <w:tc>
          <w:tcPr>
            <w:tcW w:w="552" w:type="pct"/>
            <w:shd w:val="clear" w:color="auto" w:fill="auto"/>
            <w:noWrap/>
            <w:vAlign w:val="center"/>
            <w:hideMark/>
          </w:tcPr>
          <w:p w14:paraId="011EBCF1"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2008</w:t>
            </w:r>
          </w:p>
        </w:tc>
        <w:tc>
          <w:tcPr>
            <w:tcW w:w="1072" w:type="pct"/>
            <w:shd w:val="clear" w:color="auto" w:fill="auto"/>
            <w:noWrap/>
            <w:vAlign w:val="center"/>
            <w:hideMark/>
          </w:tcPr>
          <w:p w14:paraId="13432499"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£142,613</w:t>
            </w:r>
          </w:p>
        </w:tc>
        <w:tc>
          <w:tcPr>
            <w:tcW w:w="1154" w:type="pct"/>
            <w:shd w:val="clear" w:color="auto" w:fill="auto"/>
            <w:noWrap/>
            <w:vAlign w:val="center"/>
            <w:hideMark/>
          </w:tcPr>
          <w:p w14:paraId="11DFBA28"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£189,375</w:t>
            </w:r>
          </w:p>
        </w:tc>
        <w:tc>
          <w:tcPr>
            <w:tcW w:w="1058" w:type="pct"/>
            <w:shd w:val="clear" w:color="auto" w:fill="auto"/>
            <w:noWrap/>
            <w:vAlign w:val="center"/>
          </w:tcPr>
          <w:p w14:paraId="4EF554D4"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£36,672</w:t>
            </w:r>
          </w:p>
        </w:tc>
        <w:tc>
          <w:tcPr>
            <w:tcW w:w="1164" w:type="pct"/>
            <w:shd w:val="clear" w:color="auto" w:fill="auto"/>
            <w:noWrap/>
            <w:vAlign w:val="center"/>
          </w:tcPr>
          <w:p w14:paraId="34C4255E"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£48,696</w:t>
            </w:r>
          </w:p>
        </w:tc>
      </w:tr>
      <w:tr w:rsidR="001F27D2" w:rsidRPr="00580B37" w14:paraId="73A68942" w14:textId="77777777" w:rsidTr="00580B37">
        <w:trPr>
          <w:trHeight w:val="320"/>
        </w:trPr>
        <w:tc>
          <w:tcPr>
            <w:tcW w:w="552" w:type="pct"/>
            <w:shd w:val="clear" w:color="auto" w:fill="auto"/>
            <w:noWrap/>
            <w:vAlign w:val="center"/>
            <w:hideMark/>
          </w:tcPr>
          <w:p w14:paraId="482CE518"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2009</w:t>
            </w:r>
          </w:p>
        </w:tc>
        <w:tc>
          <w:tcPr>
            <w:tcW w:w="1072" w:type="pct"/>
            <w:shd w:val="clear" w:color="auto" w:fill="auto"/>
            <w:noWrap/>
            <w:vAlign w:val="center"/>
            <w:hideMark/>
          </w:tcPr>
          <w:p w14:paraId="7D5DB59D"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£135,000</w:t>
            </w:r>
          </w:p>
        </w:tc>
        <w:tc>
          <w:tcPr>
            <w:tcW w:w="1154" w:type="pct"/>
            <w:shd w:val="clear" w:color="auto" w:fill="auto"/>
            <w:noWrap/>
            <w:vAlign w:val="center"/>
            <w:hideMark/>
          </w:tcPr>
          <w:p w14:paraId="0F0D3775"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£172,500</w:t>
            </w:r>
          </w:p>
        </w:tc>
        <w:tc>
          <w:tcPr>
            <w:tcW w:w="1058" w:type="pct"/>
            <w:shd w:val="clear" w:color="auto" w:fill="auto"/>
            <w:noWrap/>
            <w:vAlign w:val="center"/>
          </w:tcPr>
          <w:p w14:paraId="09153AE1"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£34,714</w:t>
            </w:r>
          </w:p>
        </w:tc>
        <w:tc>
          <w:tcPr>
            <w:tcW w:w="1164" w:type="pct"/>
            <w:shd w:val="clear" w:color="auto" w:fill="auto"/>
            <w:noWrap/>
            <w:vAlign w:val="center"/>
          </w:tcPr>
          <w:p w14:paraId="0E808622"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£44,357</w:t>
            </w:r>
          </w:p>
        </w:tc>
      </w:tr>
      <w:tr w:rsidR="001F27D2" w:rsidRPr="00580B37" w14:paraId="7FE7CDC3" w14:textId="77777777" w:rsidTr="00580B37">
        <w:trPr>
          <w:trHeight w:val="320"/>
        </w:trPr>
        <w:tc>
          <w:tcPr>
            <w:tcW w:w="552" w:type="pct"/>
            <w:shd w:val="clear" w:color="auto" w:fill="auto"/>
            <w:noWrap/>
            <w:vAlign w:val="center"/>
            <w:hideMark/>
          </w:tcPr>
          <w:p w14:paraId="56ECB10C"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2010</w:t>
            </w:r>
          </w:p>
        </w:tc>
        <w:tc>
          <w:tcPr>
            <w:tcW w:w="1072" w:type="pct"/>
            <w:shd w:val="clear" w:color="auto" w:fill="auto"/>
            <w:noWrap/>
            <w:vAlign w:val="center"/>
            <w:hideMark/>
          </w:tcPr>
          <w:p w14:paraId="5150EDCE"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£135,000</w:t>
            </w:r>
          </w:p>
        </w:tc>
        <w:tc>
          <w:tcPr>
            <w:tcW w:w="1154" w:type="pct"/>
            <w:shd w:val="clear" w:color="auto" w:fill="auto"/>
            <w:noWrap/>
            <w:vAlign w:val="center"/>
            <w:hideMark/>
          </w:tcPr>
          <w:p w14:paraId="28BFC683"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£180,000</w:t>
            </w:r>
          </w:p>
        </w:tc>
        <w:tc>
          <w:tcPr>
            <w:tcW w:w="1058" w:type="pct"/>
            <w:shd w:val="clear" w:color="auto" w:fill="auto"/>
            <w:noWrap/>
            <w:vAlign w:val="center"/>
          </w:tcPr>
          <w:p w14:paraId="602F5ECA"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£34,714</w:t>
            </w:r>
          </w:p>
        </w:tc>
        <w:tc>
          <w:tcPr>
            <w:tcW w:w="1164" w:type="pct"/>
            <w:shd w:val="clear" w:color="auto" w:fill="auto"/>
            <w:noWrap/>
            <w:vAlign w:val="center"/>
          </w:tcPr>
          <w:p w14:paraId="14544500"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£46,286</w:t>
            </w:r>
          </w:p>
        </w:tc>
      </w:tr>
      <w:tr w:rsidR="001F27D2" w:rsidRPr="00580B37" w14:paraId="73156A40" w14:textId="77777777" w:rsidTr="00580B37">
        <w:trPr>
          <w:trHeight w:val="320"/>
        </w:trPr>
        <w:tc>
          <w:tcPr>
            <w:tcW w:w="552" w:type="pct"/>
            <w:shd w:val="clear" w:color="auto" w:fill="auto"/>
            <w:noWrap/>
            <w:vAlign w:val="center"/>
            <w:hideMark/>
          </w:tcPr>
          <w:p w14:paraId="7ACDBDF4"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2011</w:t>
            </w:r>
          </w:p>
        </w:tc>
        <w:tc>
          <w:tcPr>
            <w:tcW w:w="1072" w:type="pct"/>
            <w:shd w:val="clear" w:color="auto" w:fill="auto"/>
            <w:noWrap/>
            <w:vAlign w:val="center"/>
            <w:hideMark/>
          </w:tcPr>
          <w:p w14:paraId="41FD2D41"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£128,000</w:t>
            </w:r>
          </w:p>
        </w:tc>
        <w:tc>
          <w:tcPr>
            <w:tcW w:w="1154" w:type="pct"/>
            <w:shd w:val="clear" w:color="auto" w:fill="auto"/>
            <w:noWrap/>
            <w:vAlign w:val="center"/>
            <w:hideMark/>
          </w:tcPr>
          <w:p w14:paraId="28BDFAF2"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£170,000</w:t>
            </w:r>
          </w:p>
        </w:tc>
        <w:tc>
          <w:tcPr>
            <w:tcW w:w="1058" w:type="pct"/>
            <w:shd w:val="clear" w:color="auto" w:fill="auto"/>
            <w:noWrap/>
            <w:vAlign w:val="center"/>
          </w:tcPr>
          <w:p w14:paraId="1B50D1B6"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£32,914</w:t>
            </w:r>
          </w:p>
        </w:tc>
        <w:tc>
          <w:tcPr>
            <w:tcW w:w="1164" w:type="pct"/>
            <w:shd w:val="clear" w:color="auto" w:fill="auto"/>
            <w:noWrap/>
            <w:vAlign w:val="center"/>
          </w:tcPr>
          <w:p w14:paraId="0689E4A6"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£43,714</w:t>
            </w:r>
          </w:p>
        </w:tc>
      </w:tr>
      <w:tr w:rsidR="001F27D2" w:rsidRPr="00580B37" w14:paraId="7C72473D" w14:textId="77777777" w:rsidTr="00580B37">
        <w:trPr>
          <w:trHeight w:val="320"/>
        </w:trPr>
        <w:tc>
          <w:tcPr>
            <w:tcW w:w="552" w:type="pct"/>
            <w:shd w:val="clear" w:color="auto" w:fill="auto"/>
            <w:noWrap/>
            <w:vAlign w:val="center"/>
            <w:hideMark/>
          </w:tcPr>
          <w:p w14:paraId="179A1110"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2012</w:t>
            </w:r>
          </w:p>
        </w:tc>
        <w:tc>
          <w:tcPr>
            <w:tcW w:w="1072" w:type="pct"/>
            <w:shd w:val="clear" w:color="auto" w:fill="auto"/>
            <w:noWrap/>
            <w:vAlign w:val="center"/>
            <w:hideMark/>
          </w:tcPr>
          <w:p w14:paraId="0C8D5760"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£124,950</w:t>
            </w:r>
          </w:p>
        </w:tc>
        <w:tc>
          <w:tcPr>
            <w:tcW w:w="1154" w:type="pct"/>
            <w:shd w:val="clear" w:color="auto" w:fill="auto"/>
            <w:noWrap/>
            <w:vAlign w:val="center"/>
            <w:hideMark/>
          </w:tcPr>
          <w:p w14:paraId="255DB912"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£167,500</w:t>
            </w:r>
          </w:p>
        </w:tc>
        <w:tc>
          <w:tcPr>
            <w:tcW w:w="1058" w:type="pct"/>
            <w:shd w:val="clear" w:color="auto" w:fill="auto"/>
            <w:noWrap/>
            <w:vAlign w:val="center"/>
          </w:tcPr>
          <w:p w14:paraId="1791AE0D"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£32,130</w:t>
            </w:r>
          </w:p>
        </w:tc>
        <w:tc>
          <w:tcPr>
            <w:tcW w:w="1164" w:type="pct"/>
            <w:shd w:val="clear" w:color="auto" w:fill="auto"/>
            <w:noWrap/>
            <w:vAlign w:val="center"/>
          </w:tcPr>
          <w:p w14:paraId="4ACED947"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£43,071</w:t>
            </w:r>
          </w:p>
        </w:tc>
      </w:tr>
      <w:tr w:rsidR="001F27D2" w:rsidRPr="00580B37" w14:paraId="353A5154" w14:textId="77777777" w:rsidTr="00580B37">
        <w:trPr>
          <w:trHeight w:val="320"/>
        </w:trPr>
        <w:tc>
          <w:tcPr>
            <w:tcW w:w="552" w:type="pct"/>
            <w:shd w:val="clear" w:color="auto" w:fill="auto"/>
            <w:noWrap/>
            <w:vAlign w:val="center"/>
            <w:hideMark/>
          </w:tcPr>
          <w:p w14:paraId="4723F62E"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2013</w:t>
            </w:r>
          </w:p>
        </w:tc>
        <w:tc>
          <w:tcPr>
            <w:tcW w:w="1072" w:type="pct"/>
            <w:shd w:val="clear" w:color="auto" w:fill="auto"/>
            <w:noWrap/>
            <w:vAlign w:val="center"/>
            <w:hideMark/>
          </w:tcPr>
          <w:p w14:paraId="49A828D7"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£125,000</w:t>
            </w:r>
          </w:p>
        </w:tc>
        <w:tc>
          <w:tcPr>
            <w:tcW w:w="1154" w:type="pct"/>
            <w:shd w:val="clear" w:color="auto" w:fill="auto"/>
            <w:noWrap/>
            <w:vAlign w:val="center"/>
            <w:hideMark/>
          </w:tcPr>
          <w:p w14:paraId="533389AF"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£171,975</w:t>
            </w:r>
          </w:p>
        </w:tc>
        <w:tc>
          <w:tcPr>
            <w:tcW w:w="1058" w:type="pct"/>
            <w:shd w:val="clear" w:color="auto" w:fill="auto"/>
            <w:noWrap/>
            <w:vAlign w:val="center"/>
          </w:tcPr>
          <w:p w14:paraId="7B35E6A5"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£32,143</w:t>
            </w:r>
          </w:p>
        </w:tc>
        <w:tc>
          <w:tcPr>
            <w:tcW w:w="1164" w:type="pct"/>
            <w:shd w:val="clear" w:color="auto" w:fill="auto"/>
            <w:noWrap/>
            <w:vAlign w:val="center"/>
          </w:tcPr>
          <w:p w14:paraId="5DDE539B"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£44,222</w:t>
            </w:r>
          </w:p>
        </w:tc>
      </w:tr>
      <w:tr w:rsidR="001F27D2" w:rsidRPr="00580B37" w14:paraId="014DDCAE" w14:textId="77777777" w:rsidTr="00580B37">
        <w:trPr>
          <w:trHeight w:val="320"/>
        </w:trPr>
        <w:tc>
          <w:tcPr>
            <w:tcW w:w="552" w:type="pct"/>
            <w:shd w:val="clear" w:color="auto" w:fill="auto"/>
            <w:noWrap/>
            <w:vAlign w:val="center"/>
            <w:hideMark/>
          </w:tcPr>
          <w:p w14:paraId="194ECC33"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2014</w:t>
            </w:r>
          </w:p>
        </w:tc>
        <w:tc>
          <w:tcPr>
            <w:tcW w:w="1072" w:type="pct"/>
            <w:shd w:val="clear" w:color="auto" w:fill="auto"/>
            <w:noWrap/>
            <w:vAlign w:val="center"/>
            <w:hideMark/>
          </w:tcPr>
          <w:p w14:paraId="7EFC7B58"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£131,000</w:t>
            </w:r>
          </w:p>
        </w:tc>
        <w:tc>
          <w:tcPr>
            <w:tcW w:w="1154" w:type="pct"/>
            <w:shd w:val="clear" w:color="auto" w:fill="auto"/>
            <w:noWrap/>
            <w:vAlign w:val="center"/>
            <w:hideMark/>
          </w:tcPr>
          <w:p w14:paraId="3714CF5D"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£175,000</w:t>
            </w:r>
          </w:p>
        </w:tc>
        <w:tc>
          <w:tcPr>
            <w:tcW w:w="1058" w:type="pct"/>
            <w:shd w:val="clear" w:color="auto" w:fill="auto"/>
            <w:noWrap/>
            <w:vAlign w:val="center"/>
          </w:tcPr>
          <w:p w14:paraId="3463E7F2"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£33,686</w:t>
            </w:r>
          </w:p>
        </w:tc>
        <w:tc>
          <w:tcPr>
            <w:tcW w:w="1164" w:type="pct"/>
            <w:shd w:val="clear" w:color="auto" w:fill="auto"/>
            <w:noWrap/>
            <w:vAlign w:val="center"/>
          </w:tcPr>
          <w:p w14:paraId="77C5FB7D"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£45,000</w:t>
            </w:r>
          </w:p>
        </w:tc>
      </w:tr>
      <w:tr w:rsidR="001F27D2" w:rsidRPr="00580B37" w14:paraId="67578231" w14:textId="77777777" w:rsidTr="00580B37">
        <w:trPr>
          <w:trHeight w:val="320"/>
        </w:trPr>
        <w:tc>
          <w:tcPr>
            <w:tcW w:w="552" w:type="pct"/>
            <w:shd w:val="clear" w:color="auto" w:fill="auto"/>
            <w:noWrap/>
            <w:vAlign w:val="center"/>
            <w:hideMark/>
          </w:tcPr>
          <w:p w14:paraId="2317B2D7"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2015</w:t>
            </w:r>
          </w:p>
        </w:tc>
        <w:tc>
          <w:tcPr>
            <w:tcW w:w="1072" w:type="pct"/>
            <w:shd w:val="clear" w:color="auto" w:fill="auto"/>
            <w:noWrap/>
            <w:vAlign w:val="center"/>
            <w:hideMark/>
          </w:tcPr>
          <w:p w14:paraId="5F349B5A"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£137,000</w:t>
            </w:r>
          </w:p>
        </w:tc>
        <w:tc>
          <w:tcPr>
            <w:tcW w:w="1154" w:type="pct"/>
            <w:shd w:val="clear" w:color="auto" w:fill="auto"/>
            <w:noWrap/>
            <w:vAlign w:val="center"/>
            <w:hideMark/>
          </w:tcPr>
          <w:p w14:paraId="0038A859"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£185,000</w:t>
            </w:r>
          </w:p>
        </w:tc>
        <w:tc>
          <w:tcPr>
            <w:tcW w:w="1058" w:type="pct"/>
            <w:shd w:val="clear" w:color="auto" w:fill="auto"/>
            <w:noWrap/>
            <w:vAlign w:val="center"/>
          </w:tcPr>
          <w:p w14:paraId="189F15A2"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£35,229</w:t>
            </w:r>
          </w:p>
        </w:tc>
        <w:tc>
          <w:tcPr>
            <w:tcW w:w="1164" w:type="pct"/>
            <w:shd w:val="clear" w:color="auto" w:fill="auto"/>
            <w:noWrap/>
            <w:vAlign w:val="center"/>
          </w:tcPr>
          <w:p w14:paraId="2A0D9D47"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£47,571</w:t>
            </w:r>
          </w:p>
        </w:tc>
      </w:tr>
      <w:tr w:rsidR="001F27D2" w:rsidRPr="00580B37" w14:paraId="4078E5A4" w14:textId="77777777" w:rsidTr="00580B37">
        <w:trPr>
          <w:trHeight w:val="320"/>
        </w:trPr>
        <w:tc>
          <w:tcPr>
            <w:tcW w:w="552" w:type="pct"/>
            <w:shd w:val="clear" w:color="auto" w:fill="auto"/>
            <w:noWrap/>
            <w:vAlign w:val="center"/>
            <w:hideMark/>
          </w:tcPr>
          <w:p w14:paraId="232A7635"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2016</w:t>
            </w:r>
          </w:p>
        </w:tc>
        <w:tc>
          <w:tcPr>
            <w:tcW w:w="1072" w:type="pct"/>
            <w:shd w:val="clear" w:color="auto" w:fill="auto"/>
            <w:noWrap/>
            <w:vAlign w:val="center"/>
            <w:hideMark/>
          </w:tcPr>
          <w:p w14:paraId="2F059204"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£133,000</w:t>
            </w:r>
          </w:p>
        </w:tc>
        <w:tc>
          <w:tcPr>
            <w:tcW w:w="1154" w:type="pct"/>
            <w:shd w:val="clear" w:color="auto" w:fill="auto"/>
            <w:noWrap/>
            <w:vAlign w:val="center"/>
            <w:hideMark/>
          </w:tcPr>
          <w:p w14:paraId="03BF773A"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£181,998</w:t>
            </w:r>
          </w:p>
        </w:tc>
        <w:tc>
          <w:tcPr>
            <w:tcW w:w="1058" w:type="pct"/>
            <w:shd w:val="clear" w:color="auto" w:fill="auto"/>
            <w:noWrap/>
            <w:vAlign w:val="center"/>
          </w:tcPr>
          <w:p w14:paraId="634DA264"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£34,200</w:t>
            </w:r>
          </w:p>
        </w:tc>
        <w:tc>
          <w:tcPr>
            <w:tcW w:w="1164" w:type="pct"/>
            <w:shd w:val="clear" w:color="auto" w:fill="auto"/>
            <w:noWrap/>
            <w:vAlign w:val="center"/>
          </w:tcPr>
          <w:p w14:paraId="345BCA9E"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£46,799</w:t>
            </w:r>
          </w:p>
        </w:tc>
      </w:tr>
      <w:tr w:rsidR="001F27D2" w:rsidRPr="00580B37" w14:paraId="6D3CA7FD" w14:textId="77777777" w:rsidTr="00580B37">
        <w:trPr>
          <w:trHeight w:val="320"/>
        </w:trPr>
        <w:tc>
          <w:tcPr>
            <w:tcW w:w="552" w:type="pct"/>
            <w:shd w:val="clear" w:color="auto" w:fill="auto"/>
            <w:noWrap/>
            <w:vAlign w:val="center"/>
            <w:hideMark/>
          </w:tcPr>
          <w:p w14:paraId="790EA109"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2017</w:t>
            </w:r>
          </w:p>
        </w:tc>
        <w:tc>
          <w:tcPr>
            <w:tcW w:w="1072" w:type="pct"/>
            <w:shd w:val="clear" w:color="auto" w:fill="auto"/>
            <w:noWrap/>
            <w:vAlign w:val="center"/>
            <w:hideMark/>
          </w:tcPr>
          <w:p w14:paraId="4144DC04"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£130,000</w:t>
            </w:r>
          </w:p>
        </w:tc>
        <w:tc>
          <w:tcPr>
            <w:tcW w:w="1154" w:type="pct"/>
            <w:shd w:val="clear" w:color="auto" w:fill="auto"/>
            <w:noWrap/>
            <w:vAlign w:val="center"/>
            <w:hideMark/>
          </w:tcPr>
          <w:p w14:paraId="09B96823"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£187,475</w:t>
            </w:r>
          </w:p>
        </w:tc>
        <w:tc>
          <w:tcPr>
            <w:tcW w:w="1058" w:type="pct"/>
            <w:shd w:val="clear" w:color="auto" w:fill="auto"/>
            <w:noWrap/>
            <w:vAlign w:val="center"/>
          </w:tcPr>
          <w:p w14:paraId="28DCC2A9"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£33,429</w:t>
            </w:r>
          </w:p>
        </w:tc>
        <w:tc>
          <w:tcPr>
            <w:tcW w:w="1164" w:type="pct"/>
            <w:shd w:val="clear" w:color="auto" w:fill="auto"/>
            <w:noWrap/>
            <w:vAlign w:val="center"/>
          </w:tcPr>
          <w:p w14:paraId="38248CDC"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£48,208</w:t>
            </w:r>
          </w:p>
        </w:tc>
      </w:tr>
    </w:tbl>
    <w:p w14:paraId="78DB10FE" w14:textId="77777777" w:rsidR="00580B37" w:rsidRDefault="00580B37" w:rsidP="00580B37">
      <w:pPr>
        <w:ind w:left="720"/>
        <w:rPr>
          <w:rFonts w:cs="Calibri"/>
          <w:sz w:val="20"/>
          <w:szCs w:val="20"/>
        </w:rPr>
      </w:pPr>
      <w:r w:rsidRPr="002B2A7F">
        <w:rPr>
          <w:rFonts w:asciiTheme="minorHAnsi" w:hAnsiTheme="minorHAnsi" w:cs="Calibri"/>
          <w:sz w:val="20"/>
          <w:szCs w:val="20"/>
        </w:rPr>
        <w:t>Source: Data produced by Land Registry © Crown copyright 2018</w:t>
      </w:r>
      <w:r>
        <w:rPr>
          <w:rFonts w:asciiTheme="minorHAnsi" w:hAnsiTheme="minorHAnsi" w:cs="Calibri"/>
          <w:sz w:val="20"/>
          <w:szCs w:val="20"/>
        </w:rPr>
        <w:t>.  This data is licensed under the Open Government Licence v3.0</w:t>
      </w:r>
    </w:p>
    <w:p w14:paraId="2F111879" w14:textId="77777777" w:rsidR="001F27D2" w:rsidRPr="002B2A7F" w:rsidRDefault="001F27D2" w:rsidP="001F27D2">
      <w:pPr>
        <w:pStyle w:val="Maintext"/>
        <w:numPr>
          <w:ilvl w:val="0"/>
          <w:numId w:val="0"/>
        </w:numPr>
        <w:ind w:left="720"/>
        <w:rPr>
          <w:rFonts w:asciiTheme="minorHAnsi" w:hAnsiTheme="minorHAnsi" w:cs="Calibri"/>
          <w:color w:val="000000"/>
          <w:sz w:val="20"/>
          <w:szCs w:val="20"/>
        </w:rPr>
      </w:pPr>
      <w:r w:rsidRPr="002B2A7F">
        <w:rPr>
          <w:rFonts w:asciiTheme="minorHAnsi" w:hAnsiTheme="minorHAnsi" w:cs="Calibri"/>
          <w:color w:val="000000"/>
          <w:sz w:val="20"/>
          <w:szCs w:val="20"/>
        </w:rPr>
        <w:t>*Assuming a 3.5x income multiple and a 10% deposit is available</w:t>
      </w:r>
    </w:p>
    <w:p w14:paraId="3DE4B8AB" w14:textId="77777777" w:rsidR="001F27D2" w:rsidRPr="002B2A7F" w:rsidRDefault="001F27D2" w:rsidP="001F27D2">
      <w:pPr>
        <w:pStyle w:val="Maintext"/>
        <w:numPr>
          <w:ilvl w:val="0"/>
          <w:numId w:val="0"/>
        </w:numPr>
        <w:rPr>
          <w:rFonts w:asciiTheme="minorHAnsi" w:hAnsiTheme="minorHAnsi" w:cs="Calibri"/>
        </w:rPr>
      </w:pPr>
    </w:p>
    <w:p w14:paraId="0A8D4261" w14:textId="77777777" w:rsidR="001F27D2" w:rsidRPr="002B2A7F" w:rsidRDefault="001F27D2" w:rsidP="001F27D2">
      <w:pPr>
        <w:pStyle w:val="Reporttext"/>
      </w:pPr>
      <w:r w:rsidRPr="002B2A7F">
        <w:t>A selection of socio-economic and demographic information on residents has been obtained from the 2011 Census. Some interesting observations relating to owner-occupiers are:</w:t>
      </w:r>
    </w:p>
    <w:p w14:paraId="683836F0" w14:textId="77777777" w:rsidR="001F27D2" w:rsidRPr="002B2A7F" w:rsidRDefault="001F27D2" w:rsidP="001F27D2">
      <w:pPr>
        <w:pStyle w:val="bullet"/>
        <w:spacing w:before="0"/>
        <w:jc w:val="left"/>
        <w:rPr>
          <w:rFonts w:asciiTheme="minorHAnsi" w:hAnsiTheme="minorHAnsi"/>
        </w:rPr>
      </w:pPr>
      <w:r w:rsidRPr="002B2A7F">
        <w:rPr>
          <w:rFonts w:asciiTheme="minorHAnsi" w:hAnsiTheme="minorHAnsi"/>
        </w:rPr>
        <w:t>35.1% of owner occupiers are older (65 or over) singles and couples, 23% are families (under 65 with no children), 16.6% are couples with children under 18, 8.9% are singles (under 65), 10.6% are couples with adult children, 1.8% are lone parents with adult children, 1.6% are lone parents with children under 18 and 2.4% are other household types;</w:t>
      </w:r>
    </w:p>
    <w:p w14:paraId="4FA07BC4" w14:textId="6B4C62CF" w:rsidR="001F27D2" w:rsidRPr="002B2A7F" w:rsidRDefault="001F27D2" w:rsidP="001F27D2">
      <w:pPr>
        <w:pStyle w:val="bullet"/>
        <w:spacing w:before="0"/>
        <w:jc w:val="left"/>
        <w:rPr>
          <w:rFonts w:asciiTheme="minorHAnsi" w:hAnsiTheme="minorHAnsi"/>
        </w:rPr>
      </w:pPr>
      <w:r w:rsidRPr="002B2A7F">
        <w:rPr>
          <w:rFonts w:asciiTheme="minorHAnsi" w:hAnsiTheme="minorHAnsi"/>
        </w:rPr>
        <w:t>55.5% of household reference persons</w:t>
      </w:r>
      <w:r w:rsidR="00E90BA5">
        <w:rPr>
          <w:rFonts w:asciiTheme="minorHAnsi" w:hAnsiTheme="minorHAnsi"/>
        </w:rPr>
        <w:t xml:space="preserve"> (HRP)</w:t>
      </w:r>
      <w:r w:rsidRPr="002B2A7F">
        <w:rPr>
          <w:rFonts w:asciiTheme="minorHAnsi" w:hAnsiTheme="minorHAnsi"/>
        </w:rPr>
        <w:t>(heads of household) living in owner occupied dwellings are in employment and a further 41.8% are wholly retired from work and 2.7% are not economically active;</w:t>
      </w:r>
    </w:p>
    <w:p w14:paraId="5AB8DB3A" w14:textId="77777777" w:rsidR="001F27D2" w:rsidRPr="002B2A7F" w:rsidRDefault="001F27D2" w:rsidP="001F27D2">
      <w:pPr>
        <w:pStyle w:val="bullet"/>
        <w:spacing w:before="0"/>
        <w:jc w:val="left"/>
        <w:rPr>
          <w:rFonts w:asciiTheme="minorHAnsi" w:hAnsiTheme="minorHAnsi"/>
        </w:rPr>
      </w:pPr>
      <w:r w:rsidRPr="002B2A7F">
        <w:rPr>
          <w:rFonts w:asciiTheme="minorHAnsi" w:hAnsiTheme="minorHAnsi"/>
        </w:rPr>
        <w:t xml:space="preserve">6% of household reference people are aged under 35 (but this represents 49% of all HRPs aged under 35), 40.7% are aged 35-59 (representing 64.7% of this age group) and 53.3% are aged 60 and over (representing 78.3% of this age group). </w:t>
      </w:r>
    </w:p>
    <w:p w14:paraId="00BF35C9" w14:textId="77777777" w:rsidR="001F27D2" w:rsidRPr="002B2A7F" w:rsidRDefault="001F27D2" w:rsidP="001F27D2">
      <w:pPr>
        <w:pStyle w:val="bullet"/>
        <w:numPr>
          <w:ilvl w:val="0"/>
          <w:numId w:val="0"/>
        </w:numPr>
        <w:ind w:left="1069"/>
        <w:rPr>
          <w:rFonts w:asciiTheme="minorHAnsi" w:hAnsiTheme="minorHAnsi"/>
          <w:highlight w:val="yellow"/>
        </w:rPr>
      </w:pPr>
    </w:p>
    <w:p w14:paraId="427F2135" w14:textId="77777777" w:rsidR="001F27D2" w:rsidRPr="002B2A7F" w:rsidRDefault="001F27D2" w:rsidP="001F27D2">
      <w:pPr>
        <w:pStyle w:val="Heading2"/>
        <w:rPr>
          <w:rFonts w:asciiTheme="minorHAnsi" w:hAnsiTheme="minorHAnsi"/>
        </w:rPr>
      </w:pPr>
      <w:bookmarkStart w:id="329" w:name="_Toc510020181"/>
      <w:bookmarkStart w:id="330" w:name="_Toc395193557"/>
      <w:bookmarkStart w:id="331" w:name="_Toc524935583"/>
      <w:bookmarkStart w:id="332" w:name="_Toc531122876"/>
      <w:bookmarkStart w:id="333" w:name="_Toc532812408"/>
      <w:r w:rsidRPr="002B2A7F">
        <w:rPr>
          <w:rFonts w:asciiTheme="minorHAnsi" w:hAnsiTheme="minorHAnsi"/>
        </w:rPr>
        <w:lastRenderedPageBreak/>
        <w:t>The private rented sector</w:t>
      </w:r>
      <w:bookmarkEnd w:id="329"/>
      <w:bookmarkEnd w:id="330"/>
      <w:bookmarkEnd w:id="331"/>
      <w:bookmarkEnd w:id="332"/>
      <w:bookmarkEnd w:id="333"/>
    </w:p>
    <w:p w14:paraId="2229C925" w14:textId="77777777" w:rsidR="001F27D2" w:rsidRPr="002B2A7F" w:rsidRDefault="001F27D2" w:rsidP="001F27D2">
      <w:pPr>
        <w:pStyle w:val="Reporttext"/>
      </w:pPr>
      <w:r w:rsidRPr="002B2A7F">
        <w:t>The Government’s Housing Strategy (November 2011)</w:t>
      </w:r>
      <w:r w:rsidRPr="002B2A7F">
        <w:rPr>
          <w:vertAlign w:val="superscript"/>
        </w:rPr>
        <w:footnoteReference w:id="11"/>
      </w:r>
      <w:r w:rsidRPr="002B2A7F">
        <w:t>, set out the Government’s plans to boost housing supply. It recognised an increasingly important role for the private rented sector, both in meeting people’s housing needs and in supporting economic growth by enabling people to move to take up jobs elsewhere and to respond to changing circumstances. This policy priority was strengthened by the updated National Planning Policy Framework (NPPF) in 2018.</w:t>
      </w:r>
    </w:p>
    <w:p w14:paraId="38165C0B" w14:textId="77777777" w:rsidR="001F27D2" w:rsidRPr="002B2A7F" w:rsidRDefault="001F27D2" w:rsidP="001F27D2">
      <w:pPr>
        <w:pStyle w:val="Reporttext"/>
      </w:pPr>
      <w:r w:rsidRPr="002B2A7F">
        <w:t>The private rented sector in England is growing. Census data states that the proportion of private rented sector homes nearly doubled from 8.8% in 2001 to 16.8% in 2011. Increasing house prices pre-2007 and the struggling sales market due to tightening mortgage lending criteria are both factors that have underpinned the growth of the rental market for both ‘active choice’ renters and ‘frustrated would-be’ homeowners. Tenure reform and less accessible social rented housing are also likely to be an increasing factor to the growth in the private rented sector and the sector clearly now plays a pivotal role in meeting housing needs as well as providing an alternative to homeownership.</w:t>
      </w:r>
    </w:p>
    <w:p w14:paraId="4CD5F666" w14:textId="77777777" w:rsidR="001F27D2" w:rsidRPr="002B2A7F" w:rsidRDefault="001F27D2" w:rsidP="001F27D2">
      <w:pPr>
        <w:pStyle w:val="Reporttext"/>
      </w:pPr>
      <w:r w:rsidRPr="002B2A7F">
        <w:t>Local authorities have an important role in regulating the private rented sector with the aim of balancing good quality supply with demand to stabilise rents and encouraging good quality management will improve the reputation of the sector and encourage longer term lets and lower turnover. However, this is a challenging task where existing partners need to be encouraged to participate and new partners and investors need to be identified.</w:t>
      </w:r>
    </w:p>
    <w:p w14:paraId="475A902E" w14:textId="77777777" w:rsidR="001F27D2" w:rsidRPr="002B2A7F" w:rsidRDefault="001F27D2" w:rsidP="001F27D2">
      <w:pPr>
        <w:pStyle w:val="Reporttext"/>
      </w:pPr>
      <w:r w:rsidRPr="002B2A7F">
        <w:t xml:space="preserve">According to the 2011 Census the private rented sector accommodated around 18.6% of households across Eden District. It is estimated there are around 4,410 private rented dwellings across the District in 2018: </w:t>
      </w:r>
    </w:p>
    <w:p w14:paraId="785A087A" w14:textId="77777777" w:rsidR="001F27D2" w:rsidRPr="002B2A7F" w:rsidRDefault="001F27D2" w:rsidP="001F27D2">
      <w:pPr>
        <w:pStyle w:val="bullet"/>
        <w:spacing w:before="0"/>
        <w:jc w:val="left"/>
        <w:rPr>
          <w:rFonts w:asciiTheme="minorHAnsi" w:hAnsiTheme="minorHAnsi"/>
        </w:rPr>
      </w:pPr>
      <w:r w:rsidRPr="002B2A7F">
        <w:rPr>
          <w:rFonts w:asciiTheme="minorHAnsi" w:hAnsiTheme="minorHAnsi"/>
        </w:rPr>
        <w:t>73.7% of private rented dwellings were houses (25.7% detached, 26.1% semi-detached and 21.9% terraced), 8.4% were bungalows, 17.6% were flats and 0.3% were other property types;</w:t>
      </w:r>
    </w:p>
    <w:p w14:paraId="3104335F" w14:textId="77777777" w:rsidR="001F27D2" w:rsidRPr="002B2A7F" w:rsidRDefault="001F27D2" w:rsidP="001F27D2">
      <w:pPr>
        <w:pStyle w:val="bullet"/>
        <w:spacing w:before="0"/>
        <w:jc w:val="left"/>
        <w:rPr>
          <w:rFonts w:asciiTheme="minorHAnsi" w:hAnsiTheme="minorHAnsi"/>
        </w:rPr>
      </w:pPr>
      <w:r w:rsidRPr="002B2A7F">
        <w:rPr>
          <w:rFonts w:asciiTheme="minorHAnsi" w:hAnsiTheme="minorHAnsi"/>
        </w:rPr>
        <w:t>13.5% of private rented dwellings have one bedroom, 38.3% have two bedrooms, 33.9% have three bedrooms and 14.3% have four or more bedrooms.</w:t>
      </w:r>
    </w:p>
    <w:p w14:paraId="09339184" w14:textId="77777777" w:rsidR="001F27D2" w:rsidRPr="002B2A7F" w:rsidRDefault="001F27D2" w:rsidP="001F27D2">
      <w:pPr>
        <w:pStyle w:val="Reporttext"/>
      </w:pPr>
      <w:r w:rsidRPr="002B2A7F">
        <w:t>Some interesting observations relating to private renters are:</w:t>
      </w:r>
    </w:p>
    <w:p w14:paraId="1A622BCE" w14:textId="10240F53" w:rsidR="001F27D2" w:rsidRPr="002B2A7F" w:rsidRDefault="001F27D2" w:rsidP="001F27D2">
      <w:pPr>
        <w:pStyle w:val="bullet"/>
        <w:spacing w:before="0"/>
        <w:jc w:val="left"/>
        <w:rPr>
          <w:rFonts w:asciiTheme="minorHAnsi" w:hAnsiTheme="minorHAnsi"/>
        </w:rPr>
      </w:pPr>
      <w:r w:rsidRPr="002B2A7F">
        <w:rPr>
          <w:rFonts w:asciiTheme="minorHAnsi" w:hAnsiTheme="minorHAnsi"/>
        </w:rPr>
        <w:t>30.9% are singles under 60, 22.3% are couples (no children), 17.7% are older (65 or over) singles and couples, 17.4% are families (under 65 with no children), 16.6% are couples with children under 18, 5.4% are couples with adult children,</w:t>
      </w:r>
      <w:r w:rsidR="001860AC">
        <w:rPr>
          <w:rFonts w:asciiTheme="minorHAnsi" w:hAnsiTheme="minorHAnsi"/>
        </w:rPr>
        <w:t xml:space="preserve"> </w:t>
      </w:r>
      <w:r w:rsidRPr="002B2A7F">
        <w:rPr>
          <w:rFonts w:asciiTheme="minorHAnsi" w:hAnsiTheme="minorHAnsi"/>
        </w:rPr>
        <w:t>3.7% are lone parents with adult children, 0.9% are lone parents and 1.6% are other household types;</w:t>
      </w:r>
    </w:p>
    <w:p w14:paraId="43372FD0" w14:textId="77777777" w:rsidR="001F27D2" w:rsidRPr="002B2A7F" w:rsidRDefault="001F27D2" w:rsidP="001F27D2">
      <w:pPr>
        <w:pStyle w:val="bullet"/>
        <w:spacing w:before="0"/>
        <w:jc w:val="left"/>
        <w:rPr>
          <w:rFonts w:asciiTheme="minorHAnsi" w:hAnsiTheme="minorHAnsi"/>
        </w:rPr>
      </w:pPr>
      <w:r w:rsidRPr="002B2A7F">
        <w:rPr>
          <w:rFonts w:asciiTheme="minorHAnsi" w:hAnsiTheme="minorHAnsi"/>
        </w:rPr>
        <w:t>71.9% of household reference persons (heads of household) living in private rented dwellings are in employment and a further 19.4% are wholly retired from work and 8.8% are not economically active;</w:t>
      </w:r>
    </w:p>
    <w:p w14:paraId="37321E52" w14:textId="77777777" w:rsidR="001F27D2" w:rsidRPr="002B2A7F" w:rsidRDefault="001F27D2" w:rsidP="001F27D2">
      <w:pPr>
        <w:pStyle w:val="bullet"/>
        <w:spacing w:before="0"/>
        <w:jc w:val="left"/>
        <w:rPr>
          <w:rFonts w:asciiTheme="minorHAnsi" w:hAnsiTheme="minorHAnsi"/>
        </w:rPr>
      </w:pPr>
      <w:r w:rsidRPr="002B2A7F">
        <w:rPr>
          <w:rFonts w:asciiTheme="minorHAnsi" w:hAnsiTheme="minorHAnsi"/>
        </w:rPr>
        <w:t xml:space="preserve">17.1% of household reference people are aged under 35 (which represents 37.5% of HRPs in this age group), 56.2% are aged 35-59 (representing 24% of HRPs in the </w:t>
      </w:r>
      <w:r w:rsidRPr="002B2A7F">
        <w:rPr>
          <w:rFonts w:asciiTheme="minorHAnsi" w:hAnsiTheme="minorHAnsi"/>
        </w:rPr>
        <w:lastRenderedPageBreak/>
        <w:t xml:space="preserve">age group) and 26.7% are aged 60 and over (representing 10% of HRPs in this age group). </w:t>
      </w:r>
    </w:p>
    <w:p w14:paraId="18C20EE0" w14:textId="41286812" w:rsidR="001F27D2" w:rsidRPr="002B2A7F" w:rsidRDefault="001F27D2" w:rsidP="001F27D2">
      <w:pPr>
        <w:pStyle w:val="Reporttext"/>
      </w:pPr>
      <w:r w:rsidRPr="002B2A7F">
        <w:t xml:space="preserve">In terms of the cost of renting, Tables 4.6 and 4.7 set out the comparative median and lower quartile rents for Eden, the </w:t>
      </w:r>
      <w:r w:rsidR="001860AC">
        <w:t xml:space="preserve">NW </w:t>
      </w:r>
      <w:r w:rsidRPr="002B2A7F">
        <w:t>region and England as a whole. The tables indicate that 2017 median (£550 pcm) rents were comparable to the regional average but around half the national average; and lower quartile (£477 pcm) were higher than regional rental prices</w:t>
      </w:r>
      <w:r w:rsidR="001860AC">
        <w:t xml:space="preserve"> but</w:t>
      </w:r>
      <w:r w:rsidRPr="002B2A7F">
        <w:t xml:space="preserve"> are lower than the national level.  </w:t>
      </w:r>
    </w:p>
    <w:p w14:paraId="67C16E1B" w14:textId="2BC7218B" w:rsidR="001F27D2" w:rsidRPr="00E76510" w:rsidRDefault="001F27D2" w:rsidP="001F27D2">
      <w:pPr>
        <w:pStyle w:val="Reporttext"/>
      </w:pPr>
      <w:r w:rsidRPr="00E76510">
        <w:t xml:space="preserve">Comparing the rental price in 2017 with that in 2010 indicates that there has been an inflation increase of around </w:t>
      </w:r>
      <w:r w:rsidR="00D256ED" w:rsidRPr="00E76510">
        <w:t>7% in lower quartile and 10.4</w:t>
      </w:r>
      <w:r w:rsidRPr="00E76510">
        <w:t xml:space="preserve">% in median rental prices in Eden. This is a </w:t>
      </w:r>
      <w:r w:rsidR="00E76510" w:rsidRPr="00E76510">
        <w:t>higher</w:t>
      </w:r>
      <w:r w:rsidRPr="00E76510">
        <w:t xml:space="preserve"> rate of change than for the region </w:t>
      </w:r>
      <w:r w:rsidR="00E76510" w:rsidRPr="00E76510">
        <w:t>but a</w:t>
      </w:r>
      <w:r w:rsidRPr="00E76510">
        <w:t xml:space="preserve"> lower rate of change than for England as a whole.</w:t>
      </w:r>
    </w:p>
    <w:p w14:paraId="02A9EDA2" w14:textId="77777777" w:rsidR="001F27D2" w:rsidRPr="002B2A7F" w:rsidRDefault="001F27D2" w:rsidP="001F27D2">
      <w:pPr>
        <w:pStyle w:val="Reporttext"/>
        <w:numPr>
          <w:ilvl w:val="0"/>
          <w:numId w:val="0"/>
        </w:numPr>
        <w:ind w:left="709"/>
        <w:rPr>
          <w:highlight w:val="yellow"/>
        </w:rPr>
      </w:pPr>
    </w:p>
    <w:tbl>
      <w:tblPr>
        <w:tblW w:w="8602" w:type="dxa"/>
        <w:tblInd w:w="720"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223"/>
        <w:gridCol w:w="1985"/>
        <w:gridCol w:w="1701"/>
        <w:gridCol w:w="2693"/>
      </w:tblGrid>
      <w:tr w:rsidR="001F27D2" w:rsidRPr="00580B37" w14:paraId="5538D5F8" w14:textId="77777777" w:rsidTr="001F27D2">
        <w:tc>
          <w:tcPr>
            <w:tcW w:w="8602" w:type="dxa"/>
            <w:gridSpan w:val="4"/>
            <w:shd w:val="clear" w:color="000000" w:fill="009999"/>
            <w:vAlign w:val="center"/>
            <w:hideMark/>
          </w:tcPr>
          <w:p w14:paraId="4C0E21F0" w14:textId="77777777" w:rsidR="001F27D2" w:rsidRPr="00580B37" w:rsidRDefault="001F27D2" w:rsidP="00580B37">
            <w:pPr>
              <w:pStyle w:val="Tableheading1"/>
            </w:pPr>
            <w:bookmarkStart w:id="334" w:name="RANGE!B31"/>
            <w:bookmarkStart w:id="335" w:name="_Toc524935671"/>
            <w:bookmarkStart w:id="336" w:name="_Toc531122942"/>
            <w:bookmarkStart w:id="337" w:name="_Toc532812477"/>
            <w:r w:rsidRPr="00580B37">
              <w:t>Table 4.6</w:t>
            </w:r>
            <w:r w:rsidRPr="00580B37">
              <w:tab/>
              <w:t>Comparative median rental price 2010-2017</w:t>
            </w:r>
            <w:bookmarkEnd w:id="334"/>
            <w:bookmarkEnd w:id="335"/>
            <w:bookmarkEnd w:id="336"/>
            <w:bookmarkEnd w:id="337"/>
          </w:p>
        </w:tc>
      </w:tr>
      <w:tr w:rsidR="001F27D2" w:rsidRPr="00580B37" w14:paraId="38F39C10" w14:textId="77777777" w:rsidTr="001F27D2">
        <w:tc>
          <w:tcPr>
            <w:tcW w:w="2223" w:type="dxa"/>
            <w:vMerge w:val="restart"/>
            <w:shd w:val="clear" w:color="000000" w:fill="009999"/>
            <w:noWrap/>
            <w:vAlign w:val="bottom"/>
            <w:hideMark/>
          </w:tcPr>
          <w:p w14:paraId="00757D83" w14:textId="77777777" w:rsidR="001F27D2" w:rsidRPr="00580B37" w:rsidRDefault="001F27D2" w:rsidP="00580B37">
            <w:pPr>
              <w:spacing w:before="0" w:after="0"/>
              <w:rPr>
                <w:rFonts w:cs="Calibri"/>
                <w:b/>
                <w:bCs/>
                <w:color w:val="FFFFFF"/>
                <w:sz w:val="22"/>
                <w:szCs w:val="22"/>
              </w:rPr>
            </w:pPr>
            <w:r w:rsidRPr="00580B37">
              <w:rPr>
                <w:rFonts w:cs="Calibri"/>
                <w:b/>
                <w:bCs/>
                <w:color w:val="FFFFFF"/>
                <w:sz w:val="22"/>
                <w:szCs w:val="22"/>
              </w:rPr>
              <w:t>Location</w:t>
            </w:r>
          </w:p>
        </w:tc>
        <w:tc>
          <w:tcPr>
            <w:tcW w:w="3686" w:type="dxa"/>
            <w:gridSpan w:val="2"/>
            <w:shd w:val="clear" w:color="000000" w:fill="009999"/>
            <w:noWrap/>
            <w:vAlign w:val="center"/>
            <w:hideMark/>
          </w:tcPr>
          <w:p w14:paraId="365CCC14" w14:textId="77777777" w:rsidR="001F27D2" w:rsidRPr="00580B37" w:rsidRDefault="001F27D2" w:rsidP="00580B37">
            <w:pPr>
              <w:spacing w:before="0" w:after="0"/>
              <w:jc w:val="center"/>
              <w:rPr>
                <w:rFonts w:cs="Calibri"/>
                <w:b/>
                <w:bCs/>
                <w:color w:val="FFFFFF"/>
                <w:sz w:val="22"/>
                <w:szCs w:val="22"/>
              </w:rPr>
            </w:pPr>
            <w:r w:rsidRPr="00580B37">
              <w:rPr>
                <w:rFonts w:cs="Calibri"/>
                <w:b/>
                <w:bCs/>
                <w:color w:val="FFFFFF"/>
                <w:sz w:val="22"/>
                <w:szCs w:val="22"/>
              </w:rPr>
              <w:t>Median price by year (£)</w:t>
            </w:r>
          </w:p>
        </w:tc>
        <w:tc>
          <w:tcPr>
            <w:tcW w:w="2693" w:type="dxa"/>
            <w:vMerge w:val="restart"/>
            <w:shd w:val="clear" w:color="000000" w:fill="009999"/>
            <w:noWrap/>
            <w:vAlign w:val="center"/>
            <w:hideMark/>
          </w:tcPr>
          <w:p w14:paraId="210DEBAB" w14:textId="77777777" w:rsidR="001F27D2" w:rsidRPr="00580B37" w:rsidRDefault="001F27D2" w:rsidP="00580B37">
            <w:pPr>
              <w:spacing w:before="0" w:after="0"/>
              <w:jc w:val="center"/>
              <w:rPr>
                <w:rFonts w:cs="Calibri"/>
                <w:b/>
                <w:bCs/>
                <w:color w:val="FFFFFF"/>
                <w:sz w:val="22"/>
                <w:szCs w:val="22"/>
              </w:rPr>
            </w:pPr>
            <w:r w:rsidRPr="00580B37">
              <w:rPr>
                <w:rFonts w:cs="Calibri"/>
                <w:b/>
                <w:bCs/>
                <w:color w:val="FFFFFF"/>
                <w:sz w:val="22"/>
                <w:szCs w:val="22"/>
              </w:rPr>
              <w:t xml:space="preserve">% change </w:t>
            </w:r>
          </w:p>
          <w:p w14:paraId="2E16BA3E" w14:textId="77777777" w:rsidR="001F27D2" w:rsidRPr="00580B37" w:rsidRDefault="001F27D2" w:rsidP="00580B37">
            <w:pPr>
              <w:spacing w:before="0" w:after="0"/>
              <w:jc w:val="center"/>
              <w:rPr>
                <w:rFonts w:cs="Calibri"/>
                <w:b/>
                <w:bCs/>
                <w:color w:val="FFFFFF"/>
                <w:sz w:val="22"/>
                <w:szCs w:val="22"/>
              </w:rPr>
            </w:pPr>
            <w:r w:rsidRPr="00580B37">
              <w:rPr>
                <w:rFonts w:cs="Calibri"/>
                <w:b/>
                <w:bCs/>
                <w:color w:val="FFFFFF"/>
                <w:sz w:val="22"/>
                <w:szCs w:val="22"/>
              </w:rPr>
              <w:t>2010-2017</w:t>
            </w:r>
          </w:p>
        </w:tc>
      </w:tr>
      <w:tr w:rsidR="001F27D2" w:rsidRPr="00580B37" w14:paraId="39752CE0" w14:textId="77777777" w:rsidTr="001F27D2">
        <w:tc>
          <w:tcPr>
            <w:tcW w:w="2223" w:type="dxa"/>
            <w:vMerge/>
            <w:vAlign w:val="center"/>
            <w:hideMark/>
          </w:tcPr>
          <w:p w14:paraId="74B6ECD9" w14:textId="77777777" w:rsidR="001F27D2" w:rsidRPr="00580B37" w:rsidRDefault="001F27D2" w:rsidP="00580B37">
            <w:pPr>
              <w:spacing w:before="0" w:after="0"/>
              <w:rPr>
                <w:rFonts w:cs="Calibri"/>
                <w:b/>
                <w:bCs/>
                <w:color w:val="FFFFFF"/>
                <w:sz w:val="22"/>
                <w:szCs w:val="22"/>
              </w:rPr>
            </w:pPr>
          </w:p>
        </w:tc>
        <w:tc>
          <w:tcPr>
            <w:tcW w:w="1985" w:type="dxa"/>
            <w:shd w:val="clear" w:color="000000" w:fill="009999"/>
            <w:noWrap/>
            <w:vAlign w:val="center"/>
            <w:hideMark/>
          </w:tcPr>
          <w:p w14:paraId="28A93546" w14:textId="77777777" w:rsidR="001F27D2" w:rsidRPr="00580B37" w:rsidRDefault="001F27D2" w:rsidP="00580B37">
            <w:pPr>
              <w:spacing w:before="0" w:after="0"/>
              <w:jc w:val="center"/>
              <w:rPr>
                <w:rFonts w:cs="Calibri"/>
                <w:color w:val="FFFFFF"/>
                <w:sz w:val="22"/>
                <w:szCs w:val="22"/>
              </w:rPr>
            </w:pPr>
            <w:r w:rsidRPr="00580B37">
              <w:rPr>
                <w:rFonts w:cs="Calibri"/>
                <w:color w:val="FFFFFF"/>
                <w:sz w:val="22"/>
                <w:szCs w:val="22"/>
              </w:rPr>
              <w:t>2010</w:t>
            </w:r>
          </w:p>
        </w:tc>
        <w:tc>
          <w:tcPr>
            <w:tcW w:w="1701" w:type="dxa"/>
            <w:shd w:val="clear" w:color="000000" w:fill="009999"/>
            <w:noWrap/>
            <w:vAlign w:val="center"/>
            <w:hideMark/>
          </w:tcPr>
          <w:p w14:paraId="7E6D7C64" w14:textId="77777777" w:rsidR="001F27D2" w:rsidRPr="00580B37" w:rsidRDefault="001F27D2" w:rsidP="00580B37">
            <w:pPr>
              <w:spacing w:before="0" w:after="0"/>
              <w:jc w:val="center"/>
              <w:rPr>
                <w:rFonts w:cs="Calibri"/>
                <w:color w:val="FFFFFF"/>
                <w:sz w:val="22"/>
                <w:szCs w:val="22"/>
              </w:rPr>
            </w:pPr>
            <w:r w:rsidRPr="00580B37">
              <w:rPr>
                <w:rFonts w:cs="Calibri"/>
                <w:color w:val="FFFFFF"/>
                <w:sz w:val="22"/>
                <w:szCs w:val="22"/>
              </w:rPr>
              <w:t>2017</w:t>
            </w:r>
          </w:p>
        </w:tc>
        <w:tc>
          <w:tcPr>
            <w:tcW w:w="2693" w:type="dxa"/>
            <w:vMerge/>
            <w:shd w:val="clear" w:color="000000" w:fill="009999"/>
            <w:noWrap/>
            <w:vAlign w:val="center"/>
            <w:hideMark/>
          </w:tcPr>
          <w:p w14:paraId="494A10D9" w14:textId="77777777" w:rsidR="001F27D2" w:rsidRPr="00580B37" w:rsidRDefault="001F27D2" w:rsidP="00580B37">
            <w:pPr>
              <w:spacing w:before="0" w:after="0"/>
              <w:jc w:val="center"/>
              <w:rPr>
                <w:rFonts w:cs="Calibri"/>
                <w:b/>
                <w:bCs/>
                <w:color w:val="FFFFFF"/>
                <w:sz w:val="22"/>
                <w:szCs w:val="22"/>
              </w:rPr>
            </w:pPr>
          </w:p>
        </w:tc>
      </w:tr>
      <w:tr w:rsidR="001F27D2" w:rsidRPr="00580B37" w14:paraId="3870347C" w14:textId="77777777" w:rsidTr="001F27D2">
        <w:tc>
          <w:tcPr>
            <w:tcW w:w="2223" w:type="dxa"/>
            <w:shd w:val="clear" w:color="000000" w:fill="FFFFFF"/>
            <w:noWrap/>
            <w:vAlign w:val="center"/>
            <w:hideMark/>
          </w:tcPr>
          <w:p w14:paraId="5F475142" w14:textId="77777777" w:rsidR="001F27D2" w:rsidRPr="00580B37" w:rsidRDefault="001F27D2" w:rsidP="00580B37">
            <w:pPr>
              <w:spacing w:before="0" w:after="0"/>
              <w:rPr>
                <w:rFonts w:cs="Calibri"/>
                <w:sz w:val="22"/>
                <w:szCs w:val="22"/>
              </w:rPr>
            </w:pPr>
            <w:r w:rsidRPr="00580B37">
              <w:rPr>
                <w:rFonts w:cs="Calibri"/>
                <w:sz w:val="22"/>
                <w:szCs w:val="22"/>
              </w:rPr>
              <w:t>Eden</w:t>
            </w:r>
          </w:p>
        </w:tc>
        <w:tc>
          <w:tcPr>
            <w:tcW w:w="1985" w:type="dxa"/>
            <w:shd w:val="clear" w:color="000000" w:fill="FFFFFF"/>
            <w:noWrap/>
            <w:vAlign w:val="center"/>
          </w:tcPr>
          <w:p w14:paraId="4E05408B"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498</w:t>
            </w:r>
          </w:p>
        </w:tc>
        <w:tc>
          <w:tcPr>
            <w:tcW w:w="1701" w:type="dxa"/>
            <w:shd w:val="clear" w:color="000000" w:fill="FFFFFF"/>
            <w:noWrap/>
            <w:vAlign w:val="center"/>
          </w:tcPr>
          <w:p w14:paraId="3A8A0018"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550</w:t>
            </w:r>
          </w:p>
        </w:tc>
        <w:tc>
          <w:tcPr>
            <w:tcW w:w="2693" w:type="dxa"/>
            <w:shd w:val="clear" w:color="000000" w:fill="FFFFFF"/>
            <w:noWrap/>
            <w:vAlign w:val="center"/>
          </w:tcPr>
          <w:p w14:paraId="5B326C43"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10.4%</w:t>
            </w:r>
          </w:p>
        </w:tc>
      </w:tr>
      <w:tr w:rsidR="001F27D2" w:rsidRPr="00580B37" w14:paraId="26505B3D" w14:textId="77777777" w:rsidTr="001F27D2">
        <w:tc>
          <w:tcPr>
            <w:tcW w:w="2223" w:type="dxa"/>
            <w:shd w:val="clear" w:color="000000" w:fill="FFFFFF"/>
            <w:noWrap/>
            <w:vAlign w:val="center"/>
            <w:hideMark/>
          </w:tcPr>
          <w:p w14:paraId="439A5356" w14:textId="77777777" w:rsidR="001F27D2" w:rsidRPr="00580B37" w:rsidRDefault="001F27D2" w:rsidP="00580B37">
            <w:pPr>
              <w:spacing w:before="0" w:after="0"/>
              <w:rPr>
                <w:rFonts w:cs="Calibri"/>
                <w:sz w:val="22"/>
                <w:szCs w:val="22"/>
              </w:rPr>
            </w:pPr>
            <w:r w:rsidRPr="00580B37">
              <w:rPr>
                <w:rFonts w:cs="Calibri"/>
                <w:sz w:val="22"/>
                <w:szCs w:val="22"/>
              </w:rPr>
              <w:t>North West</w:t>
            </w:r>
          </w:p>
        </w:tc>
        <w:tc>
          <w:tcPr>
            <w:tcW w:w="1985" w:type="dxa"/>
            <w:shd w:val="clear" w:color="000000" w:fill="FFFFFF"/>
            <w:noWrap/>
            <w:vAlign w:val="center"/>
          </w:tcPr>
          <w:p w14:paraId="127BDF5D" w14:textId="545A1AC8" w:rsidR="001F27D2" w:rsidRPr="00580B37" w:rsidRDefault="00D256ED" w:rsidP="00580B37">
            <w:pPr>
              <w:spacing w:before="0" w:after="0"/>
              <w:jc w:val="center"/>
              <w:rPr>
                <w:rFonts w:cs="Calibri"/>
                <w:color w:val="000000"/>
                <w:sz w:val="22"/>
                <w:szCs w:val="22"/>
                <w:highlight w:val="yellow"/>
              </w:rPr>
            </w:pPr>
            <w:r w:rsidRPr="00D256ED">
              <w:rPr>
                <w:rFonts w:cs="Calibri"/>
                <w:color w:val="000000"/>
                <w:sz w:val="22"/>
                <w:szCs w:val="22"/>
              </w:rPr>
              <w:t>546</w:t>
            </w:r>
          </w:p>
        </w:tc>
        <w:tc>
          <w:tcPr>
            <w:tcW w:w="1701" w:type="dxa"/>
            <w:shd w:val="clear" w:color="000000" w:fill="FFFFFF"/>
            <w:noWrap/>
            <w:vAlign w:val="center"/>
          </w:tcPr>
          <w:p w14:paraId="3534B373" w14:textId="541472F7" w:rsidR="001F27D2" w:rsidRPr="00580B37" w:rsidRDefault="00D256ED" w:rsidP="00580B37">
            <w:pPr>
              <w:spacing w:before="0" w:after="0"/>
              <w:jc w:val="center"/>
              <w:rPr>
                <w:rFonts w:cs="Calibri"/>
                <w:color w:val="000000"/>
                <w:sz w:val="22"/>
                <w:szCs w:val="22"/>
              </w:rPr>
            </w:pPr>
            <w:r>
              <w:rPr>
                <w:rFonts w:cs="Calibri"/>
                <w:color w:val="000000"/>
                <w:sz w:val="22"/>
                <w:szCs w:val="22"/>
              </w:rPr>
              <w:t>576</w:t>
            </w:r>
          </w:p>
        </w:tc>
        <w:tc>
          <w:tcPr>
            <w:tcW w:w="2693" w:type="dxa"/>
            <w:shd w:val="clear" w:color="000000" w:fill="FFFFFF"/>
            <w:noWrap/>
            <w:vAlign w:val="center"/>
          </w:tcPr>
          <w:p w14:paraId="41D51340" w14:textId="77F0579B" w:rsidR="001F27D2" w:rsidRPr="00580B37" w:rsidRDefault="00D256ED" w:rsidP="00580B37">
            <w:pPr>
              <w:spacing w:before="0" w:after="0"/>
              <w:jc w:val="center"/>
              <w:rPr>
                <w:rFonts w:cs="Calibri"/>
                <w:color w:val="000000"/>
                <w:sz w:val="22"/>
                <w:szCs w:val="22"/>
              </w:rPr>
            </w:pPr>
            <w:r>
              <w:rPr>
                <w:rFonts w:cs="Calibri"/>
                <w:color w:val="000000"/>
                <w:sz w:val="22"/>
                <w:szCs w:val="22"/>
              </w:rPr>
              <w:t>5.5%</w:t>
            </w:r>
          </w:p>
        </w:tc>
      </w:tr>
      <w:tr w:rsidR="001F27D2" w:rsidRPr="00580B37" w14:paraId="5C20AA21" w14:textId="77777777" w:rsidTr="001F27D2">
        <w:tc>
          <w:tcPr>
            <w:tcW w:w="2223" w:type="dxa"/>
            <w:shd w:val="clear" w:color="000000" w:fill="FFFFFF"/>
            <w:noWrap/>
            <w:vAlign w:val="center"/>
            <w:hideMark/>
          </w:tcPr>
          <w:p w14:paraId="73C8F698" w14:textId="77777777" w:rsidR="001F27D2" w:rsidRPr="00580B37" w:rsidRDefault="001F27D2" w:rsidP="00580B37">
            <w:pPr>
              <w:spacing w:before="0" w:after="0"/>
              <w:rPr>
                <w:rFonts w:cs="Calibri"/>
                <w:sz w:val="22"/>
                <w:szCs w:val="22"/>
              </w:rPr>
            </w:pPr>
            <w:r w:rsidRPr="00580B37">
              <w:rPr>
                <w:rFonts w:cs="Calibri"/>
                <w:sz w:val="22"/>
                <w:szCs w:val="22"/>
              </w:rPr>
              <w:t>England</w:t>
            </w:r>
          </w:p>
        </w:tc>
        <w:tc>
          <w:tcPr>
            <w:tcW w:w="1985" w:type="dxa"/>
            <w:shd w:val="clear" w:color="000000" w:fill="FFFFFF"/>
            <w:noWrap/>
          </w:tcPr>
          <w:p w14:paraId="7FA91156" w14:textId="77777777" w:rsidR="001F27D2" w:rsidRPr="00580B37" w:rsidRDefault="001F27D2" w:rsidP="00580B37">
            <w:pPr>
              <w:spacing w:before="0" w:after="0"/>
              <w:jc w:val="center"/>
              <w:rPr>
                <w:rFonts w:cs="Calibri"/>
                <w:b/>
                <w:bCs/>
                <w:color w:val="000000"/>
                <w:sz w:val="22"/>
                <w:szCs w:val="22"/>
              </w:rPr>
            </w:pPr>
            <w:r w:rsidRPr="00580B37">
              <w:rPr>
                <w:rFonts w:cs="Calibri"/>
                <w:b/>
                <w:bCs/>
                <w:color w:val="000000"/>
                <w:sz w:val="22"/>
                <w:szCs w:val="22"/>
              </w:rPr>
              <w:t>893</w:t>
            </w:r>
          </w:p>
        </w:tc>
        <w:tc>
          <w:tcPr>
            <w:tcW w:w="1701" w:type="dxa"/>
            <w:shd w:val="clear" w:color="000000" w:fill="FFFFFF"/>
            <w:noWrap/>
          </w:tcPr>
          <w:p w14:paraId="140B14A5" w14:textId="77777777" w:rsidR="001F27D2" w:rsidRPr="00580B37" w:rsidRDefault="001F27D2" w:rsidP="00580B37">
            <w:pPr>
              <w:spacing w:before="0" w:after="0"/>
              <w:jc w:val="center"/>
              <w:rPr>
                <w:rFonts w:cs="Calibri"/>
                <w:b/>
                <w:bCs/>
                <w:color w:val="000000"/>
                <w:sz w:val="22"/>
                <w:szCs w:val="22"/>
              </w:rPr>
            </w:pPr>
            <w:r w:rsidRPr="00580B37">
              <w:rPr>
                <w:rFonts w:cs="Calibri"/>
                <w:b/>
                <w:bCs/>
                <w:color w:val="000000"/>
                <w:sz w:val="22"/>
                <w:szCs w:val="22"/>
              </w:rPr>
              <w:t>1,101</w:t>
            </w:r>
          </w:p>
        </w:tc>
        <w:tc>
          <w:tcPr>
            <w:tcW w:w="2693" w:type="dxa"/>
            <w:shd w:val="clear" w:color="000000" w:fill="FFFFFF"/>
            <w:noWrap/>
          </w:tcPr>
          <w:p w14:paraId="0823AFEC" w14:textId="77777777" w:rsidR="001F27D2" w:rsidRPr="00580B37" w:rsidRDefault="001F27D2" w:rsidP="00580B37">
            <w:pPr>
              <w:spacing w:before="0" w:after="0"/>
              <w:jc w:val="center"/>
              <w:rPr>
                <w:rFonts w:cs="Calibri"/>
                <w:b/>
                <w:bCs/>
                <w:color w:val="000000"/>
                <w:sz w:val="22"/>
                <w:szCs w:val="22"/>
              </w:rPr>
            </w:pPr>
            <w:r w:rsidRPr="00580B37">
              <w:rPr>
                <w:rFonts w:cs="Calibri"/>
                <w:b/>
                <w:bCs/>
                <w:color w:val="000000"/>
                <w:sz w:val="22"/>
                <w:szCs w:val="22"/>
              </w:rPr>
              <w:t>23.3%</w:t>
            </w:r>
          </w:p>
        </w:tc>
      </w:tr>
    </w:tbl>
    <w:p w14:paraId="497BEFBC" w14:textId="1C927C45" w:rsidR="00580B37" w:rsidRDefault="00580B37" w:rsidP="00580B37">
      <w:pPr>
        <w:ind w:left="720"/>
        <w:rPr>
          <w:sz w:val="20"/>
          <w:szCs w:val="20"/>
        </w:rPr>
      </w:pPr>
      <w:r>
        <w:rPr>
          <w:sz w:val="20"/>
          <w:szCs w:val="20"/>
        </w:rPr>
        <w:t xml:space="preserve">Source: </w:t>
      </w:r>
      <w:r w:rsidRPr="002B2A7F">
        <w:rPr>
          <w:sz w:val="20"/>
          <w:szCs w:val="20"/>
        </w:rPr>
        <w:t>©</w:t>
      </w:r>
      <w:r>
        <w:rPr>
          <w:sz w:val="20"/>
          <w:szCs w:val="20"/>
        </w:rPr>
        <w:t xml:space="preserve"> 2018 Zoopla Limited.  All rights reserved</w:t>
      </w:r>
    </w:p>
    <w:p w14:paraId="5EB606A2" w14:textId="77777777" w:rsidR="001F27D2" w:rsidRPr="002B2A7F" w:rsidRDefault="001F27D2" w:rsidP="001F27D2">
      <w:pPr>
        <w:rPr>
          <w:rFonts w:asciiTheme="minorHAnsi" w:hAnsiTheme="minorHAnsi" w:cs="Arial"/>
          <w:sz w:val="20"/>
          <w:szCs w:val="20"/>
        </w:rPr>
      </w:pPr>
    </w:p>
    <w:tbl>
      <w:tblPr>
        <w:tblW w:w="8602" w:type="dxa"/>
        <w:tblInd w:w="720"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223"/>
        <w:gridCol w:w="1985"/>
        <w:gridCol w:w="1701"/>
        <w:gridCol w:w="2693"/>
      </w:tblGrid>
      <w:tr w:rsidR="001F27D2" w:rsidRPr="00580B37" w14:paraId="366E8EEF" w14:textId="77777777" w:rsidTr="001F27D2">
        <w:tc>
          <w:tcPr>
            <w:tcW w:w="8602" w:type="dxa"/>
            <w:gridSpan w:val="4"/>
            <w:shd w:val="clear" w:color="000000" w:fill="009999"/>
            <w:vAlign w:val="center"/>
            <w:hideMark/>
          </w:tcPr>
          <w:p w14:paraId="082960AD" w14:textId="77777777" w:rsidR="001F27D2" w:rsidRPr="00580B37" w:rsidRDefault="001F27D2" w:rsidP="00580B37">
            <w:pPr>
              <w:pStyle w:val="Tableheading1"/>
            </w:pPr>
            <w:bookmarkStart w:id="338" w:name="RANGE!G31"/>
            <w:bookmarkStart w:id="339" w:name="_Toc524935672"/>
            <w:bookmarkStart w:id="340" w:name="_Toc531122943"/>
            <w:bookmarkStart w:id="341" w:name="_Toc532812478"/>
            <w:r w:rsidRPr="00580B37">
              <w:t>Table 4.7</w:t>
            </w:r>
            <w:r w:rsidRPr="00580B37">
              <w:tab/>
              <w:t>Comparative lower quartile rental price 2010-2017</w:t>
            </w:r>
            <w:bookmarkEnd w:id="338"/>
            <w:bookmarkEnd w:id="339"/>
            <w:bookmarkEnd w:id="340"/>
            <w:bookmarkEnd w:id="341"/>
          </w:p>
        </w:tc>
      </w:tr>
      <w:tr w:rsidR="001F27D2" w:rsidRPr="00580B37" w14:paraId="5934AC99" w14:textId="77777777" w:rsidTr="001F27D2">
        <w:tc>
          <w:tcPr>
            <w:tcW w:w="2223" w:type="dxa"/>
            <w:vMerge w:val="restart"/>
            <w:shd w:val="clear" w:color="000000" w:fill="009999"/>
            <w:noWrap/>
            <w:vAlign w:val="bottom"/>
            <w:hideMark/>
          </w:tcPr>
          <w:p w14:paraId="4A6E489B" w14:textId="77777777" w:rsidR="001F27D2" w:rsidRPr="00580B37" w:rsidRDefault="001F27D2" w:rsidP="00580B37">
            <w:pPr>
              <w:spacing w:before="0" w:after="0"/>
              <w:rPr>
                <w:rFonts w:cs="Calibri"/>
                <w:b/>
                <w:bCs/>
                <w:color w:val="FFFFFF"/>
                <w:sz w:val="22"/>
                <w:szCs w:val="22"/>
              </w:rPr>
            </w:pPr>
            <w:r w:rsidRPr="00580B37">
              <w:rPr>
                <w:rFonts w:cs="Calibri"/>
                <w:b/>
                <w:bCs/>
                <w:color w:val="FFFFFF"/>
                <w:sz w:val="22"/>
                <w:szCs w:val="22"/>
              </w:rPr>
              <w:t>Location</w:t>
            </w:r>
          </w:p>
        </w:tc>
        <w:tc>
          <w:tcPr>
            <w:tcW w:w="3686" w:type="dxa"/>
            <w:gridSpan w:val="2"/>
            <w:shd w:val="clear" w:color="000000" w:fill="009999"/>
            <w:noWrap/>
            <w:vAlign w:val="center"/>
            <w:hideMark/>
          </w:tcPr>
          <w:p w14:paraId="03E43DBA" w14:textId="77777777" w:rsidR="001F27D2" w:rsidRPr="00580B37" w:rsidRDefault="001F27D2" w:rsidP="00580B37">
            <w:pPr>
              <w:spacing w:before="0" w:after="0"/>
              <w:jc w:val="center"/>
              <w:rPr>
                <w:rFonts w:cs="Calibri"/>
                <w:b/>
                <w:bCs/>
                <w:color w:val="FFFFFF"/>
                <w:sz w:val="22"/>
                <w:szCs w:val="22"/>
              </w:rPr>
            </w:pPr>
            <w:r w:rsidRPr="00580B37">
              <w:rPr>
                <w:rFonts w:cs="Calibri"/>
                <w:b/>
                <w:bCs/>
                <w:color w:val="FFFFFF"/>
                <w:sz w:val="22"/>
                <w:szCs w:val="22"/>
              </w:rPr>
              <w:t>Lower quartile price by year (£)</w:t>
            </w:r>
          </w:p>
        </w:tc>
        <w:tc>
          <w:tcPr>
            <w:tcW w:w="2693" w:type="dxa"/>
            <w:vMerge w:val="restart"/>
            <w:shd w:val="clear" w:color="000000" w:fill="009999"/>
            <w:noWrap/>
            <w:vAlign w:val="center"/>
            <w:hideMark/>
          </w:tcPr>
          <w:p w14:paraId="6620ACC2" w14:textId="77777777" w:rsidR="001F27D2" w:rsidRPr="00580B37" w:rsidRDefault="001F27D2" w:rsidP="00580B37">
            <w:pPr>
              <w:spacing w:before="0" w:after="0"/>
              <w:jc w:val="center"/>
              <w:rPr>
                <w:rFonts w:cs="Calibri"/>
                <w:b/>
                <w:bCs/>
                <w:color w:val="FFFFFF"/>
                <w:sz w:val="22"/>
                <w:szCs w:val="22"/>
              </w:rPr>
            </w:pPr>
            <w:r w:rsidRPr="00580B37">
              <w:rPr>
                <w:rFonts w:cs="Calibri"/>
                <w:b/>
                <w:bCs/>
                <w:color w:val="FFFFFF"/>
                <w:sz w:val="22"/>
                <w:szCs w:val="22"/>
              </w:rPr>
              <w:t xml:space="preserve">% change </w:t>
            </w:r>
          </w:p>
          <w:p w14:paraId="0E90846B" w14:textId="77777777" w:rsidR="001F27D2" w:rsidRPr="00580B37" w:rsidRDefault="001F27D2" w:rsidP="00580B37">
            <w:pPr>
              <w:spacing w:before="0" w:after="0"/>
              <w:jc w:val="center"/>
              <w:rPr>
                <w:rFonts w:cs="Calibri"/>
                <w:b/>
                <w:bCs/>
                <w:color w:val="FFFFFF"/>
                <w:sz w:val="22"/>
                <w:szCs w:val="22"/>
              </w:rPr>
            </w:pPr>
            <w:r w:rsidRPr="00580B37">
              <w:rPr>
                <w:rFonts w:cs="Calibri"/>
                <w:b/>
                <w:bCs/>
                <w:color w:val="FFFFFF"/>
                <w:sz w:val="22"/>
                <w:szCs w:val="22"/>
              </w:rPr>
              <w:t>2010-2017</w:t>
            </w:r>
          </w:p>
        </w:tc>
      </w:tr>
      <w:tr w:rsidR="001F27D2" w:rsidRPr="00580B37" w14:paraId="76298213" w14:textId="77777777" w:rsidTr="001F27D2">
        <w:tc>
          <w:tcPr>
            <w:tcW w:w="2223" w:type="dxa"/>
            <w:vMerge/>
            <w:vAlign w:val="center"/>
            <w:hideMark/>
          </w:tcPr>
          <w:p w14:paraId="54CE5E78" w14:textId="77777777" w:rsidR="001F27D2" w:rsidRPr="00580B37" w:rsidRDefault="001F27D2" w:rsidP="00580B37">
            <w:pPr>
              <w:spacing w:before="0" w:after="0"/>
              <w:rPr>
                <w:rFonts w:cs="Calibri"/>
                <w:b/>
                <w:bCs/>
                <w:color w:val="FFFFFF"/>
                <w:sz w:val="22"/>
                <w:szCs w:val="22"/>
              </w:rPr>
            </w:pPr>
          </w:p>
        </w:tc>
        <w:tc>
          <w:tcPr>
            <w:tcW w:w="1985" w:type="dxa"/>
            <w:shd w:val="clear" w:color="000000" w:fill="009999"/>
            <w:noWrap/>
            <w:vAlign w:val="center"/>
            <w:hideMark/>
          </w:tcPr>
          <w:p w14:paraId="0C0B0939" w14:textId="77777777" w:rsidR="001F27D2" w:rsidRPr="00580B37" w:rsidRDefault="001F27D2" w:rsidP="00580B37">
            <w:pPr>
              <w:spacing w:before="0" w:after="0"/>
              <w:jc w:val="center"/>
              <w:rPr>
                <w:rFonts w:cs="Calibri"/>
                <w:color w:val="FFFFFF"/>
                <w:sz w:val="22"/>
                <w:szCs w:val="22"/>
              </w:rPr>
            </w:pPr>
            <w:r w:rsidRPr="00580B37">
              <w:rPr>
                <w:rFonts w:cs="Calibri"/>
                <w:color w:val="FFFFFF"/>
                <w:sz w:val="22"/>
                <w:szCs w:val="22"/>
              </w:rPr>
              <w:t>2010</w:t>
            </w:r>
          </w:p>
        </w:tc>
        <w:tc>
          <w:tcPr>
            <w:tcW w:w="1701" w:type="dxa"/>
            <w:shd w:val="clear" w:color="000000" w:fill="009999"/>
            <w:noWrap/>
            <w:vAlign w:val="center"/>
            <w:hideMark/>
          </w:tcPr>
          <w:p w14:paraId="1E6D8B34" w14:textId="77777777" w:rsidR="001F27D2" w:rsidRPr="00580B37" w:rsidRDefault="001F27D2" w:rsidP="00580B37">
            <w:pPr>
              <w:spacing w:before="0" w:after="0"/>
              <w:jc w:val="center"/>
              <w:rPr>
                <w:rFonts w:cs="Calibri"/>
                <w:color w:val="FFFFFF"/>
                <w:sz w:val="22"/>
                <w:szCs w:val="22"/>
              </w:rPr>
            </w:pPr>
            <w:r w:rsidRPr="00580B37">
              <w:rPr>
                <w:rFonts w:cs="Calibri"/>
                <w:color w:val="FFFFFF"/>
                <w:sz w:val="22"/>
                <w:szCs w:val="22"/>
              </w:rPr>
              <w:t>2017</w:t>
            </w:r>
          </w:p>
        </w:tc>
        <w:tc>
          <w:tcPr>
            <w:tcW w:w="2693" w:type="dxa"/>
            <w:vMerge/>
            <w:shd w:val="clear" w:color="000000" w:fill="009999"/>
            <w:noWrap/>
            <w:vAlign w:val="center"/>
            <w:hideMark/>
          </w:tcPr>
          <w:p w14:paraId="6B8205E8" w14:textId="77777777" w:rsidR="001F27D2" w:rsidRPr="00580B37" w:rsidRDefault="001F27D2" w:rsidP="00580B37">
            <w:pPr>
              <w:spacing w:before="0" w:after="0"/>
              <w:jc w:val="center"/>
              <w:rPr>
                <w:rFonts w:cs="Calibri"/>
                <w:b/>
                <w:bCs/>
                <w:color w:val="FFFFFF"/>
                <w:sz w:val="22"/>
                <w:szCs w:val="22"/>
              </w:rPr>
            </w:pPr>
          </w:p>
        </w:tc>
      </w:tr>
      <w:tr w:rsidR="001F27D2" w:rsidRPr="00580B37" w14:paraId="25C1083D" w14:textId="77777777" w:rsidTr="001F27D2">
        <w:tc>
          <w:tcPr>
            <w:tcW w:w="2223" w:type="dxa"/>
            <w:shd w:val="clear" w:color="000000" w:fill="FFFFFF"/>
            <w:noWrap/>
            <w:vAlign w:val="center"/>
            <w:hideMark/>
          </w:tcPr>
          <w:p w14:paraId="31700937" w14:textId="77777777" w:rsidR="001F27D2" w:rsidRPr="00580B37" w:rsidRDefault="001F27D2" w:rsidP="00580B37">
            <w:pPr>
              <w:spacing w:before="0" w:after="0"/>
              <w:rPr>
                <w:rFonts w:cs="Calibri"/>
                <w:sz w:val="22"/>
                <w:szCs w:val="22"/>
              </w:rPr>
            </w:pPr>
            <w:r w:rsidRPr="00580B37">
              <w:rPr>
                <w:rFonts w:cs="Calibri"/>
                <w:sz w:val="22"/>
                <w:szCs w:val="22"/>
              </w:rPr>
              <w:t>Eden</w:t>
            </w:r>
          </w:p>
        </w:tc>
        <w:tc>
          <w:tcPr>
            <w:tcW w:w="1985" w:type="dxa"/>
            <w:shd w:val="clear" w:color="000000" w:fill="FFFFFF"/>
            <w:noWrap/>
            <w:vAlign w:val="center"/>
          </w:tcPr>
          <w:p w14:paraId="321E55A1"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446</w:t>
            </w:r>
          </w:p>
        </w:tc>
        <w:tc>
          <w:tcPr>
            <w:tcW w:w="1701" w:type="dxa"/>
            <w:shd w:val="clear" w:color="000000" w:fill="FFFFFF"/>
            <w:noWrap/>
            <w:vAlign w:val="center"/>
          </w:tcPr>
          <w:p w14:paraId="50C7C260"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477</w:t>
            </w:r>
          </w:p>
        </w:tc>
        <w:tc>
          <w:tcPr>
            <w:tcW w:w="2693" w:type="dxa"/>
            <w:shd w:val="clear" w:color="000000" w:fill="FFFFFF"/>
            <w:noWrap/>
            <w:vAlign w:val="center"/>
          </w:tcPr>
          <w:p w14:paraId="1A78C241" w14:textId="7F5F77E8"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7</w:t>
            </w:r>
            <w:r w:rsidR="00D256ED">
              <w:rPr>
                <w:rFonts w:cs="Calibri"/>
                <w:color w:val="000000"/>
                <w:sz w:val="22"/>
                <w:szCs w:val="22"/>
              </w:rPr>
              <w:t>.0</w:t>
            </w:r>
            <w:r w:rsidRPr="00580B37">
              <w:rPr>
                <w:rFonts w:cs="Calibri"/>
                <w:color w:val="000000"/>
                <w:sz w:val="22"/>
                <w:szCs w:val="22"/>
              </w:rPr>
              <w:t>%</w:t>
            </w:r>
          </w:p>
        </w:tc>
      </w:tr>
      <w:tr w:rsidR="001F27D2" w:rsidRPr="00580B37" w14:paraId="7E2CFBAE" w14:textId="77777777" w:rsidTr="001F27D2">
        <w:tc>
          <w:tcPr>
            <w:tcW w:w="2223" w:type="dxa"/>
            <w:shd w:val="clear" w:color="000000" w:fill="FFFFFF"/>
            <w:noWrap/>
            <w:vAlign w:val="center"/>
            <w:hideMark/>
          </w:tcPr>
          <w:p w14:paraId="7965D0B7" w14:textId="77777777" w:rsidR="001F27D2" w:rsidRPr="00580B37" w:rsidRDefault="001F27D2" w:rsidP="00580B37">
            <w:pPr>
              <w:spacing w:before="0" w:after="0"/>
              <w:rPr>
                <w:rFonts w:cs="Calibri"/>
                <w:sz w:val="22"/>
                <w:szCs w:val="22"/>
              </w:rPr>
            </w:pPr>
            <w:r w:rsidRPr="00580B37">
              <w:rPr>
                <w:rFonts w:cs="Calibri"/>
                <w:sz w:val="22"/>
                <w:szCs w:val="22"/>
              </w:rPr>
              <w:t>North West</w:t>
            </w:r>
          </w:p>
        </w:tc>
        <w:tc>
          <w:tcPr>
            <w:tcW w:w="1985" w:type="dxa"/>
            <w:shd w:val="clear" w:color="000000" w:fill="FFFFFF"/>
            <w:noWrap/>
            <w:vAlign w:val="center"/>
          </w:tcPr>
          <w:p w14:paraId="52050466" w14:textId="642AD737" w:rsidR="001F27D2" w:rsidRPr="00580B37" w:rsidRDefault="00D256ED" w:rsidP="00580B37">
            <w:pPr>
              <w:spacing w:before="0" w:after="0"/>
              <w:jc w:val="center"/>
              <w:rPr>
                <w:rFonts w:cs="Calibri"/>
                <w:color w:val="000000"/>
                <w:sz w:val="22"/>
                <w:szCs w:val="22"/>
              </w:rPr>
            </w:pPr>
            <w:r>
              <w:rPr>
                <w:rFonts w:cs="Calibri"/>
                <w:color w:val="000000"/>
                <w:sz w:val="22"/>
                <w:szCs w:val="22"/>
              </w:rPr>
              <w:t>472</w:t>
            </w:r>
          </w:p>
        </w:tc>
        <w:tc>
          <w:tcPr>
            <w:tcW w:w="1701" w:type="dxa"/>
            <w:shd w:val="clear" w:color="000000" w:fill="FFFFFF"/>
            <w:noWrap/>
            <w:vAlign w:val="center"/>
          </w:tcPr>
          <w:p w14:paraId="2586AA14" w14:textId="2663FCD4"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4</w:t>
            </w:r>
            <w:r w:rsidR="00D256ED">
              <w:rPr>
                <w:rFonts w:cs="Calibri"/>
                <w:color w:val="000000"/>
                <w:sz w:val="22"/>
                <w:szCs w:val="22"/>
              </w:rPr>
              <w:t>77</w:t>
            </w:r>
          </w:p>
        </w:tc>
        <w:tc>
          <w:tcPr>
            <w:tcW w:w="2693" w:type="dxa"/>
            <w:shd w:val="clear" w:color="000000" w:fill="FFFFFF"/>
            <w:noWrap/>
            <w:vAlign w:val="center"/>
          </w:tcPr>
          <w:p w14:paraId="3A377FC2" w14:textId="184BBAE5" w:rsidR="001F27D2" w:rsidRPr="00580B37" w:rsidRDefault="00D256ED" w:rsidP="00580B37">
            <w:pPr>
              <w:spacing w:before="0" w:after="0"/>
              <w:jc w:val="center"/>
              <w:rPr>
                <w:rFonts w:cs="Calibri"/>
                <w:color w:val="000000"/>
                <w:sz w:val="22"/>
                <w:szCs w:val="22"/>
              </w:rPr>
            </w:pPr>
            <w:r>
              <w:rPr>
                <w:rFonts w:cs="Calibri"/>
                <w:color w:val="000000"/>
                <w:sz w:val="22"/>
                <w:szCs w:val="22"/>
              </w:rPr>
              <w:t>1.1%</w:t>
            </w:r>
          </w:p>
        </w:tc>
      </w:tr>
      <w:tr w:rsidR="001F27D2" w:rsidRPr="00580B37" w14:paraId="25B82582" w14:textId="77777777" w:rsidTr="001F27D2">
        <w:tc>
          <w:tcPr>
            <w:tcW w:w="2223" w:type="dxa"/>
            <w:shd w:val="clear" w:color="000000" w:fill="FFFFFF"/>
            <w:noWrap/>
            <w:vAlign w:val="center"/>
            <w:hideMark/>
          </w:tcPr>
          <w:p w14:paraId="1EC049FC" w14:textId="77777777" w:rsidR="001F27D2" w:rsidRPr="00580B37" w:rsidRDefault="001F27D2" w:rsidP="00580B37">
            <w:pPr>
              <w:spacing w:before="0" w:after="0"/>
              <w:rPr>
                <w:rFonts w:cs="Calibri"/>
                <w:sz w:val="22"/>
                <w:szCs w:val="22"/>
              </w:rPr>
            </w:pPr>
            <w:r w:rsidRPr="00580B37">
              <w:rPr>
                <w:rFonts w:cs="Calibri"/>
                <w:sz w:val="22"/>
                <w:szCs w:val="22"/>
              </w:rPr>
              <w:t>England</w:t>
            </w:r>
          </w:p>
        </w:tc>
        <w:tc>
          <w:tcPr>
            <w:tcW w:w="1985" w:type="dxa"/>
            <w:shd w:val="clear" w:color="000000" w:fill="FFFFFF"/>
            <w:noWrap/>
          </w:tcPr>
          <w:p w14:paraId="51E3011E" w14:textId="77777777" w:rsidR="001F27D2" w:rsidRPr="00580B37" w:rsidRDefault="001F27D2" w:rsidP="00580B37">
            <w:pPr>
              <w:spacing w:before="0" w:after="0"/>
              <w:jc w:val="center"/>
              <w:rPr>
                <w:rFonts w:cs="Calibri"/>
                <w:bCs/>
                <w:color w:val="000000"/>
                <w:sz w:val="22"/>
                <w:szCs w:val="22"/>
              </w:rPr>
            </w:pPr>
            <w:r w:rsidRPr="00580B37">
              <w:rPr>
                <w:rFonts w:cs="Calibri"/>
                <w:b/>
                <w:bCs/>
                <w:color w:val="000000"/>
                <w:sz w:val="22"/>
                <w:szCs w:val="22"/>
              </w:rPr>
              <w:t>598</w:t>
            </w:r>
          </w:p>
        </w:tc>
        <w:tc>
          <w:tcPr>
            <w:tcW w:w="1701" w:type="dxa"/>
            <w:shd w:val="clear" w:color="000000" w:fill="FFFFFF"/>
            <w:noWrap/>
          </w:tcPr>
          <w:p w14:paraId="0CAEBB10" w14:textId="77777777" w:rsidR="001F27D2" w:rsidRPr="00580B37" w:rsidRDefault="001F27D2" w:rsidP="00580B37">
            <w:pPr>
              <w:spacing w:before="0" w:after="0"/>
              <w:jc w:val="center"/>
              <w:rPr>
                <w:rFonts w:cs="Calibri"/>
                <w:bCs/>
                <w:color w:val="000000"/>
                <w:sz w:val="22"/>
                <w:szCs w:val="22"/>
              </w:rPr>
            </w:pPr>
            <w:r w:rsidRPr="00580B37">
              <w:rPr>
                <w:rFonts w:cs="Calibri"/>
                <w:b/>
                <w:bCs/>
                <w:color w:val="000000"/>
                <w:sz w:val="22"/>
                <w:szCs w:val="22"/>
              </w:rPr>
              <w:t>676</w:t>
            </w:r>
          </w:p>
        </w:tc>
        <w:tc>
          <w:tcPr>
            <w:tcW w:w="2693" w:type="dxa"/>
            <w:shd w:val="clear" w:color="000000" w:fill="FFFFFF"/>
            <w:noWrap/>
          </w:tcPr>
          <w:p w14:paraId="264AFC27" w14:textId="77777777" w:rsidR="001F27D2" w:rsidRPr="00580B37" w:rsidRDefault="001F27D2" w:rsidP="00580B37">
            <w:pPr>
              <w:spacing w:before="0" w:after="0"/>
              <w:jc w:val="center"/>
              <w:rPr>
                <w:rFonts w:cs="Calibri"/>
                <w:bCs/>
                <w:color w:val="000000"/>
                <w:sz w:val="22"/>
                <w:szCs w:val="22"/>
              </w:rPr>
            </w:pPr>
            <w:r w:rsidRPr="00580B37">
              <w:rPr>
                <w:rFonts w:cs="Calibri"/>
                <w:b/>
                <w:bCs/>
                <w:color w:val="000000"/>
                <w:sz w:val="22"/>
                <w:szCs w:val="22"/>
              </w:rPr>
              <w:t>13.0%</w:t>
            </w:r>
          </w:p>
        </w:tc>
      </w:tr>
    </w:tbl>
    <w:p w14:paraId="60D50EDC" w14:textId="5CC1B05F" w:rsidR="00580B37" w:rsidRDefault="00580B37" w:rsidP="00580B37">
      <w:pPr>
        <w:ind w:left="709"/>
        <w:rPr>
          <w:sz w:val="20"/>
          <w:szCs w:val="20"/>
        </w:rPr>
      </w:pPr>
      <w:r>
        <w:rPr>
          <w:sz w:val="20"/>
          <w:szCs w:val="20"/>
        </w:rPr>
        <w:t xml:space="preserve">Source: </w:t>
      </w:r>
      <w:r w:rsidRPr="002B2A7F">
        <w:rPr>
          <w:sz w:val="20"/>
          <w:szCs w:val="20"/>
        </w:rPr>
        <w:t>©</w:t>
      </w:r>
      <w:r>
        <w:rPr>
          <w:sz w:val="20"/>
          <w:szCs w:val="20"/>
        </w:rPr>
        <w:t xml:space="preserve"> 2018 Zoopla Limited.  All rights reserved</w:t>
      </w:r>
    </w:p>
    <w:p w14:paraId="6AD17432" w14:textId="77777777" w:rsidR="001F27D2" w:rsidRPr="002B2A7F" w:rsidRDefault="001F27D2" w:rsidP="001F27D2">
      <w:pPr>
        <w:rPr>
          <w:rFonts w:asciiTheme="minorHAnsi" w:hAnsiTheme="minorHAnsi"/>
        </w:rPr>
      </w:pPr>
    </w:p>
    <w:p w14:paraId="00638F57" w14:textId="77777777" w:rsidR="001F27D2" w:rsidRPr="002B2A7F" w:rsidRDefault="001F27D2" w:rsidP="001F27D2">
      <w:pPr>
        <w:pStyle w:val="Reporttext"/>
      </w:pPr>
      <w:r w:rsidRPr="002B2A7F">
        <w:t>The Local Housing Allowance rates for the North Cumbria Broad Rental Market Area (BRMA)</w:t>
      </w:r>
      <w:r w:rsidRPr="002B2A7F">
        <w:rPr>
          <w:rStyle w:val="FootnoteReference"/>
        </w:rPr>
        <w:footnoteReference w:id="12"/>
      </w:r>
      <w:r w:rsidRPr="002B2A7F">
        <w:t xml:space="preserve"> are stated below: </w:t>
      </w:r>
    </w:p>
    <w:p w14:paraId="067EA2BF" w14:textId="77777777" w:rsidR="001F27D2" w:rsidRPr="002B2A7F" w:rsidRDefault="001F27D2" w:rsidP="001F27D2">
      <w:pPr>
        <w:pStyle w:val="bullet"/>
        <w:spacing w:before="0"/>
        <w:jc w:val="left"/>
        <w:rPr>
          <w:rFonts w:asciiTheme="minorHAnsi" w:hAnsiTheme="minorHAnsi"/>
        </w:rPr>
      </w:pPr>
      <w:r w:rsidRPr="002B2A7F">
        <w:rPr>
          <w:rFonts w:asciiTheme="minorHAnsi" w:hAnsiTheme="minorHAnsi"/>
        </w:rPr>
        <w:t>Shared accommodation rate - £280.27 per calendar month</w:t>
      </w:r>
    </w:p>
    <w:p w14:paraId="43363E53" w14:textId="77777777" w:rsidR="001F27D2" w:rsidRPr="002B2A7F" w:rsidRDefault="001F27D2" w:rsidP="001F27D2">
      <w:pPr>
        <w:pStyle w:val="bullet"/>
        <w:spacing w:before="0"/>
        <w:jc w:val="left"/>
        <w:rPr>
          <w:rFonts w:asciiTheme="minorHAnsi" w:hAnsiTheme="minorHAnsi"/>
        </w:rPr>
      </w:pPr>
      <w:r w:rsidRPr="002B2A7F">
        <w:rPr>
          <w:rFonts w:asciiTheme="minorHAnsi" w:hAnsiTheme="minorHAnsi"/>
        </w:rPr>
        <w:t>1-bedroom rate - £350.01 pcm;</w:t>
      </w:r>
    </w:p>
    <w:p w14:paraId="1301BC33" w14:textId="77777777" w:rsidR="001F27D2" w:rsidRPr="002B2A7F" w:rsidRDefault="001F27D2" w:rsidP="001F27D2">
      <w:pPr>
        <w:pStyle w:val="bullet"/>
        <w:spacing w:before="0"/>
        <w:jc w:val="left"/>
        <w:rPr>
          <w:rFonts w:asciiTheme="minorHAnsi" w:hAnsiTheme="minorHAnsi"/>
        </w:rPr>
      </w:pPr>
      <w:r w:rsidRPr="002B2A7F">
        <w:rPr>
          <w:rFonts w:asciiTheme="minorHAnsi" w:hAnsiTheme="minorHAnsi"/>
        </w:rPr>
        <w:t>2-bedroom rate - £425.01 pcm;</w:t>
      </w:r>
    </w:p>
    <w:p w14:paraId="449DAD25" w14:textId="77777777" w:rsidR="001F27D2" w:rsidRPr="002B2A7F" w:rsidRDefault="001F27D2" w:rsidP="001F27D2">
      <w:pPr>
        <w:pStyle w:val="bullet"/>
        <w:spacing w:before="0"/>
        <w:jc w:val="left"/>
        <w:rPr>
          <w:rFonts w:asciiTheme="minorHAnsi" w:hAnsiTheme="minorHAnsi"/>
        </w:rPr>
      </w:pPr>
      <w:r w:rsidRPr="002B2A7F">
        <w:rPr>
          <w:rFonts w:asciiTheme="minorHAnsi" w:hAnsiTheme="minorHAnsi"/>
        </w:rPr>
        <w:t>3-bedroom rate - £500.01 pcm; and</w:t>
      </w:r>
    </w:p>
    <w:p w14:paraId="70083C41" w14:textId="77777777" w:rsidR="001F27D2" w:rsidRPr="002B2A7F" w:rsidRDefault="001F27D2" w:rsidP="001F27D2">
      <w:pPr>
        <w:pStyle w:val="bullet"/>
        <w:spacing w:before="0"/>
        <w:jc w:val="left"/>
        <w:rPr>
          <w:rFonts w:asciiTheme="minorHAnsi" w:hAnsiTheme="minorHAnsi"/>
        </w:rPr>
      </w:pPr>
      <w:r w:rsidRPr="002B2A7F">
        <w:rPr>
          <w:rFonts w:asciiTheme="minorHAnsi" w:hAnsiTheme="minorHAnsi"/>
        </w:rPr>
        <w:t>4-bedroom rate - £650 pcm.</w:t>
      </w:r>
    </w:p>
    <w:p w14:paraId="2093706F" w14:textId="77777777" w:rsidR="001F27D2" w:rsidRPr="002B2A7F" w:rsidRDefault="001F27D2" w:rsidP="001F27D2">
      <w:pPr>
        <w:pStyle w:val="Heading2"/>
        <w:rPr>
          <w:rFonts w:asciiTheme="minorHAnsi" w:hAnsiTheme="minorHAnsi" w:cs="Calibri"/>
        </w:rPr>
      </w:pPr>
      <w:bookmarkStart w:id="342" w:name="_Toc395193558"/>
      <w:bookmarkStart w:id="343" w:name="_Toc524935584"/>
      <w:bookmarkStart w:id="344" w:name="_Toc531122877"/>
      <w:bookmarkStart w:id="345" w:name="_Toc532812409"/>
      <w:r w:rsidRPr="002B2A7F">
        <w:rPr>
          <w:rFonts w:asciiTheme="minorHAnsi" w:hAnsiTheme="minorHAnsi" w:cs="Calibri"/>
        </w:rPr>
        <w:lastRenderedPageBreak/>
        <w:t>The affordable sector</w:t>
      </w:r>
      <w:bookmarkEnd w:id="342"/>
      <w:bookmarkEnd w:id="343"/>
      <w:bookmarkEnd w:id="344"/>
      <w:bookmarkEnd w:id="345"/>
    </w:p>
    <w:p w14:paraId="534D1D67" w14:textId="77777777" w:rsidR="001F27D2" w:rsidRPr="002B2A7F" w:rsidRDefault="001F27D2" w:rsidP="001F27D2">
      <w:pPr>
        <w:pStyle w:val="Reporttext"/>
      </w:pPr>
      <w:r w:rsidRPr="002B2A7F">
        <w:t xml:space="preserve">According to the 2011 Census the affordable sector accommodated around 11.1% of households across Eden District (9.6% social rented and 1.5% intermediate tenure). It is estimated there are around 2,640 households living in affordable dwellings across the District in 2018: </w:t>
      </w:r>
    </w:p>
    <w:p w14:paraId="506DD268" w14:textId="77777777" w:rsidR="001F27D2" w:rsidRPr="002B2A7F" w:rsidRDefault="001F27D2" w:rsidP="001F27D2">
      <w:pPr>
        <w:pStyle w:val="bullet"/>
        <w:spacing w:before="0"/>
        <w:jc w:val="left"/>
        <w:rPr>
          <w:rFonts w:asciiTheme="minorHAnsi" w:hAnsiTheme="minorHAnsi"/>
        </w:rPr>
      </w:pPr>
      <w:r w:rsidRPr="002B2A7F">
        <w:rPr>
          <w:rFonts w:asciiTheme="minorHAnsi" w:hAnsiTheme="minorHAnsi"/>
        </w:rPr>
        <w:t>41% of occupied affordable dwellings were houses (0.4% detached, 20.6% semi-detached and 21.0% terraced), 19.2% were bungalows and 38.8% were flats;</w:t>
      </w:r>
    </w:p>
    <w:p w14:paraId="202DBF64" w14:textId="77777777" w:rsidR="001F27D2" w:rsidRPr="002B2A7F" w:rsidRDefault="001F27D2" w:rsidP="001F27D2">
      <w:pPr>
        <w:pStyle w:val="bullet"/>
        <w:spacing w:before="0"/>
        <w:jc w:val="left"/>
        <w:rPr>
          <w:rFonts w:asciiTheme="minorHAnsi" w:hAnsiTheme="minorHAnsi"/>
        </w:rPr>
      </w:pPr>
      <w:r w:rsidRPr="002B2A7F">
        <w:rPr>
          <w:rFonts w:asciiTheme="minorHAnsi" w:hAnsiTheme="minorHAnsi"/>
        </w:rPr>
        <w:t>28.7% of occupied affordable dwellings have one bedroom, 43.4% have two bedrooms, 23.7% have three bedrooms and 4.1% have four or more bedrooms.</w:t>
      </w:r>
    </w:p>
    <w:p w14:paraId="1614307A" w14:textId="77777777" w:rsidR="001F27D2" w:rsidRPr="002B2A7F" w:rsidRDefault="001F27D2" w:rsidP="001F27D2">
      <w:pPr>
        <w:pStyle w:val="Reporttext"/>
      </w:pPr>
      <w:r w:rsidRPr="002B2A7F">
        <w:t>Regarding the socio-economic characteristics of households in affordable housing:</w:t>
      </w:r>
    </w:p>
    <w:p w14:paraId="1F94874C" w14:textId="61126096" w:rsidR="001F27D2" w:rsidRPr="002B2A7F" w:rsidRDefault="001F27D2" w:rsidP="001F27D2">
      <w:pPr>
        <w:pStyle w:val="bullet"/>
        <w:spacing w:before="0"/>
        <w:jc w:val="left"/>
        <w:rPr>
          <w:rFonts w:asciiTheme="minorHAnsi" w:hAnsiTheme="minorHAnsi"/>
        </w:rPr>
      </w:pPr>
      <w:r w:rsidRPr="002B2A7F">
        <w:rPr>
          <w:rFonts w:asciiTheme="minorHAnsi" w:hAnsiTheme="minorHAnsi"/>
        </w:rPr>
        <w:t>28.6% are singles under 60, 31.7% are older (65 or over) singles and couples, 16% are couples (no children),10.6% are couples with children, 4.3% are lone parents, 7.8% are lone parents with adult children, 0.6% are couples with adult children and 0.4% are other household types</w:t>
      </w:r>
      <w:r w:rsidR="004F03B5">
        <w:rPr>
          <w:rFonts w:asciiTheme="minorHAnsi" w:hAnsiTheme="minorHAnsi"/>
        </w:rPr>
        <w:t>;</w:t>
      </w:r>
    </w:p>
    <w:p w14:paraId="20173352" w14:textId="77777777" w:rsidR="001F27D2" w:rsidRPr="002B2A7F" w:rsidRDefault="001F27D2" w:rsidP="001F27D2">
      <w:pPr>
        <w:pStyle w:val="bullet"/>
        <w:spacing w:before="0"/>
        <w:jc w:val="left"/>
        <w:rPr>
          <w:rFonts w:asciiTheme="minorHAnsi" w:hAnsiTheme="minorHAnsi"/>
        </w:rPr>
      </w:pPr>
      <w:r w:rsidRPr="002B2A7F">
        <w:rPr>
          <w:rFonts w:asciiTheme="minorHAnsi" w:hAnsiTheme="minorHAnsi"/>
        </w:rPr>
        <w:t>49.3% of household reference persons (heads of household) living in affordable dwellings are in employment, a further 32% are wholly retired from work and 18.8% are not economically active;</w:t>
      </w:r>
    </w:p>
    <w:p w14:paraId="351899EC" w14:textId="77777777" w:rsidR="001F27D2" w:rsidRPr="002B2A7F" w:rsidRDefault="001F27D2" w:rsidP="001F27D2">
      <w:pPr>
        <w:pStyle w:val="bullet"/>
        <w:spacing w:before="0"/>
        <w:jc w:val="left"/>
        <w:rPr>
          <w:rFonts w:asciiTheme="minorHAnsi" w:hAnsiTheme="minorHAnsi"/>
        </w:rPr>
      </w:pPr>
      <w:r w:rsidRPr="002B2A7F">
        <w:rPr>
          <w:rFonts w:asciiTheme="minorHAnsi" w:hAnsiTheme="minorHAnsi"/>
        </w:rPr>
        <w:t xml:space="preserve">10.2% of household reference people are aged under 35 (which represents 13.5% of HRPs in this age group), 43.2% are aged 35-59 (representing 11.2% of HRPs in the age group) and 46.7% are aged 60 and over (representing 11.2% of HRPs in this age group). </w:t>
      </w:r>
    </w:p>
    <w:p w14:paraId="0BD5B101" w14:textId="77777777" w:rsidR="001F27D2" w:rsidRPr="002B2A7F" w:rsidRDefault="001F27D2" w:rsidP="001F27D2">
      <w:pPr>
        <w:rPr>
          <w:rFonts w:asciiTheme="minorHAnsi" w:hAnsiTheme="minorHAnsi"/>
        </w:rPr>
      </w:pPr>
    </w:p>
    <w:p w14:paraId="1FF424AB" w14:textId="77777777" w:rsidR="001F27D2" w:rsidRPr="002B2A7F" w:rsidRDefault="001F27D2" w:rsidP="001F27D2">
      <w:pPr>
        <w:pStyle w:val="Heading2"/>
        <w:rPr>
          <w:rFonts w:asciiTheme="minorHAnsi" w:hAnsiTheme="minorHAnsi"/>
        </w:rPr>
      </w:pPr>
      <w:bookmarkStart w:id="346" w:name="_Toc524935585"/>
      <w:bookmarkStart w:id="347" w:name="_Toc531122878"/>
      <w:bookmarkStart w:id="348" w:name="_Toc532812410"/>
      <w:r w:rsidRPr="002B2A7F">
        <w:rPr>
          <w:rFonts w:asciiTheme="minorHAnsi" w:hAnsiTheme="minorHAnsi"/>
        </w:rPr>
        <w:t>The age and condition of Eden District’s housing</w:t>
      </w:r>
      <w:bookmarkEnd w:id="346"/>
      <w:bookmarkEnd w:id="347"/>
      <w:bookmarkEnd w:id="348"/>
    </w:p>
    <w:p w14:paraId="742F7B86" w14:textId="77777777" w:rsidR="001F27D2" w:rsidRPr="002B2A7F" w:rsidRDefault="001F27D2" w:rsidP="001F27D2">
      <w:pPr>
        <w:pStyle w:val="Reporttext"/>
      </w:pPr>
      <w:r w:rsidRPr="002B2A7F">
        <w:t>The age profile of Eden’s dwelling stock is summarised in Table 4.8.</w:t>
      </w:r>
    </w:p>
    <w:p w14:paraId="5CA2C7DA" w14:textId="77777777" w:rsidR="001F27D2" w:rsidRPr="002B2A7F" w:rsidRDefault="001F27D2" w:rsidP="001F27D2">
      <w:pPr>
        <w:pStyle w:val="Reporttext"/>
        <w:numPr>
          <w:ilvl w:val="0"/>
          <w:numId w:val="0"/>
        </w:numPr>
        <w:ind w:left="709"/>
      </w:pPr>
    </w:p>
    <w:tbl>
      <w:tblPr>
        <w:tblW w:w="8602" w:type="dxa"/>
        <w:tblInd w:w="720"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4208"/>
        <w:gridCol w:w="2268"/>
        <w:gridCol w:w="2126"/>
      </w:tblGrid>
      <w:tr w:rsidR="001F27D2" w:rsidRPr="00580B37" w14:paraId="20701F87" w14:textId="77777777" w:rsidTr="001F27D2">
        <w:trPr>
          <w:trHeight w:val="265"/>
        </w:trPr>
        <w:tc>
          <w:tcPr>
            <w:tcW w:w="8602" w:type="dxa"/>
            <w:gridSpan w:val="3"/>
            <w:shd w:val="clear" w:color="auto" w:fill="009999"/>
            <w:vAlign w:val="bottom"/>
            <w:hideMark/>
          </w:tcPr>
          <w:p w14:paraId="6BD9DFEB" w14:textId="77777777" w:rsidR="001F27D2" w:rsidRPr="00580B37" w:rsidRDefault="001F27D2" w:rsidP="00580B37">
            <w:pPr>
              <w:pStyle w:val="Tableheading1"/>
            </w:pPr>
            <w:bookmarkStart w:id="349" w:name="RANGE!B4"/>
            <w:bookmarkStart w:id="350" w:name="_Toc524935673"/>
            <w:bookmarkStart w:id="351" w:name="_Toc531122944"/>
            <w:bookmarkStart w:id="352" w:name="_Toc532812479"/>
            <w:r w:rsidRPr="00580B37">
              <w:t>Table 4.8</w:t>
            </w:r>
            <w:r w:rsidRPr="00580B37">
              <w:tab/>
              <w:t>Age of dwelling</w:t>
            </w:r>
            <w:bookmarkEnd w:id="349"/>
            <w:bookmarkEnd w:id="350"/>
            <w:bookmarkEnd w:id="351"/>
            <w:bookmarkEnd w:id="352"/>
          </w:p>
        </w:tc>
      </w:tr>
      <w:tr w:rsidR="001F27D2" w:rsidRPr="00580B37" w14:paraId="552E31E8" w14:textId="77777777" w:rsidTr="001F27D2">
        <w:trPr>
          <w:trHeight w:val="339"/>
        </w:trPr>
        <w:tc>
          <w:tcPr>
            <w:tcW w:w="4208" w:type="dxa"/>
            <w:shd w:val="clear" w:color="auto" w:fill="009999"/>
            <w:noWrap/>
            <w:vAlign w:val="center"/>
            <w:hideMark/>
          </w:tcPr>
          <w:p w14:paraId="087639EA" w14:textId="77777777" w:rsidR="001F27D2" w:rsidRPr="00580B37" w:rsidRDefault="001F27D2" w:rsidP="00580B37">
            <w:pPr>
              <w:spacing w:before="0" w:after="0"/>
              <w:rPr>
                <w:rFonts w:cs="Calibri"/>
                <w:b/>
                <w:bCs/>
                <w:color w:val="FFFFFF"/>
                <w:sz w:val="22"/>
                <w:szCs w:val="22"/>
              </w:rPr>
            </w:pPr>
            <w:r w:rsidRPr="00580B37">
              <w:rPr>
                <w:rFonts w:cs="Calibri"/>
                <w:b/>
                <w:bCs/>
                <w:color w:val="FFFFFF"/>
                <w:sz w:val="22"/>
                <w:szCs w:val="22"/>
              </w:rPr>
              <w:t>Age of Dwellings</w:t>
            </w:r>
          </w:p>
        </w:tc>
        <w:tc>
          <w:tcPr>
            <w:tcW w:w="2268" w:type="dxa"/>
            <w:shd w:val="clear" w:color="auto" w:fill="009999"/>
            <w:noWrap/>
            <w:vAlign w:val="center"/>
            <w:hideMark/>
          </w:tcPr>
          <w:p w14:paraId="3A987E81" w14:textId="77777777" w:rsidR="001F27D2" w:rsidRPr="00580B37" w:rsidRDefault="001F27D2" w:rsidP="00580B37">
            <w:pPr>
              <w:spacing w:before="0" w:after="0"/>
              <w:jc w:val="center"/>
              <w:rPr>
                <w:rFonts w:cs="Calibri"/>
                <w:b/>
                <w:bCs/>
                <w:color w:val="FFFFFF"/>
                <w:sz w:val="22"/>
                <w:szCs w:val="22"/>
              </w:rPr>
            </w:pPr>
            <w:r w:rsidRPr="00580B37">
              <w:rPr>
                <w:rFonts w:cs="Calibri"/>
                <w:b/>
                <w:bCs/>
                <w:color w:val="FFFFFF"/>
                <w:sz w:val="22"/>
                <w:szCs w:val="22"/>
              </w:rPr>
              <w:t>Number</w:t>
            </w:r>
          </w:p>
        </w:tc>
        <w:tc>
          <w:tcPr>
            <w:tcW w:w="2126" w:type="dxa"/>
            <w:shd w:val="clear" w:color="auto" w:fill="009999"/>
            <w:noWrap/>
            <w:vAlign w:val="center"/>
            <w:hideMark/>
          </w:tcPr>
          <w:p w14:paraId="0739F30F" w14:textId="77777777" w:rsidR="001F27D2" w:rsidRPr="00580B37" w:rsidRDefault="001F27D2" w:rsidP="00580B37">
            <w:pPr>
              <w:spacing w:before="0" w:after="0"/>
              <w:jc w:val="center"/>
              <w:rPr>
                <w:rFonts w:cs="Calibri"/>
                <w:b/>
                <w:bCs/>
                <w:color w:val="FFFFFF"/>
                <w:sz w:val="22"/>
                <w:szCs w:val="22"/>
              </w:rPr>
            </w:pPr>
            <w:r w:rsidRPr="00580B37">
              <w:rPr>
                <w:rFonts w:cs="Calibri"/>
                <w:b/>
                <w:bCs/>
                <w:color w:val="FFFFFF"/>
                <w:sz w:val="22"/>
                <w:szCs w:val="22"/>
              </w:rPr>
              <w:t>%</w:t>
            </w:r>
          </w:p>
        </w:tc>
      </w:tr>
      <w:tr w:rsidR="001F27D2" w:rsidRPr="00580B37" w14:paraId="6B45EFB4" w14:textId="77777777" w:rsidTr="001F27D2">
        <w:trPr>
          <w:trHeight w:val="300"/>
        </w:trPr>
        <w:tc>
          <w:tcPr>
            <w:tcW w:w="4208" w:type="dxa"/>
            <w:shd w:val="clear" w:color="000000" w:fill="FFFFFF"/>
            <w:noWrap/>
            <w:vAlign w:val="bottom"/>
            <w:hideMark/>
          </w:tcPr>
          <w:p w14:paraId="683D789B"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pre-1919</w:t>
            </w:r>
          </w:p>
        </w:tc>
        <w:tc>
          <w:tcPr>
            <w:tcW w:w="2268" w:type="dxa"/>
            <w:shd w:val="clear" w:color="auto" w:fill="auto"/>
            <w:noWrap/>
            <w:vAlign w:val="center"/>
          </w:tcPr>
          <w:p w14:paraId="1948BEA8"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9550</w:t>
            </w:r>
          </w:p>
        </w:tc>
        <w:tc>
          <w:tcPr>
            <w:tcW w:w="2126" w:type="dxa"/>
            <w:shd w:val="clear" w:color="auto" w:fill="auto"/>
            <w:noWrap/>
            <w:vAlign w:val="center"/>
          </w:tcPr>
          <w:p w14:paraId="16C6FF89"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37.2%</w:t>
            </w:r>
          </w:p>
        </w:tc>
      </w:tr>
      <w:tr w:rsidR="001F27D2" w:rsidRPr="00580B37" w14:paraId="16D767DF" w14:textId="77777777" w:rsidTr="001F27D2">
        <w:trPr>
          <w:trHeight w:val="300"/>
        </w:trPr>
        <w:tc>
          <w:tcPr>
            <w:tcW w:w="4208" w:type="dxa"/>
            <w:shd w:val="clear" w:color="000000" w:fill="FFFFFF"/>
            <w:noWrap/>
            <w:vAlign w:val="bottom"/>
            <w:hideMark/>
          </w:tcPr>
          <w:p w14:paraId="7509AA6C"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1919-44</w:t>
            </w:r>
          </w:p>
        </w:tc>
        <w:tc>
          <w:tcPr>
            <w:tcW w:w="2268" w:type="dxa"/>
            <w:shd w:val="clear" w:color="auto" w:fill="auto"/>
            <w:noWrap/>
            <w:vAlign w:val="center"/>
          </w:tcPr>
          <w:p w14:paraId="0EDBEFF1"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1550</w:t>
            </w:r>
          </w:p>
        </w:tc>
        <w:tc>
          <w:tcPr>
            <w:tcW w:w="2126" w:type="dxa"/>
            <w:shd w:val="clear" w:color="auto" w:fill="auto"/>
            <w:noWrap/>
            <w:vAlign w:val="center"/>
          </w:tcPr>
          <w:p w14:paraId="2690AA06"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6.0%</w:t>
            </w:r>
          </w:p>
        </w:tc>
      </w:tr>
      <w:tr w:rsidR="001F27D2" w:rsidRPr="00580B37" w14:paraId="2D6FDC00" w14:textId="77777777" w:rsidTr="001F27D2">
        <w:trPr>
          <w:trHeight w:val="300"/>
        </w:trPr>
        <w:tc>
          <w:tcPr>
            <w:tcW w:w="4208" w:type="dxa"/>
            <w:shd w:val="clear" w:color="000000" w:fill="FFFFFF"/>
            <w:noWrap/>
            <w:vAlign w:val="bottom"/>
            <w:hideMark/>
          </w:tcPr>
          <w:p w14:paraId="60B8989F"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1945-64</w:t>
            </w:r>
          </w:p>
        </w:tc>
        <w:tc>
          <w:tcPr>
            <w:tcW w:w="2268" w:type="dxa"/>
            <w:shd w:val="clear" w:color="auto" w:fill="auto"/>
            <w:noWrap/>
            <w:vAlign w:val="center"/>
          </w:tcPr>
          <w:p w14:paraId="24C3F7F6"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2550</w:t>
            </w:r>
          </w:p>
        </w:tc>
        <w:tc>
          <w:tcPr>
            <w:tcW w:w="2126" w:type="dxa"/>
            <w:shd w:val="clear" w:color="auto" w:fill="auto"/>
            <w:noWrap/>
            <w:vAlign w:val="center"/>
          </w:tcPr>
          <w:p w14:paraId="0D0C56F0"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9.9%</w:t>
            </w:r>
          </w:p>
        </w:tc>
      </w:tr>
      <w:tr w:rsidR="001F27D2" w:rsidRPr="00580B37" w14:paraId="395F7A21" w14:textId="77777777" w:rsidTr="001F27D2">
        <w:trPr>
          <w:trHeight w:val="300"/>
        </w:trPr>
        <w:tc>
          <w:tcPr>
            <w:tcW w:w="4208" w:type="dxa"/>
            <w:shd w:val="clear" w:color="000000" w:fill="FFFFFF"/>
            <w:noWrap/>
            <w:vAlign w:val="bottom"/>
            <w:hideMark/>
          </w:tcPr>
          <w:p w14:paraId="3757C949"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1965-82</w:t>
            </w:r>
          </w:p>
        </w:tc>
        <w:tc>
          <w:tcPr>
            <w:tcW w:w="2268" w:type="dxa"/>
            <w:shd w:val="clear" w:color="auto" w:fill="auto"/>
            <w:noWrap/>
            <w:vAlign w:val="center"/>
          </w:tcPr>
          <w:p w14:paraId="3DD1D4D4"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3630</w:t>
            </w:r>
          </w:p>
        </w:tc>
        <w:tc>
          <w:tcPr>
            <w:tcW w:w="2126" w:type="dxa"/>
            <w:shd w:val="clear" w:color="auto" w:fill="auto"/>
            <w:noWrap/>
            <w:vAlign w:val="center"/>
          </w:tcPr>
          <w:p w14:paraId="35DEA4A7"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14.2%</w:t>
            </w:r>
          </w:p>
        </w:tc>
      </w:tr>
      <w:tr w:rsidR="001F27D2" w:rsidRPr="00580B37" w14:paraId="5181D381" w14:textId="77777777" w:rsidTr="001F27D2">
        <w:trPr>
          <w:trHeight w:val="300"/>
        </w:trPr>
        <w:tc>
          <w:tcPr>
            <w:tcW w:w="4208" w:type="dxa"/>
            <w:shd w:val="clear" w:color="000000" w:fill="FFFFFF"/>
            <w:noWrap/>
            <w:vAlign w:val="bottom"/>
            <w:hideMark/>
          </w:tcPr>
          <w:p w14:paraId="1EDD0734"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1983-99</w:t>
            </w:r>
          </w:p>
        </w:tc>
        <w:tc>
          <w:tcPr>
            <w:tcW w:w="2268" w:type="dxa"/>
            <w:shd w:val="clear" w:color="auto" w:fill="auto"/>
            <w:noWrap/>
            <w:vAlign w:val="center"/>
          </w:tcPr>
          <w:p w14:paraId="206A06BF"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4700</w:t>
            </w:r>
          </w:p>
        </w:tc>
        <w:tc>
          <w:tcPr>
            <w:tcW w:w="2126" w:type="dxa"/>
            <w:shd w:val="clear" w:color="auto" w:fill="auto"/>
            <w:noWrap/>
            <w:vAlign w:val="center"/>
          </w:tcPr>
          <w:p w14:paraId="1E919159"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18.3%</w:t>
            </w:r>
          </w:p>
        </w:tc>
      </w:tr>
      <w:tr w:rsidR="001F27D2" w:rsidRPr="00580B37" w14:paraId="6FCA0D04" w14:textId="77777777" w:rsidTr="001F27D2">
        <w:trPr>
          <w:trHeight w:val="300"/>
        </w:trPr>
        <w:tc>
          <w:tcPr>
            <w:tcW w:w="4208" w:type="dxa"/>
            <w:shd w:val="clear" w:color="000000" w:fill="FFFFFF"/>
            <w:noWrap/>
            <w:vAlign w:val="bottom"/>
            <w:hideMark/>
          </w:tcPr>
          <w:p w14:paraId="7C9BE356"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post 1999</w:t>
            </w:r>
          </w:p>
        </w:tc>
        <w:tc>
          <w:tcPr>
            <w:tcW w:w="2268" w:type="dxa"/>
            <w:shd w:val="clear" w:color="auto" w:fill="auto"/>
            <w:noWrap/>
            <w:vAlign w:val="center"/>
          </w:tcPr>
          <w:p w14:paraId="036D5487"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3670</w:t>
            </w:r>
          </w:p>
        </w:tc>
        <w:tc>
          <w:tcPr>
            <w:tcW w:w="2126" w:type="dxa"/>
            <w:shd w:val="clear" w:color="auto" w:fill="auto"/>
            <w:noWrap/>
            <w:vAlign w:val="center"/>
          </w:tcPr>
          <w:p w14:paraId="1450834E"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14.3%</w:t>
            </w:r>
          </w:p>
        </w:tc>
      </w:tr>
      <w:tr w:rsidR="001F27D2" w:rsidRPr="00580B37" w14:paraId="23169B12" w14:textId="77777777" w:rsidTr="001F27D2">
        <w:trPr>
          <w:trHeight w:val="300"/>
        </w:trPr>
        <w:tc>
          <w:tcPr>
            <w:tcW w:w="4208" w:type="dxa"/>
            <w:shd w:val="clear" w:color="000000" w:fill="FFFFFF"/>
            <w:noWrap/>
            <w:vAlign w:val="bottom"/>
            <w:hideMark/>
          </w:tcPr>
          <w:p w14:paraId="35624FCF" w14:textId="77777777" w:rsidR="001F27D2" w:rsidRPr="00580B37" w:rsidRDefault="001F27D2" w:rsidP="00580B37">
            <w:pPr>
              <w:spacing w:before="0" w:after="0"/>
              <w:rPr>
                <w:rFonts w:cs="Calibri"/>
                <w:b/>
                <w:bCs/>
                <w:color w:val="000000"/>
                <w:sz w:val="22"/>
                <w:szCs w:val="22"/>
              </w:rPr>
            </w:pPr>
            <w:r w:rsidRPr="00580B37">
              <w:rPr>
                <w:rFonts w:cs="Calibri"/>
                <w:b/>
                <w:bCs/>
                <w:color w:val="000000"/>
                <w:sz w:val="22"/>
                <w:szCs w:val="22"/>
              </w:rPr>
              <w:t>Total</w:t>
            </w:r>
          </w:p>
        </w:tc>
        <w:tc>
          <w:tcPr>
            <w:tcW w:w="2268" w:type="dxa"/>
            <w:shd w:val="clear" w:color="auto" w:fill="auto"/>
            <w:noWrap/>
            <w:vAlign w:val="center"/>
          </w:tcPr>
          <w:p w14:paraId="179C8DB2" w14:textId="77777777" w:rsidR="001F27D2" w:rsidRPr="00580B37" w:rsidRDefault="001F27D2" w:rsidP="00580B37">
            <w:pPr>
              <w:spacing w:before="0" w:after="0"/>
              <w:jc w:val="center"/>
              <w:rPr>
                <w:rFonts w:cs="Calibri"/>
                <w:b/>
                <w:bCs/>
                <w:color w:val="000000"/>
                <w:sz w:val="22"/>
                <w:szCs w:val="22"/>
              </w:rPr>
            </w:pPr>
            <w:r w:rsidRPr="00580B37">
              <w:rPr>
                <w:rFonts w:cs="Calibri"/>
                <w:b/>
                <w:bCs/>
                <w:color w:val="000000"/>
                <w:sz w:val="22"/>
                <w:szCs w:val="22"/>
              </w:rPr>
              <w:t>25650</w:t>
            </w:r>
          </w:p>
        </w:tc>
        <w:tc>
          <w:tcPr>
            <w:tcW w:w="2126" w:type="dxa"/>
            <w:shd w:val="clear" w:color="auto" w:fill="auto"/>
            <w:noWrap/>
            <w:vAlign w:val="center"/>
          </w:tcPr>
          <w:p w14:paraId="6BF4A2CE" w14:textId="77777777" w:rsidR="001F27D2" w:rsidRPr="00580B37" w:rsidRDefault="001F27D2" w:rsidP="00580B37">
            <w:pPr>
              <w:spacing w:before="0" w:after="0"/>
              <w:jc w:val="center"/>
              <w:rPr>
                <w:rFonts w:cs="Calibri"/>
                <w:b/>
                <w:bCs/>
                <w:color w:val="000000"/>
                <w:sz w:val="22"/>
                <w:szCs w:val="22"/>
              </w:rPr>
            </w:pPr>
            <w:r w:rsidRPr="00580B37">
              <w:rPr>
                <w:rFonts w:cs="Calibri"/>
                <w:color w:val="000000"/>
                <w:sz w:val="22"/>
                <w:szCs w:val="22"/>
              </w:rPr>
              <w:t>100.0%</w:t>
            </w:r>
          </w:p>
        </w:tc>
      </w:tr>
    </w:tbl>
    <w:p w14:paraId="3547BA1C" w14:textId="77777777" w:rsidR="001F27D2" w:rsidRPr="002B2A7F" w:rsidRDefault="001F27D2" w:rsidP="001F27D2">
      <w:pPr>
        <w:ind w:left="709"/>
        <w:rPr>
          <w:rFonts w:asciiTheme="minorHAnsi" w:hAnsiTheme="minorHAnsi" w:cs="Calibri"/>
          <w:sz w:val="20"/>
          <w:szCs w:val="20"/>
        </w:rPr>
      </w:pPr>
      <w:r w:rsidRPr="002B2A7F">
        <w:rPr>
          <w:rFonts w:asciiTheme="minorHAnsi" w:hAnsiTheme="minorHAnsi" w:cs="Calibri"/>
          <w:sz w:val="20"/>
          <w:szCs w:val="20"/>
        </w:rPr>
        <w:t>Source: Valuation Office Agency 2017</w:t>
      </w:r>
    </w:p>
    <w:p w14:paraId="1BBBA355" w14:textId="77777777" w:rsidR="001F27D2" w:rsidRPr="002B2A7F" w:rsidRDefault="001F27D2" w:rsidP="001F27D2">
      <w:pPr>
        <w:rPr>
          <w:rFonts w:asciiTheme="minorHAnsi" w:hAnsiTheme="minorHAnsi" w:cs="Calibri"/>
          <w:sz w:val="20"/>
          <w:szCs w:val="20"/>
        </w:rPr>
      </w:pPr>
    </w:p>
    <w:p w14:paraId="0875C195" w14:textId="77777777" w:rsidR="001F27D2" w:rsidRPr="002B2A7F" w:rsidRDefault="001F27D2" w:rsidP="001F27D2">
      <w:pPr>
        <w:pStyle w:val="Reporttext"/>
      </w:pPr>
      <w:r w:rsidRPr="002B2A7F">
        <w:t xml:space="preserve">The English Housing Survey produces national data on housing condition. Applying national trends to the stock profile of Eden District would suggest that around 22.5% of dwelling stock is non-decent, which is slightly higher than the national average of 20.6%. </w:t>
      </w:r>
      <w:r w:rsidRPr="002B2A7F">
        <w:lastRenderedPageBreak/>
        <w:t xml:space="preserve">The number of dwellings likely to fail the minimum standard of decent homes criteria is estimated to be 14.3% (compared with 11.9% nationally). </w:t>
      </w:r>
    </w:p>
    <w:p w14:paraId="28903278" w14:textId="77777777" w:rsidR="001F27D2" w:rsidRPr="002B2A7F" w:rsidRDefault="001F27D2" w:rsidP="001F27D2">
      <w:pPr>
        <w:pStyle w:val="Reporttext"/>
      </w:pPr>
      <w:r w:rsidRPr="002B2A7F">
        <w:t>A full definition of what constitutes a decent home is available from MHCLG</w:t>
      </w:r>
      <w:r w:rsidRPr="002B2A7F">
        <w:rPr>
          <w:rStyle w:val="FootnoteReference"/>
        </w:rPr>
        <w:footnoteReference w:id="13"/>
      </w:r>
      <w:r w:rsidRPr="002B2A7F">
        <w:t xml:space="preserve"> but in summary a decent home meets the following four criteria:</w:t>
      </w:r>
    </w:p>
    <w:p w14:paraId="3EECE80E" w14:textId="77777777" w:rsidR="001F27D2" w:rsidRPr="002B2A7F" w:rsidRDefault="001F27D2" w:rsidP="001F27D2">
      <w:pPr>
        <w:pStyle w:val="Reporttext"/>
      </w:pPr>
      <w:r w:rsidRPr="002B2A7F">
        <w:t>It meets the current statutory minimum for housing;</w:t>
      </w:r>
    </w:p>
    <w:p w14:paraId="218F3F59" w14:textId="77777777" w:rsidR="001F27D2" w:rsidRPr="002B2A7F" w:rsidRDefault="001F27D2" w:rsidP="001F27D2">
      <w:pPr>
        <w:pStyle w:val="Reporttext"/>
      </w:pPr>
      <w:r w:rsidRPr="002B2A7F">
        <w:t>It is in a reasonable state of repair;</w:t>
      </w:r>
    </w:p>
    <w:p w14:paraId="0F7E0024" w14:textId="77777777" w:rsidR="001F27D2" w:rsidRPr="002B2A7F" w:rsidRDefault="001F27D2" w:rsidP="001F27D2">
      <w:pPr>
        <w:pStyle w:val="Reporttext"/>
      </w:pPr>
      <w:r w:rsidRPr="002B2A7F">
        <w:t>It has reasonably modern facilities and services; and</w:t>
      </w:r>
    </w:p>
    <w:p w14:paraId="6FD83181" w14:textId="77777777" w:rsidR="001F27D2" w:rsidRPr="002B2A7F" w:rsidRDefault="001F27D2" w:rsidP="001F27D2">
      <w:pPr>
        <w:pStyle w:val="Reporttext"/>
      </w:pPr>
      <w:r w:rsidRPr="002B2A7F">
        <w:t>It provides a reasonable degree of thermal comfort.</w:t>
      </w:r>
    </w:p>
    <w:p w14:paraId="53F00631" w14:textId="77777777" w:rsidR="001F27D2" w:rsidRPr="002B2A7F" w:rsidRDefault="001F27D2" w:rsidP="001F27D2">
      <w:pPr>
        <w:rPr>
          <w:rFonts w:asciiTheme="minorHAnsi" w:hAnsiTheme="minorHAnsi" w:cs="Calibri"/>
        </w:rPr>
      </w:pPr>
    </w:p>
    <w:p w14:paraId="3A2A6808" w14:textId="77777777" w:rsidR="001F27D2" w:rsidRPr="002B2A7F" w:rsidRDefault="001F27D2" w:rsidP="001F27D2">
      <w:pPr>
        <w:ind w:firstLine="709"/>
        <w:rPr>
          <w:rFonts w:asciiTheme="minorHAnsi" w:hAnsiTheme="minorHAnsi" w:cs="Calibri"/>
          <w:b/>
          <w:bCs/>
        </w:rPr>
      </w:pPr>
    </w:p>
    <w:p w14:paraId="07E5D9C5" w14:textId="77777777" w:rsidR="001F27D2" w:rsidRPr="002B2A7F" w:rsidRDefault="001F27D2" w:rsidP="001F27D2">
      <w:pPr>
        <w:rPr>
          <w:rFonts w:asciiTheme="minorHAnsi" w:hAnsiTheme="minorHAnsi" w:cs="Calibri"/>
          <w:b/>
          <w:bCs/>
        </w:rPr>
        <w:sectPr w:rsidR="001F27D2" w:rsidRPr="002B2A7F" w:rsidSect="002B41F6">
          <w:headerReference w:type="default" r:id="rId45"/>
          <w:footerReference w:type="default" r:id="rId46"/>
          <w:pgSz w:w="11906" w:h="16838"/>
          <w:pgMar w:top="1440" w:right="1276" w:bottom="1134" w:left="1440" w:header="709" w:footer="567" w:gutter="0"/>
          <w:cols w:space="720"/>
        </w:sectPr>
      </w:pP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1936"/>
        <w:gridCol w:w="1936"/>
        <w:gridCol w:w="845"/>
        <w:gridCol w:w="1111"/>
        <w:gridCol w:w="983"/>
        <w:gridCol w:w="1844"/>
        <w:gridCol w:w="977"/>
        <w:gridCol w:w="2614"/>
        <w:gridCol w:w="1866"/>
      </w:tblGrid>
      <w:tr w:rsidR="001F27D2" w:rsidRPr="00580B37" w14:paraId="09485084" w14:textId="77777777" w:rsidTr="001F27D2">
        <w:trPr>
          <w:trHeight w:val="300"/>
        </w:trPr>
        <w:tc>
          <w:tcPr>
            <w:tcW w:w="5000" w:type="pct"/>
            <w:gridSpan w:val="9"/>
            <w:shd w:val="clear" w:color="000000" w:fill="008080"/>
            <w:noWrap/>
            <w:vAlign w:val="center"/>
            <w:hideMark/>
          </w:tcPr>
          <w:p w14:paraId="17E00C66" w14:textId="77777777" w:rsidR="001F27D2" w:rsidRPr="00580B37" w:rsidRDefault="001F27D2" w:rsidP="00580B37">
            <w:pPr>
              <w:pStyle w:val="Tableheading1"/>
            </w:pPr>
            <w:bookmarkStart w:id="353" w:name="_Toc531122945"/>
            <w:bookmarkStart w:id="354" w:name="_Toc532812480"/>
            <w:bookmarkStart w:id="355" w:name="_Toc524935674"/>
            <w:r w:rsidRPr="00580B37">
              <w:lastRenderedPageBreak/>
              <w:t>Table 4.9</w:t>
            </w:r>
            <w:r w:rsidRPr="00580B37">
              <w:tab/>
              <w:t>Dwelling stock condition estimates for England and Eden District</w:t>
            </w:r>
            <w:bookmarkEnd w:id="353"/>
            <w:bookmarkEnd w:id="354"/>
            <w:r w:rsidRPr="00580B37">
              <w:t xml:space="preserve"> </w:t>
            </w:r>
            <w:bookmarkEnd w:id="355"/>
          </w:p>
        </w:tc>
      </w:tr>
      <w:tr w:rsidR="001F27D2" w:rsidRPr="00580B37" w14:paraId="080BD3ED" w14:textId="77777777" w:rsidTr="001F27D2">
        <w:trPr>
          <w:trHeight w:val="300"/>
        </w:trPr>
        <w:tc>
          <w:tcPr>
            <w:tcW w:w="1674" w:type="pct"/>
            <w:gridSpan w:val="3"/>
            <w:shd w:val="clear" w:color="000000" w:fill="008080"/>
            <w:noWrap/>
            <w:vAlign w:val="center"/>
            <w:hideMark/>
          </w:tcPr>
          <w:p w14:paraId="364598EB" w14:textId="77777777" w:rsidR="001F27D2" w:rsidRPr="00580B37" w:rsidRDefault="001F27D2" w:rsidP="00580B37">
            <w:pPr>
              <w:spacing w:before="0" w:after="0"/>
              <w:rPr>
                <w:rFonts w:cs="Calibri"/>
                <w:b/>
                <w:bCs/>
                <w:color w:val="FFFFFF"/>
                <w:sz w:val="22"/>
                <w:szCs w:val="22"/>
              </w:rPr>
            </w:pPr>
            <w:r w:rsidRPr="00580B37">
              <w:rPr>
                <w:rFonts w:cs="Calibri"/>
                <w:b/>
                <w:bCs/>
                <w:color w:val="FFFFFF"/>
                <w:sz w:val="22"/>
                <w:szCs w:val="22"/>
              </w:rPr>
              <w:t>England</w:t>
            </w:r>
          </w:p>
        </w:tc>
        <w:tc>
          <w:tcPr>
            <w:tcW w:w="1737" w:type="pct"/>
            <w:gridSpan w:val="4"/>
            <w:shd w:val="clear" w:color="000000" w:fill="008080"/>
            <w:vAlign w:val="center"/>
            <w:hideMark/>
          </w:tcPr>
          <w:p w14:paraId="2708355B" w14:textId="77777777" w:rsidR="001F27D2" w:rsidRPr="00580B37" w:rsidRDefault="001F27D2" w:rsidP="00580B37">
            <w:pPr>
              <w:spacing w:before="0" w:after="0"/>
              <w:jc w:val="center"/>
              <w:rPr>
                <w:rFonts w:cs="Calibri"/>
                <w:b/>
                <w:bCs/>
                <w:color w:val="FFFFFF"/>
                <w:sz w:val="22"/>
                <w:szCs w:val="22"/>
              </w:rPr>
            </w:pPr>
            <w:r w:rsidRPr="00580B37">
              <w:rPr>
                <w:rFonts w:cs="Calibri"/>
                <w:b/>
                <w:bCs/>
                <w:color w:val="FFFFFF"/>
                <w:sz w:val="22"/>
                <w:szCs w:val="22"/>
              </w:rPr>
              <w:t>Fails decent homes criteria</w:t>
            </w:r>
          </w:p>
        </w:tc>
        <w:tc>
          <w:tcPr>
            <w:tcW w:w="927" w:type="pct"/>
            <w:shd w:val="clear" w:color="000000" w:fill="008080"/>
            <w:noWrap/>
            <w:vAlign w:val="center"/>
            <w:hideMark/>
          </w:tcPr>
          <w:p w14:paraId="00F3B091" w14:textId="77777777" w:rsidR="001F27D2" w:rsidRPr="00580B37" w:rsidRDefault="001F27D2" w:rsidP="00580B37">
            <w:pPr>
              <w:spacing w:before="0" w:after="0"/>
              <w:jc w:val="center"/>
              <w:rPr>
                <w:rFonts w:cs="Calibri"/>
                <w:b/>
                <w:bCs/>
                <w:color w:val="FFFFFF"/>
                <w:sz w:val="22"/>
                <w:szCs w:val="22"/>
              </w:rPr>
            </w:pPr>
            <w:r w:rsidRPr="00580B37">
              <w:rPr>
                <w:rFonts w:cs="Calibri"/>
                <w:b/>
                <w:bCs/>
                <w:color w:val="FFFFFF"/>
                <w:sz w:val="22"/>
                <w:szCs w:val="22"/>
              </w:rPr>
              <w:t>All dwellings</w:t>
            </w:r>
          </w:p>
        </w:tc>
        <w:tc>
          <w:tcPr>
            <w:tcW w:w="662" w:type="pct"/>
            <w:vMerge w:val="restart"/>
            <w:shd w:val="clear" w:color="000000" w:fill="008080"/>
            <w:noWrap/>
            <w:vAlign w:val="center"/>
            <w:hideMark/>
          </w:tcPr>
          <w:p w14:paraId="1FC94940" w14:textId="77777777" w:rsidR="001F27D2" w:rsidRPr="00580B37" w:rsidRDefault="001F27D2" w:rsidP="00580B37">
            <w:pPr>
              <w:spacing w:before="0" w:after="0"/>
              <w:jc w:val="center"/>
              <w:rPr>
                <w:rFonts w:cs="Calibri"/>
                <w:b/>
                <w:bCs/>
                <w:color w:val="FFFFFF"/>
                <w:sz w:val="22"/>
                <w:szCs w:val="22"/>
              </w:rPr>
            </w:pPr>
            <w:r w:rsidRPr="00580B37">
              <w:rPr>
                <w:rFonts w:cs="Calibri"/>
                <w:b/>
                <w:bCs/>
                <w:color w:val="FFFFFF"/>
                <w:sz w:val="22"/>
                <w:szCs w:val="22"/>
              </w:rPr>
              <w:t>% dwellings</w:t>
            </w:r>
          </w:p>
        </w:tc>
      </w:tr>
      <w:tr w:rsidR="001F27D2" w:rsidRPr="00580B37" w14:paraId="2D9378A1" w14:textId="77777777" w:rsidTr="001F27D2">
        <w:trPr>
          <w:trHeight w:val="280"/>
        </w:trPr>
        <w:tc>
          <w:tcPr>
            <w:tcW w:w="687" w:type="pct"/>
            <w:vMerge w:val="restart"/>
            <w:shd w:val="clear" w:color="000000" w:fill="008080"/>
            <w:noWrap/>
            <w:vAlign w:val="center"/>
            <w:hideMark/>
          </w:tcPr>
          <w:p w14:paraId="48CDE880" w14:textId="77777777" w:rsidR="001F27D2" w:rsidRPr="00580B37" w:rsidRDefault="001F27D2" w:rsidP="00580B37">
            <w:pPr>
              <w:spacing w:before="0" w:after="0"/>
              <w:jc w:val="center"/>
              <w:rPr>
                <w:rFonts w:cs="Calibri"/>
                <w:b/>
                <w:bCs/>
                <w:color w:val="FFFFFF"/>
                <w:sz w:val="22"/>
                <w:szCs w:val="22"/>
              </w:rPr>
            </w:pPr>
            <w:r w:rsidRPr="00580B37">
              <w:rPr>
                <w:rFonts w:cs="Calibri"/>
                <w:b/>
                <w:bCs/>
                <w:color w:val="FFFFFF"/>
                <w:sz w:val="22"/>
                <w:szCs w:val="22"/>
              </w:rPr>
              <w:t>Dwelling age (ehs)</w:t>
            </w:r>
          </w:p>
        </w:tc>
        <w:tc>
          <w:tcPr>
            <w:tcW w:w="687" w:type="pct"/>
            <w:vMerge w:val="restart"/>
            <w:shd w:val="clear" w:color="000000" w:fill="008080"/>
            <w:noWrap/>
            <w:vAlign w:val="center"/>
            <w:hideMark/>
          </w:tcPr>
          <w:p w14:paraId="1E5D5DF1" w14:textId="77777777" w:rsidR="001F27D2" w:rsidRPr="00580B37" w:rsidRDefault="001F27D2" w:rsidP="00580B37">
            <w:pPr>
              <w:spacing w:before="0" w:after="0"/>
              <w:rPr>
                <w:rFonts w:cs="Calibri"/>
                <w:b/>
                <w:bCs/>
                <w:color w:val="FFFFFF"/>
                <w:sz w:val="22"/>
                <w:szCs w:val="22"/>
              </w:rPr>
            </w:pPr>
            <w:r w:rsidRPr="00580B37">
              <w:rPr>
                <w:rFonts w:cs="Calibri"/>
                <w:b/>
                <w:bCs/>
                <w:color w:val="FFFFFF"/>
                <w:sz w:val="22"/>
                <w:szCs w:val="22"/>
              </w:rPr>
              <w:t> </w:t>
            </w:r>
          </w:p>
        </w:tc>
        <w:tc>
          <w:tcPr>
            <w:tcW w:w="300" w:type="pct"/>
            <w:vMerge w:val="restart"/>
            <w:shd w:val="clear" w:color="000000" w:fill="008080"/>
            <w:vAlign w:val="center"/>
            <w:hideMark/>
          </w:tcPr>
          <w:p w14:paraId="7EE9A3D7" w14:textId="77777777" w:rsidR="001F27D2" w:rsidRPr="00580B37" w:rsidRDefault="001F27D2" w:rsidP="00580B37">
            <w:pPr>
              <w:spacing w:before="0" w:after="0"/>
              <w:jc w:val="center"/>
              <w:rPr>
                <w:rFonts w:cs="Calibri"/>
                <w:b/>
                <w:bCs/>
                <w:color w:val="FFFFFF"/>
                <w:sz w:val="22"/>
                <w:szCs w:val="22"/>
              </w:rPr>
            </w:pPr>
            <w:r w:rsidRPr="00580B37">
              <w:rPr>
                <w:rFonts w:cs="Calibri"/>
                <w:b/>
                <w:bCs/>
                <w:color w:val="FFFFFF"/>
                <w:sz w:val="22"/>
                <w:szCs w:val="22"/>
              </w:rPr>
              <w:t>Non-decent</w:t>
            </w:r>
          </w:p>
        </w:tc>
        <w:tc>
          <w:tcPr>
            <w:tcW w:w="387" w:type="pct"/>
            <w:shd w:val="clear" w:color="000000" w:fill="008080"/>
            <w:vAlign w:val="center"/>
            <w:hideMark/>
          </w:tcPr>
          <w:p w14:paraId="643F5F45" w14:textId="77777777" w:rsidR="001F27D2" w:rsidRPr="00580B37" w:rsidRDefault="001F27D2" w:rsidP="00580B37">
            <w:pPr>
              <w:spacing w:before="0" w:after="0"/>
              <w:jc w:val="center"/>
              <w:rPr>
                <w:rFonts w:cs="Calibri"/>
                <w:b/>
                <w:bCs/>
                <w:color w:val="FFFFFF"/>
                <w:sz w:val="22"/>
                <w:szCs w:val="22"/>
              </w:rPr>
            </w:pPr>
            <w:r w:rsidRPr="00580B37">
              <w:rPr>
                <w:rFonts w:cs="Calibri"/>
                <w:b/>
                <w:bCs/>
                <w:color w:val="FFFFFF"/>
                <w:sz w:val="22"/>
                <w:szCs w:val="22"/>
              </w:rPr>
              <w:t>Minimum</w:t>
            </w:r>
          </w:p>
        </w:tc>
        <w:tc>
          <w:tcPr>
            <w:tcW w:w="349" w:type="pct"/>
            <w:vMerge w:val="restart"/>
            <w:shd w:val="clear" w:color="000000" w:fill="008080"/>
            <w:vAlign w:val="center"/>
            <w:hideMark/>
          </w:tcPr>
          <w:p w14:paraId="6E36D71F" w14:textId="77777777" w:rsidR="001F27D2" w:rsidRPr="00580B37" w:rsidRDefault="001F27D2" w:rsidP="00580B37">
            <w:pPr>
              <w:spacing w:before="0" w:after="0"/>
              <w:jc w:val="center"/>
              <w:rPr>
                <w:rFonts w:cs="Calibri"/>
                <w:b/>
                <w:bCs/>
                <w:color w:val="FFFFFF"/>
                <w:sz w:val="22"/>
                <w:szCs w:val="22"/>
              </w:rPr>
            </w:pPr>
            <w:r w:rsidRPr="00580B37">
              <w:rPr>
                <w:rFonts w:cs="Calibri"/>
                <w:b/>
                <w:bCs/>
                <w:color w:val="FFFFFF"/>
                <w:sz w:val="22"/>
                <w:szCs w:val="22"/>
              </w:rPr>
              <w:t>Repair</w:t>
            </w:r>
          </w:p>
        </w:tc>
        <w:tc>
          <w:tcPr>
            <w:tcW w:w="654" w:type="pct"/>
            <w:vMerge w:val="restart"/>
            <w:shd w:val="clear" w:color="000000" w:fill="008080"/>
            <w:vAlign w:val="center"/>
            <w:hideMark/>
          </w:tcPr>
          <w:p w14:paraId="48E7A02B" w14:textId="77777777" w:rsidR="001F27D2" w:rsidRPr="00580B37" w:rsidRDefault="001F27D2" w:rsidP="00580B37">
            <w:pPr>
              <w:spacing w:before="0" w:after="0"/>
              <w:jc w:val="center"/>
              <w:rPr>
                <w:rFonts w:cs="Calibri"/>
                <w:b/>
                <w:bCs/>
                <w:color w:val="FFFFFF"/>
                <w:sz w:val="22"/>
                <w:szCs w:val="22"/>
              </w:rPr>
            </w:pPr>
            <w:r w:rsidRPr="00580B37">
              <w:rPr>
                <w:rFonts w:cs="Calibri"/>
                <w:b/>
                <w:bCs/>
                <w:color w:val="FFFFFF"/>
                <w:sz w:val="22"/>
                <w:szCs w:val="22"/>
              </w:rPr>
              <w:t>Modern facilities and services</w:t>
            </w:r>
          </w:p>
        </w:tc>
        <w:tc>
          <w:tcPr>
            <w:tcW w:w="347" w:type="pct"/>
            <w:shd w:val="clear" w:color="000000" w:fill="008080"/>
            <w:vAlign w:val="center"/>
            <w:hideMark/>
          </w:tcPr>
          <w:p w14:paraId="78F87EA3" w14:textId="77777777" w:rsidR="001F27D2" w:rsidRPr="00580B37" w:rsidRDefault="001F27D2" w:rsidP="00580B37">
            <w:pPr>
              <w:spacing w:before="0" w:after="0"/>
              <w:jc w:val="center"/>
              <w:rPr>
                <w:rFonts w:cs="Calibri"/>
                <w:b/>
                <w:bCs/>
                <w:color w:val="FFFFFF"/>
                <w:sz w:val="22"/>
                <w:szCs w:val="22"/>
              </w:rPr>
            </w:pPr>
            <w:r w:rsidRPr="00580B37">
              <w:rPr>
                <w:rFonts w:cs="Calibri"/>
                <w:b/>
                <w:bCs/>
                <w:color w:val="FFFFFF"/>
                <w:sz w:val="22"/>
                <w:szCs w:val="22"/>
              </w:rPr>
              <w:t>Thermal</w:t>
            </w:r>
          </w:p>
        </w:tc>
        <w:tc>
          <w:tcPr>
            <w:tcW w:w="927" w:type="pct"/>
            <w:shd w:val="clear" w:color="000000" w:fill="008080"/>
            <w:noWrap/>
            <w:vAlign w:val="center"/>
            <w:hideMark/>
          </w:tcPr>
          <w:p w14:paraId="701F3E6E" w14:textId="77777777" w:rsidR="001F27D2" w:rsidRPr="00580B37" w:rsidRDefault="001F27D2" w:rsidP="00580B37">
            <w:pPr>
              <w:spacing w:before="0" w:after="0"/>
              <w:jc w:val="center"/>
              <w:rPr>
                <w:rFonts w:cs="Calibri"/>
                <w:b/>
                <w:bCs/>
                <w:color w:val="FFFFFF"/>
                <w:sz w:val="22"/>
                <w:szCs w:val="22"/>
              </w:rPr>
            </w:pPr>
            <w:r w:rsidRPr="00580B37">
              <w:rPr>
                <w:rFonts w:cs="Calibri"/>
                <w:b/>
                <w:bCs/>
                <w:color w:val="FFFFFF"/>
                <w:sz w:val="22"/>
                <w:szCs w:val="22"/>
              </w:rPr>
              <w:t>in group (000s)</w:t>
            </w:r>
          </w:p>
        </w:tc>
        <w:tc>
          <w:tcPr>
            <w:tcW w:w="662" w:type="pct"/>
            <w:vMerge/>
            <w:vAlign w:val="center"/>
            <w:hideMark/>
          </w:tcPr>
          <w:p w14:paraId="79AAEEAE" w14:textId="77777777" w:rsidR="001F27D2" w:rsidRPr="00580B37" w:rsidRDefault="001F27D2" w:rsidP="00580B37">
            <w:pPr>
              <w:spacing w:before="0" w:after="0"/>
              <w:rPr>
                <w:rFonts w:cs="Calibri"/>
                <w:b/>
                <w:bCs/>
                <w:color w:val="FFFFFF"/>
                <w:sz w:val="22"/>
                <w:szCs w:val="22"/>
              </w:rPr>
            </w:pPr>
          </w:p>
        </w:tc>
      </w:tr>
      <w:tr w:rsidR="001F27D2" w:rsidRPr="00580B37" w14:paraId="3BBA9A4E" w14:textId="77777777" w:rsidTr="001F27D2">
        <w:trPr>
          <w:trHeight w:val="300"/>
        </w:trPr>
        <w:tc>
          <w:tcPr>
            <w:tcW w:w="687" w:type="pct"/>
            <w:vMerge/>
            <w:vAlign w:val="center"/>
            <w:hideMark/>
          </w:tcPr>
          <w:p w14:paraId="0D87963A" w14:textId="77777777" w:rsidR="001F27D2" w:rsidRPr="00580B37" w:rsidRDefault="001F27D2" w:rsidP="00580B37">
            <w:pPr>
              <w:spacing w:before="0" w:after="0"/>
              <w:rPr>
                <w:rFonts w:cs="Calibri"/>
                <w:b/>
                <w:bCs/>
                <w:color w:val="FFFFFF"/>
                <w:sz w:val="22"/>
                <w:szCs w:val="22"/>
              </w:rPr>
            </w:pPr>
          </w:p>
        </w:tc>
        <w:tc>
          <w:tcPr>
            <w:tcW w:w="687" w:type="pct"/>
            <w:vMerge/>
            <w:vAlign w:val="center"/>
            <w:hideMark/>
          </w:tcPr>
          <w:p w14:paraId="259AEB77" w14:textId="77777777" w:rsidR="001F27D2" w:rsidRPr="00580B37" w:rsidRDefault="001F27D2" w:rsidP="00580B37">
            <w:pPr>
              <w:spacing w:before="0" w:after="0"/>
              <w:rPr>
                <w:rFonts w:cs="Calibri"/>
                <w:b/>
                <w:bCs/>
                <w:color w:val="FFFFFF"/>
                <w:sz w:val="22"/>
                <w:szCs w:val="22"/>
              </w:rPr>
            </w:pPr>
          </w:p>
        </w:tc>
        <w:tc>
          <w:tcPr>
            <w:tcW w:w="300" w:type="pct"/>
            <w:vMerge/>
            <w:vAlign w:val="center"/>
            <w:hideMark/>
          </w:tcPr>
          <w:p w14:paraId="4347F724" w14:textId="77777777" w:rsidR="001F27D2" w:rsidRPr="00580B37" w:rsidRDefault="001F27D2" w:rsidP="00580B37">
            <w:pPr>
              <w:spacing w:before="0" w:after="0"/>
              <w:rPr>
                <w:rFonts w:cs="Calibri"/>
                <w:b/>
                <w:bCs/>
                <w:color w:val="FFFFFF"/>
                <w:sz w:val="22"/>
                <w:szCs w:val="22"/>
              </w:rPr>
            </w:pPr>
          </w:p>
        </w:tc>
        <w:tc>
          <w:tcPr>
            <w:tcW w:w="387" w:type="pct"/>
            <w:shd w:val="clear" w:color="000000" w:fill="008080"/>
            <w:vAlign w:val="center"/>
            <w:hideMark/>
          </w:tcPr>
          <w:p w14:paraId="3AE101C9" w14:textId="77777777" w:rsidR="001F27D2" w:rsidRPr="00580B37" w:rsidRDefault="001F27D2" w:rsidP="00580B37">
            <w:pPr>
              <w:spacing w:before="0" w:after="0"/>
              <w:jc w:val="center"/>
              <w:rPr>
                <w:rFonts w:cs="Calibri"/>
                <w:b/>
                <w:bCs/>
                <w:color w:val="FFFFFF"/>
                <w:sz w:val="22"/>
                <w:szCs w:val="22"/>
              </w:rPr>
            </w:pPr>
            <w:r w:rsidRPr="00580B37">
              <w:rPr>
                <w:rFonts w:cs="Calibri"/>
                <w:b/>
                <w:bCs/>
                <w:color w:val="FFFFFF"/>
                <w:sz w:val="22"/>
                <w:szCs w:val="22"/>
              </w:rPr>
              <w:t>standard</w:t>
            </w:r>
          </w:p>
        </w:tc>
        <w:tc>
          <w:tcPr>
            <w:tcW w:w="349" w:type="pct"/>
            <w:vMerge/>
            <w:vAlign w:val="center"/>
            <w:hideMark/>
          </w:tcPr>
          <w:p w14:paraId="650E5076" w14:textId="77777777" w:rsidR="001F27D2" w:rsidRPr="00580B37" w:rsidRDefault="001F27D2" w:rsidP="00580B37">
            <w:pPr>
              <w:spacing w:before="0" w:after="0"/>
              <w:rPr>
                <w:rFonts w:cs="Calibri"/>
                <w:b/>
                <w:bCs/>
                <w:color w:val="FFFFFF"/>
                <w:sz w:val="22"/>
                <w:szCs w:val="22"/>
              </w:rPr>
            </w:pPr>
          </w:p>
        </w:tc>
        <w:tc>
          <w:tcPr>
            <w:tcW w:w="654" w:type="pct"/>
            <w:vMerge/>
            <w:vAlign w:val="center"/>
            <w:hideMark/>
          </w:tcPr>
          <w:p w14:paraId="7131B3E7" w14:textId="77777777" w:rsidR="001F27D2" w:rsidRPr="00580B37" w:rsidRDefault="001F27D2" w:rsidP="00580B37">
            <w:pPr>
              <w:spacing w:before="0" w:after="0"/>
              <w:rPr>
                <w:rFonts w:cs="Calibri"/>
                <w:b/>
                <w:bCs/>
                <w:color w:val="FFFFFF"/>
                <w:sz w:val="22"/>
                <w:szCs w:val="22"/>
              </w:rPr>
            </w:pPr>
          </w:p>
        </w:tc>
        <w:tc>
          <w:tcPr>
            <w:tcW w:w="347" w:type="pct"/>
            <w:shd w:val="clear" w:color="000000" w:fill="008080"/>
            <w:vAlign w:val="center"/>
            <w:hideMark/>
          </w:tcPr>
          <w:p w14:paraId="1ACF9A7C" w14:textId="77777777" w:rsidR="001F27D2" w:rsidRPr="00580B37" w:rsidRDefault="001F27D2" w:rsidP="00580B37">
            <w:pPr>
              <w:spacing w:before="0" w:after="0"/>
              <w:jc w:val="center"/>
              <w:rPr>
                <w:rFonts w:cs="Calibri"/>
                <w:b/>
                <w:bCs/>
                <w:color w:val="FFFFFF"/>
                <w:sz w:val="22"/>
                <w:szCs w:val="22"/>
              </w:rPr>
            </w:pPr>
            <w:r w:rsidRPr="00580B37">
              <w:rPr>
                <w:rFonts w:cs="Calibri"/>
                <w:b/>
                <w:bCs/>
                <w:color w:val="FFFFFF"/>
                <w:sz w:val="22"/>
                <w:szCs w:val="22"/>
              </w:rPr>
              <w:t>comfort</w:t>
            </w:r>
          </w:p>
        </w:tc>
        <w:tc>
          <w:tcPr>
            <w:tcW w:w="927" w:type="pct"/>
            <w:shd w:val="clear" w:color="000000" w:fill="008080"/>
            <w:noWrap/>
            <w:vAlign w:val="bottom"/>
            <w:hideMark/>
          </w:tcPr>
          <w:p w14:paraId="29663A60"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 </w:t>
            </w:r>
          </w:p>
        </w:tc>
        <w:tc>
          <w:tcPr>
            <w:tcW w:w="662" w:type="pct"/>
            <w:vMerge/>
            <w:vAlign w:val="center"/>
            <w:hideMark/>
          </w:tcPr>
          <w:p w14:paraId="51DA389C" w14:textId="77777777" w:rsidR="001F27D2" w:rsidRPr="00580B37" w:rsidRDefault="001F27D2" w:rsidP="00580B37">
            <w:pPr>
              <w:spacing w:before="0" w:after="0"/>
              <w:rPr>
                <w:rFonts w:cs="Calibri"/>
                <w:b/>
                <w:bCs/>
                <w:color w:val="FFFFFF"/>
                <w:sz w:val="22"/>
                <w:szCs w:val="22"/>
              </w:rPr>
            </w:pPr>
          </w:p>
        </w:tc>
      </w:tr>
      <w:tr w:rsidR="001F27D2" w:rsidRPr="00580B37" w14:paraId="510F5EA7" w14:textId="77777777" w:rsidTr="001F27D2">
        <w:trPr>
          <w:trHeight w:val="340"/>
        </w:trPr>
        <w:tc>
          <w:tcPr>
            <w:tcW w:w="687" w:type="pct"/>
            <w:shd w:val="clear" w:color="000000" w:fill="FFFFFF"/>
            <w:noWrap/>
            <w:vAlign w:val="center"/>
            <w:hideMark/>
          </w:tcPr>
          <w:p w14:paraId="00BE6FD1"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pre-1919</w:t>
            </w:r>
          </w:p>
        </w:tc>
        <w:tc>
          <w:tcPr>
            <w:tcW w:w="687" w:type="pct"/>
            <w:shd w:val="clear" w:color="000000" w:fill="FFFFFF"/>
            <w:noWrap/>
            <w:vAlign w:val="bottom"/>
            <w:hideMark/>
          </w:tcPr>
          <w:p w14:paraId="24D4515C" w14:textId="77777777" w:rsidR="001F27D2" w:rsidRPr="00580B37" w:rsidRDefault="001F27D2" w:rsidP="00580B37">
            <w:pPr>
              <w:spacing w:before="0" w:after="0"/>
              <w:jc w:val="right"/>
              <w:rPr>
                <w:rFonts w:cs="Calibri"/>
                <w:sz w:val="22"/>
                <w:szCs w:val="22"/>
              </w:rPr>
            </w:pPr>
            <w:r w:rsidRPr="00580B37">
              <w:rPr>
                <w:rFonts w:cs="Calibri"/>
                <w:sz w:val="22"/>
                <w:szCs w:val="22"/>
              </w:rPr>
              <w:t> </w:t>
            </w:r>
          </w:p>
        </w:tc>
        <w:tc>
          <w:tcPr>
            <w:tcW w:w="300" w:type="pct"/>
            <w:shd w:val="clear" w:color="000000" w:fill="FFFFFF"/>
            <w:noWrap/>
            <w:vAlign w:val="bottom"/>
            <w:hideMark/>
          </w:tcPr>
          <w:p w14:paraId="00420540" w14:textId="77777777" w:rsidR="001F27D2" w:rsidRPr="00580B37" w:rsidRDefault="001F27D2" w:rsidP="00580B37">
            <w:pPr>
              <w:spacing w:before="0" w:after="0"/>
              <w:jc w:val="center"/>
              <w:rPr>
                <w:rFonts w:cs="Calibri"/>
                <w:sz w:val="22"/>
                <w:szCs w:val="22"/>
              </w:rPr>
            </w:pPr>
            <w:r w:rsidRPr="00580B37">
              <w:rPr>
                <w:rFonts w:cs="Calibri"/>
                <w:sz w:val="22"/>
                <w:szCs w:val="22"/>
              </w:rPr>
              <w:t>40.1</w:t>
            </w:r>
          </w:p>
        </w:tc>
        <w:tc>
          <w:tcPr>
            <w:tcW w:w="387" w:type="pct"/>
            <w:shd w:val="clear" w:color="000000" w:fill="FFFFFF"/>
            <w:noWrap/>
            <w:vAlign w:val="bottom"/>
            <w:hideMark/>
          </w:tcPr>
          <w:p w14:paraId="7FD02A85" w14:textId="77777777" w:rsidR="001F27D2" w:rsidRPr="00580B37" w:rsidRDefault="001F27D2" w:rsidP="00580B37">
            <w:pPr>
              <w:spacing w:before="0" w:after="0"/>
              <w:jc w:val="center"/>
              <w:rPr>
                <w:rFonts w:cs="Calibri"/>
                <w:sz w:val="22"/>
                <w:szCs w:val="22"/>
              </w:rPr>
            </w:pPr>
            <w:r w:rsidRPr="00580B37">
              <w:rPr>
                <w:rFonts w:cs="Calibri"/>
                <w:sz w:val="22"/>
                <w:szCs w:val="22"/>
              </w:rPr>
              <w:t>28.7</w:t>
            </w:r>
          </w:p>
        </w:tc>
        <w:tc>
          <w:tcPr>
            <w:tcW w:w="349" w:type="pct"/>
            <w:shd w:val="clear" w:color="000000" w:fill="FFFFFF"/>
            <w:noWrap/>
            <w:vAlign w:val="bottom"/>
            <w:hideMark/>
          </w:tcPr>
          <w:p w14:paraId="6FFC36B3" w14:textId="77777777" w:rsidR="001F27D2" w:rsidRPr="00580B37" w:rsidRDefault="001F27D2" w:rsidP="00580B37">
            <w:pPr>
              <w:spacing w:before="0" w:after="0"/>
              <w:jc w:val="center"/>
              <w:rPr>
                <w:rFonts w:cs="Calibri"/>
                <w:sz w:val="22"/>
                <w:szCs w:val="22"/>
              </w:rPr>
            </w:pPr>
            <w:r w:rsidRPr="00580B37">
              <w:rPr>
                <w:rFonts w:cs="Calibri"/>
                <w:sz w:val="22"/>
                <w:szCs w:val="22"/>
              </w:rPr>
              <w:t>11.2</w:t>
            </w:r>
          </w:p>
        </w:tc>
        <w:tc>
          <w:tcPr>
            <w:tcW w:w="654" w:type="pct"/>
            <w:shd w:val="clear" w:color="000000" w:fill="FFFFFF"/>
            <w:noWrap/>
            <w:vAlign w:val="bottom"/>
            <w:hideMark/>
          </w:tcPr>
          <w:p w14:paraId="39CB63BE" w14:textId="77777777" w:rsidR="001F27D2" w:rsidRPr="00580B37" w:rsidRDefault="001F27D2" w:rsidP="00580B37">
            <w:pPr>
              <w:spacing w:before="0" w:after="0"/>
              <w:jc w:val="center"/>
              <w:rPr>
                <w:rFonts w:cs="Calibri"/>
                <w:sz w:val="22"/>
                <w:szCs w:val="22"/>
              </w:rPr>
            </w:pPr>
            <w:r w:rsidRPr="00580B37">
              <w:rPr>
                <w:rFonts w:cs="Calibri"/>
                <w:sz w:val="22"/>
                <w:szCs w:val="22"/>
              </w:rPr>
              <w:t>3.9</w:t>
            </w:r>
          </w:p>
        </w:tc>
        <w:tc>
          <w:tcPr>
            <w:tcW w:w="347" w:type="pct"/>
            <w:shd w:val="clear" w:color="000000" w:fill="FFFFFF"/>
            <w:noWrap/>
            <w:vAlign w:val="bottom"/>
            <w:hideMark/>
          </w:tcPr>
          <w:p w14:paraId="4ABE4D75" w14:textId="77777777" w:rsidR="001F27D2" w:rsidRPr="00580B37" w:rsidRDefault="001F27D2" w:rsidP="00580B37">
            <w:pPr>
              <w:spacing w:before="0" w:after="0"/>
              <w:jc w:val="center"/>
              <w:rPr>
                <w:rFonts w:cs="Calibri"/>
                <w:sz w:val="22"/>
                <w:szCs w:val="22"/>
              </w:rPr>
            </w:pPr>
            <w:r w:rsidRPr="00580B37">
              <w:rPr>
                <w:rFonts w:cs="Calibri"/>
                <w:sz w:val="22"/>
                <w:szCs w:val="22"/>
              </w:rPr>
              <w:t>11.9</w:t>
            </w:r>
          </w:p>
        </w:tc>
        <w:tc>
          <w:tcPr>
            <w:tcW w:w="927" w:type="pct"/>
            <w:shd w:val="clear" w:color="000000" w:fill="FFFFFF"/>
            <w:noWrap/>
            <w:vAlign w:val="bottom"/>
            <w:hideMark/>
          </w:tcPr>
          <w:p w14:paraId="01AE6EC1" w14:textId="77777777" w:rsidR="001F27D2" w:rsidRPr="00580B37" w:rsidRDefault="001F27D2" w:rsidP="00580B37">
            <w:pPr>
              <w:spacing w:before="0" w:after="0"/>
              <w:jc w:val="center"/>
              <w:rPr>
                <w:rFonts w:cs="Calibri"/>
                <w:sz w:val="22"/>
                <w:szCs w:val="22"/>
              </w:rPr>
            </w:pPr>
            <w:r w:rsidRPr="00580B37">
              <w:rPr>
                <w:rFonts w:cs="Calibri"/>
                <w:sz w:val="22"/>
                <w:szCs w:val="22"/>
              </w:rPr>
              <w:t>4,648</w:t>
            </w:r>
          </w:p>
        </w:tc>
        <w:tc>
          <w:tcPr>
            <w:tcW w:w="662" w:type="pct"/>
            <w:shd w:val="clear" w:color="000000" w:fill="FFFFFF"/>
            <w:noWrap/>
            <w:vAlign w:val="bottom"/>
            <w:hideMark/>
          </w:tcPr>
          <w:p w14:paraId="1BDB8F26"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20.0</w:t>
            </w:r>
          </w:p>
        </w:tc>
      </w:tr>
      <w:tr w:rsidR="001F27D2" w:rsidRPr="00580B37" w14:paraId="05B335CF" w14:textId="77777777" w:rsidTr="001F27D2">
        <w:trPr>
          <w:trHeight w:val="340"/>
        </w:trPr>
        <w:tc>
          <w:tcPr>
            <w:tcW w:w="687" w:type="pct"/>
            <w:shd w:val="clear" w:color="000000" w:fill="FFFFFF"/>
            <w:noWrap/>
            <w:vAlign w:val="center"/>
            <w:hideMark/>
          </w:tcPr>
          <w:p w14:paraId="55AEFFD6"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1919-44</w:t>
            </w:r>
          </w:p>
        </w:tc>
        <w:tc>
          <w:tcPr>
            <w:tcW w:w="687" w:type="pct"/>
            <w:shd w:val="clear" w:color="000000" w:fill="FFFFFF"/>
            <w:noWrap/>
            <w:vAlign w:val="bottom"/>
            <w:hideMark/>
          </w:tcPr>
          <w:p w14:paraId="3599A669" w14:textId="77777777" w:rsidR="001F27D2" w:rsidRPr="00580B37" w:rsidRDefault="001F27D2" w:rsidP="00580B37">
            <w:pPr>
              <w:spacing w:before="0" w:after="0"/>
              <w:jc w:val="right"/>
              <w:rPr>
                <w:rFonts w:cs="Calibri"/>
                <w:sz w:val="22"/>
                <w:szCs w:val="22"/>
              </w:rPr>
            </w:pPr>
            <w:r w:rsidRPr="00580B37">
              <w:rPr>
                <w:rFonts w:cs="Calibri"/>
                <w:sz w:val="22"/>
                <w:szCs w:val="22"/>
              </w:rPr>
              <w:t> </w:t>
            </w:r>
          </w:p>
        </w:tc>
        <w:tc>
          <w:tcPr>
            <w:tcW w:w="300" w:type="pct"/>
            <w:shd w:val="clear" w:color="000000" w:fill="FFFFFF"/>
            <w:noWrap/>
            <w:vAlign w:val="bottom"/>
            <w:hideMark/>
          </w:tcPr>
          <w:p w14:paraId="6291D2AC" w14:textId="77777777" w:rsidR="001F27D2" w:rsidRPr="00580B37" w:rsidRDefault="001F27D2" w:rsidP="00580B37">
            <w:pPr>
              <w:spacing w:before="0" w:after="0"/>
              <w:jc w:val="center"/>
              <w:rPr>
                <w:rFonts w:cs="Calibri"/>
                <w:sz w:val="22"/>
                <w:szCs w:val="22"/>
              </w:rPr>
            </w:pPr>
            <w:r w:rsidRPr="00580B37">
              <w:rPr>
                <w:rFonts w:cs="Calibri"/>
                <w:sz w:val="22"/>
                <w:szCs w:val="22"/>
              </w:rPr>
              <w:t>24.1</w:t>
            </w:r>
          </w:p>
        </w:tc>
        <w:tc>
          <w:tcPr>
            <w:tcW w:w="387" w:type="pct"/>
            <w:shd w:val="clear" w:color="000000" w:fill="FFFFFF"/>
            <w:noWrap/>
            <w:vAlign w:val="bottom"/>
            <w:hideMark/>
          </w:tcPr>
          <w:p w14:paraId="0F4C0A19" w14:textId="77777777" w:rsidR="001F27D2" w:rsidRPr="00580B37" w:rsidRDefault="001F27D2" w:rsidP="00580B37">
            <w:pPr>
              <w:spacing w:before="0" w:after="0"/>
              <w:jc w:val="center"/>
              <w:rPr>
                <w:rFonts w:cs="Calibri"/>
                <w:sz w:val="22"/>
                <w:szCs w:val="22"/>
              </w:rPr>
            </w:pPr>
            <w:r w:rsidRPr="00580B37">
              <w:rPr>
                <w:rFonts w:cs="Calibri"/>
                <w:sz w:val="22"/>
                <w:szCs w:val="22"/>
              </w:rPr>
              <w:t>13.1</w:t>
            </w:r>
          </w:p>
        </w:tc>
        <w:tc>
          <w:tcPr>
            <w:tcW w:w="349" w:type="pct"/>
            <w:shd w:val="clear" w:color="000000" w:fill="FFFFFF"/>
            <w:noWrap/>
            <w:vAlign w:val="bottom"/>
            <w:hideMark/>
          </w:tcPr>
          <w:p w14:paraId="732C0CFD" w14:textId="77777777" w:rsidR="001F27D2" w:rsidRPr="00580B37" w:rsidRDefault="001F27D2" w:rsidP="00580B37">
            <w:pPr>
              <w:spacing w:before="0" w:after="0"/>
              <w:jc w:val="center"/>
              <w:rPr>
                <w:rFonts w:cs="Calibri"/>
                <w:sz w:val="22"/>
                <w:szCs w:val="22"/>
              </w:rPr>
            </w:pPr>
            <w:r w:rsidRPr="00580B37">
              <w:rPr>
                <w:rFonts w:cs="Calibri"/>
                <w:sz w:val="22"/>
                <w:szCs w:val="22"/>
              </w:rPr>
              <w:t>7.6</w:t>
            </w:r>
          </w:p>
        </w:tc>
        <w:tc>
          <w:tcPr>
            <w:tcW w:w="654" w:type="pct"/>
            <w:shd w:val="clear" w:color="000000" w:fill="FFFFFF"/>
            <w:noWrap/>
            <w:vAlign w:val="bottom"/>
            <w:hideMark/>
          </w:tcPr>
          <w:p w14:paraId="7BFB30AE" w14:textId="77777777" w:rsidR="001F27D2" w:rsidRPr="00580B37" w:rsidRDefault="001F27D2" w:rsidP="00580B37">
            <w:pPr>
              <w:spacing w:before="0" w:after="0"/>
              <w:jc w:val="center"/>
              <w:rPr>
                <w:rFonts w:cs="Calibri"/>
                <w:sz w:val="22"/>
                <w:szCs w:val="22"/>
              </w:rPr>
            </w:pPr>
            <w:r w:rsidRPr="00580B37">
              <w:rPr>
                <w:rFonts w:cs="Calibri"/>
                <w:sz w:val="22"/>
                <w:szCs w:val="22"/>
              </w:rPr>
              <w:t>1.7</w:t>
            </w:r>
          </w:p>
        </w:tc>
        <w:tc>
          <w:tcPr>
            <w:tcW w:w="347" w:type="pct"/>
            <w:shd w:val="clear" w:color="000000" w:fill="FFFFFF"/>
            <w:noWrap/>
            <w:vAlign w:val="bottom"/>
            <w:hideMark/>
          </w:tcPr>
          <w:p w14:paraId="6E877D44" w14:textId="77777777" w:rsidR="001F27D2" w:rsidRPr="00580B37" w:rsidRDefault="001F27D2" w:rsidP="00580B37">
            <w:pPr>
              <w:spacing w:before="0" w:after="0"/>
              <w:jc w:val="center"/>
              <w:rPr>
                <w:rFonts w:cs="Calibri"/>
                <w:sz w:val="22"/>
                <w:szCs w:val="22"/>
              </w:rPr>
            </w:pPr>
            <w:r w:rsidRPr="00580B37">
              <w:rPr>
                <w:rFonts w:cs="Calibri"/>
                <w:sz w:val="22"/>
                <w:szCs w:val="22"/>
              </w:rPr>
              <w:t>7.6</w:t>
            </w:r>
          </w:p>
        </w:tc>
        <w:tc>
          <w:tcPr>
            <w:tcW w:w="927" w:type="pct"/>
            <w:shd w:val="clear" w:color="000000" w:fill="FFFFFF"/>
            <w:noWrap/>
            <w:vAlign w:val="bottom"/>
            <w:hideMark/>
          </w:tcPr>
          <w:p w14:paraId="5EDD95DC" w14:textId="77777777" w:rsidR="001F27D2" w:rsidRPr="00580B37" w:rsidRDefault="001F27D2" w:rsidP="00580B37">
            <w:pPr>
              <w:spacing w:before="0" w:after="0"/>
              <w:jc w:val="center"/>
              <w:rPr>
                <w:rFonts w:cs="Calibri"/>
                <w:sz w:val="22"/>
                <w:szCs w:val="22"/>
              </w:rPr>
            </w:pPr>
            <w:r w:rsidRPr="00580B37">
              <w:rPr>
                <w:rFonts w:cs="Calibri"/>
                <w:sz w:val="22"/>
                <w:szCs w:val="22"/>
              </w:rPr>
              <w:t>3,930</w:t>
            </w:r>
          </w:p>
        </w:tc>
        <w:tc>
          <w:tcPr>
            <w:tcW w:w="662" w:type="pct"/>
            <w:shd w:val="clear" w:color="000000" w:fill="FFFFFF"/>
            <w:noWrap/>
            <w:vAlign w:val="bottom"/>
            <w:hideMark/>
          </w:tcPr>
          <w:p w14:paraId="75CAF202"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16.9</w:t>
            </w:r>
          </w:p>
        </w:tc>
      </w:tr>
      <w:tr w:rsidR="001F27D2" w:rsidRPr="00580B37" w14:paraId="4396855D" w14:textId="77777777" w:rsidTr="001F27D2">
        <w:trPr>
          <w:trHeight w:val="340"/>
        </w:trPr>
        <w:tc>
          <w:tcPr>
            <w:tcW w:w="687" w:type="pct"/>
            <w:shd w:val="clear" w:color="000000" w:fill="FFFFFF"/>
            <w:noWrap/>
            <w:vAlign w:val="center"/>
            <w:hideMark/>
          </w:tcPr>
          <w:p w14:paraId="4723FC13"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1945-64</w:t>
            </w:r>
          </w:p>
        </w:tc>
        <w:tc>
          <w:tcPr>
            <w:tcW w:w="687" w:type="pct"/>
            <w:shd w:val="clear" w:color="000000" w:fill="FFFFFF"/>
            <w:noWrap/>
            <w:vAlign w:val="bottom"/>
            <w:hideMark/>
          </w:tcPr>
          <w:p w14:paraId="4A8A2F61" w14:textId="77777777" w:rsidR="001F27D2" w:rsidRPr="00580B37" w:rsidRDefault="001F27D2" w:rsidP="00580B37">
            <w:pPr>
              <w:spacing w:before="0" w:after="0"/>
              <w:jc w:val="right"/>
              <w:rPr>
                <w:rFonts w:cs="Calibri"/>
                <w:sz w:val="22"/>
                <w:szCs w:val="22"/>
              </w:rPr>
            </w:pPr>
            <w:r w:rsidRPr="00580B37">
              <w:rPr>
                <w:rFonts w:cs="Calibri"/>
                <w:sz w:val="22"/>
                <w:szCs w:val="22"/>
              </w:rPr>
              <w:t> </w:t>
            </w:r>
          </w:p>
        </w:tc>
        <w:tc>
          <w:tcPr>
            <w:tcW w:w="300" w:type="pct"/>
            <w:shd w:val="clear" w:color="000000" w:fill="FFFFFF"/>
            <w:noWrap/>
            <w:vAlign w:val="bottom"/>
            <w:hideMark/>
          </w:tcPr>
          <w:p w14:paraId="32488B35" w14:textId="77777777" w:rsidR="001F27D2" w:rsidRPr="00580B37" w:rsidRDefault="001F27D2" w:rsidP="00580B37">
            <w:pPr>
              <w:spacing w:before="0" w:after="0"/>
              <w:jc w:val="center"/>
              <w:rPr>
                <w:rFonts w:cs="Calibri"/>
                <w:sz w:val="22"/>
                <w:szCs w:val="22"/>
              </w:rPr>
            </w:pPr>
            <w:r w:rsidRPr="00580B37">
              <w:rPr>
                <w:rFonts w:cs="Calibri"/>
                <w:sz w:val="22"/>
                <w:szCs w:val="22"/>
              </w:rPr>
              <w:t>16.6</w:t>
            </w:r>
          </w:p>
        </w:tc>
        <w:tc>
          <w:tcPr>
            <w:tcW w:w="387" w:type="pct"/>
            <w:shd w:val="clear" w:color="000000" w:fill="FFFFFF"/>
            <w:noWrap/>
            <w:vAlign w:val="bottom"/>
            <w:hideMark/>
          </w:tcPr>
          <w:p w14:paraId="24114A78" w14:textId="77777777" w:rsidR="001F27D2" w:rsidRPr="00580B37" w:rsidRDefault="001F27D2" w:rsidP="00580B37">
            <w:pPr>
              <w:spacing w:before="0" w:after="0"/>
              <w:jc w:val="center"/>
              <w:rPr>
                <w:rFonts w:cs="Calibri"/>
                <w:sz w:val="22"/>
                <w:szCs w:val="22"/>
              </w:rPr>
            </w:pPr>
            <w:r w:rsidRPr="00580B37">
              <w:rPr>
                <w:rFonts w:cs="Calibri"/>
                <w:sz w:val="22"/>
                <w:szCs w:val="22"/>
              </w:rPr>
              <w:t>8.0</w:t>
            </w:r>
          </w:p>
        </w:tc>
        <w:tc>
          <w:tcPr>
            <w:tcW w:w="349" w:type="pct"/>
            <w:shd w:val="clear" w:color="000000" w:fill="FFFFFF"/>
            <w:noWrap/>
            <w:vAlign w:val="bottom"/>
            <w:hideMark/>
          </w:tcPr>
          <w:p w14:paraId="4662ABBE" w14:textId="77777777" w:rsidR="001F27D2" w:rsidRPr="00580B37" w:rsidRDefault="001F27D2" w:rsidP="00580B37">
            <w:pPr>
              <w:spacing w:before="0" w:after="0"/>
              <w:jc w:val="center"/>
              <w:rPr>
                <w:rFonts w:cs="Calibri"/>
                <w:sz w:val="22"/>
                <w:szCs w:val="22"/>
              </w:rPr>
            </w:pPr>
            <w:r w:rsidRPr="00580B37">
              <w:rPr>
                <w:rFonts w:cs="Calibri"/>
                <w:sz w:val="22"/>
                <w:szCs w:val="22"/>
              </w:rPr>
              <w:t>3.6</w:t>
            </w:r>
          </w:p>
        </w:tc>
        <w:tc>
          <w:tcPr>
            <w:tcW w:w="654" w:type="pct"/>
            <w:shd w:val="clear" w:color="000000" w:fill="FFFFFF"/>
            <w:noWrap/>
            <w:vAlign w:val="bottom"/>
            <w:hideMark/>
          </w:tcPr>
          <w:p w14:paraId="5263832C" w14:textId="77777777" w:rsidR="001F27D2" w:rsidRPr="00580B37" w:rsidRDefault="001F27D2" w:rsidP="00580B37">
            <w:pPr>
              <w:spacing w:before="0" w:after="0"/>
              <w:jc w:val="center"/>
              <w:rPr>
                <w:rFonts w:cs="Calibri"/>
                <w:sz w:val="22"/>
                <w:szCs w:val="22"/>
              </w:rPr>
            </w:pPr>
            <w:r w:rsidRPr="00580B37">
              <w:rPr>
                <w:rFonts w:cs="Calibri"/>
                <w:sz w:val="22"/>
                <w:szCs w:val="22"/>
              </w:rPr>
              <w:t>2.0</w:t>
            </w:r>
          </w:p>
        </w:tc>
        <w:tc>
          <w:tcPr>
            <w:tcW w:w="347" w:type="pct"/>
            <w:shd w:val="clear" w:color="000000" w:fill="FFFFFF"/>
            <w:noWrap/>
            <w:vAlign w:val="bottom"/>
            <w:hideMark/>
          </w:tcPr>
          <w:p w14:paraId="4EABFF15" w14:textId="77777777" w:rsidR="001F27D2" w:rsidRPr="00580B37" w:rsidRDefault="001F27D2" w:rsidP="00580B37">
            <w:pPr>
              <w:spacing w:before="0" w:after="0"/>
              <w:jc w:val="center"/>
              <w:rPr>
                <w:rFonts w:cs="Calibri"/>
                <w:sz w:val="22"/>
                <w:szCs w:val="22"/>
              </w:rPr>
            </w:pPr>
            <w:r w:rsidRPr="00580B37">
              <w:rPr>
                <w:rFonts w:cs="Calibri"/>
                <w:sz w:val="22"/>
                <w:szCs w:val="22"/>
              </w:rPr>
              <w:t>5.7</w:t>
            </w:r>
          </w:p>
        </w:tc>
        <w:tc>
          <w:tcPr>
            <w:tcW w:w="927" w:type="pct"/>
            <w:shd w:val="clear" w:color="000000" w:fill="FFFFFF"/>
            <w:noWrap/>
            <w:vAlign w:val="bottom"/>
            <w:hideMark/>
          </w:tcPr>
          <w:p w14:paraId="3765A923" w14:textId="77777777" w:rsidR="001F27D2" w:rsidRPr="00580B37" w:rsidRDefault="001F27D2" w:rsidP="00580B37">
            <w:pPr>
              <w:spacing w:before="0" w:after="0"/>
              <w:jc w:val="center"/>
              <w:rPr>
                <w:rFonts w:cs="Calibri"/>
                <w:sz w:val="22"/>
                <w:szCs w:val="22"/>
              </w:rPr>
            </w:pPr>
            <w:r w:rsidRPr="00580B37">
              <w:rPr>
                <w:rFonts w:cs="Calibri"/>
                <w:sz w:val="22"/>
                <w:szCs w:val="22"/>
              </w:rPr>
              <w:t>4,505</w:t>
            </w:r>
          </w:p>
        </w:tc>
        <w:tc>
          <w:tcPr>
            <w:tcW w:w="662" w:type="pct"/>
            <w:shd w:val="clear" w:color="000000" w:fill="FFFFFF"/>
            <w:noWrap/>
            <w:vAlign w:val="bottom"/>
            <w:hideMark/>
          </w:tcPr>
          <w:p w14:paraId="52167BC1"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19.4</w:t>
            </w:r>
          </w:p>
        </w:tc>
      </w:tr>
      <w:tr w:rsidR="001F27D2" w:rsidRPr="00580B37" w14:paraId="68D289A1" w14:textId="77777777" w:rsidTr="001F27D2">
        <w:trPr>
          <w:trHeight w:val="340"/>
        </w:trPr>
        <w:tc>
          <w:tcPr>
            <w:tcW w:w="687" w:type="pct"/>
            <w:shd w:val="clear" w:color="000000" w:fill="FFFFFF"/>
            <w:noWrap/>
            <w:vAlign w:val="center"/>
            <w:hideMark/>
          </w:tcPr>
          <w:p w14:paraId="008709FF"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1965-80</w:t>
            </w:r>
          </w:p>
        </w:tc>
        <w:tc>
          <w:tcPr>
            <w:tcW w:w="687" w:type="pct"/>
            <w:shd w:val="clear" w:color="000000" w:fill="FFFFFF"/>
            <w:noWrap/>
            <w:vAlign w:val="bottom"/>
            <w:hideMark/>
          </w:tcPr>
          <w:p w14:paraId="57971A82" w14:textId="77777777" w:rsidR="001F27D2" w:rsidRPr="00580B37" w:rsidRDefault="001F27D2" w:rsidP="00580B37">
            <w:pPr>
              <w:spacing w:before="0" w:after="0"/>
              <w:jc w:val="right"/>
              <w:rPr>
                <w:rFonts w:cs="Calibri"/>
                <w:sz w:val="22"/>
                <w:szCs w:val="22"/>
              </w:rPr>
            </w:pPr>
            <w:r w:rsidRPr="00580B37">
              <w:rPr>
                <w:rFonts w:cs="Calibri"/>
                <w:sz w:val="22"/>
                <w:szCs w:val="22"/>
              </w:rPr>
              <w:t> </w:t>
            </w:r>
          </w:p>
        </w:tc>
        <w:tc>
          <w:tcPr>
            <w:tcW w:w="300" w:type="pct"/>
            <w:shd w:val="clear" w:color="000000" w:fill="FFFFFF"/>
            <w:noWrap/>
            <w:vAlign w:val="bottom"/>
            <w:hideMark/>
          </w:tcPr>
          <w:p w14:paraId="5AE0C0C5" w14:textId="77777777" w:rsidR="001F27D2" w:rsidRPr="00580B37" w:rsidRDefault="001F27D2" w:rsidP="00580B37">
            <w:pPr>
              <w:spacing w:before="0" w:after="0"/>
              <w:jc w:val="center"/>
              <w:rPr>
                <w:rFonts w:cs="Calibri"/>
                <w:sz w:val="22"/>
                <w:szCs w:val="22"/>
              </w:rPr>
            </w:pPr>
            <w:r w:rsidRPr="00580B37">
              <w:rPr>
                <w:rFonts w:cs="Calibri"/>
                <w:sz w:val="22"/>
                <w:szCs w:val="22"/>
              </w:rPr>
              <w:t>17.5</w:t>
            </w:r>
          </w:p>
        </w:tc>
        <w:tc>
          <w:tcPr>
            <w:tcW w:w="387" w:type="pct"/>
            <w:shd w:val="clear" w:color="000000" w:fill="FFFFFF"/>
            <w:noWrap/>
            <w:vAlign w:val="bottom"/>
            <w:hideMark/>
          </w:tcPr>
          <w:p w14:paraId="7B503F2C" w14:textId="77777777" w:rsidR="001F27D2" w:rsidRPr="00580B37" w:rsidRDefault="001F27D2" w:rsidP="00580B37">
            <w:pPr>
              <w:spacing w:before="0" w:after="0"/>
              <w:jc w:val="center"/>
              <w:rPr>
                <w:rFonts w:cs="Calibri"/>
                <w:sz w:val="22"/>
                <w:szCs w:val="22"/>
              </w:rPr>
            </w:pPr>
            <w:r w:rsidRPr="00580B37">
              <w:rPr>
                <w:rFonts w:cs="Calibri"/>
                <w:sz w:val="22"/>
                <w:szCs w:val="22"/>
              </w:rPr>
              <w:t>8.8</w:t>
            </w:r>
          </w:p>
        </w:tc>
        <w:tc>
          <w:tcPr>
            <w:tcW w:w="349" w:type="pct"/>
            <w:shd w:val="clear" w:color="000000" w:fill="FFFFFF"/>
            <w:noWrap/>
            <w:vAlign w:val="bottom"/>
            <w:hideMark/>
          </w:tcPr>
          <w:p w14:paraId="5094739E" w14:textId="77777777" w:rsidR="001F27D2" w:rsidRPr="00580B37" w:rsidRDefault="001F27D2" w:rsidP="00580B37">
            <w:pPr>
              <w:spacing w:before="0" w:after="0"/>
              <w:jc w:val="center"/>
              <w:rPr>
                <w:rFonts w:cs="Calibri"/>
                <w:sz w:val="22"/>
                <w:szCs w:val="22"/>
              </w:rPr>
            </w:pPr>
            <w:r w:rsidRPr="00580B37">
              <w:rPr>
                <w:rFonts w:cs="Calibri"/>
                <w:sz w:val="22"/>
                <w:szCs w:val="22"/>
              </w:rPr>
              <w:t>1.8</w:t>
            </w:r>
          </w:p>
        </w:tc>
        <w:tc>
          <w:tcPr>
            <w:tcW w:w="654" w:type="pct"/>
            <w:shd w:val="clear" w:color="000000" w:fill="FFFFFF"/>
            <w:noWrap/>
            <w:vAlign w:val="bottom"/>
            <w:hideMark/>
          </w:tcPr>
          <w:p w14:paraId="6A245F52" w14:textId="77777777" w:rsidR="001F27D2" w:rsidRPr="00580B37" w:rsidRDefault="001F27D2" w:rsidP="00580B37">
            <w:pPr>
              <w:spacing w:before="0" w:after="0"/>
              <w:jc w:val="center"/>
              <w:rPr>
                <w:rFonts w:cs="Calibri"/>
                <w:sz w:val="22"/>
                <w:szCs w:val="22"/>
              </w:rPr>
            </w:pPr>
            <w:r w:rsidRPr="00580B37">
              <w:rPr>
                <w:rFonts w:cs="Calibri"/>
                <w:sz w:val="22"/>
                <w:szCs w:val="22"/>
              </w:rPr>
              <w:t>1.9</w:t>
            </w:r>
          </w:p>
        </w:tc>
        <w:tc>
          <w:tcPr>
            <w:tcW w:w="347" w:type="pct"/>
            <w:shd w:val="clear" w:color="000000" w:fill="FFFFFF"/>
            <w:noWrap/>
            <w:vAlign w:val="bottom"/>
            <w:hideMark/>
          </w:tcPr>
          <w:p w14:paraId="1069AE59" w14:textId="77777777" w:rsidR="001F27D2" w:rsidRPr="00580B37" w:rsidRDefault="001F27D2" w:rsidP="00580B37">
            <w:pPr>
              <w:spacing w:before="0" w:after="0"/>
              <w:jc w:val="center"/>
              <w:rPr>
                <w:rFonts w:cs="Calibri"/>
                <w:sz w:val="22"/>
                <w:szCs w:val="22"/>
              </w:rPr>
            </w:pPr>
            <w:r w:rsidRPr="00580B37">
              <w:rPr>
                <w:rFonts w:cs="Calibri"/>
                <w:sz w:val="22"/>
                <w:szCs w:val="22"/>
              </w:rPr>
              <w:t>7.6</w:t>
            </w:r>
          </w:p>
        </w:tc>
        <w:tc>
          <w:tcPr>
            <w:tcW w:w="927" w:type="pct"/>
            <w:shd w:val="clear" w:color="000000" w:fill="FFFFFF"/>
            <w:noWrap/>
            <w:vAlign w:val="bottom"/>
            <w:hideMark/>
          </w:tcPr>
          <w:p w14:paraId="415252D7" w14:textId="77777777" w:rsidR="001F27D2" w:rsidRPr="00580B37" w:rsidRDefault="001F27D2" w:rsidP="00580B37">
            <w:pPr>
              <w:spacing w:before="0" w:after="0"/>
              <w:jc w:val="center"/>
              <w:rPr>
                <w:rFonts w:cs="Calibri"/>
                <w:sz w:val="22"/>
                <w:szCs w:val="22"/>
              </w:rPr>
            </w:pPr>
            <w:r w:rsidRPr="00580B37">
              <w:rPr>
                <w:rFonts w:cs="Calibri"/>
                <w:sz w:val="22"/>
                <w:szCs w:val="22"/>
              </w:rPr>
              <w:t>4,757</w:t>
            </w:r>
          </w:p>
        </w:tc>
        <w:tc>
          <w:tcPr>
            <w:tcW w:w="662" w:type="pct"/>
            <w:shd w:val="clear" w:color="000000" w:fill="FFFFFF"/>
            <w:noWrap/>
            <w:vAlign w:val="bottom"/>
            <w:hideMark/>
          </w:tcPr>
          <w:p w14:paraId="0E40D907"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20.5</w:t>
            </w:r>
          </w:p>
        </w:tc>
      </w:tr>
      <w:tr w:rsidR="001F27D2" w:rsidRPr="00580B37" w14:paraId="019554F8" w14:textId="77777777" w:rsidTr="001F27D2">
        <w:trPr>
          <w:trHeight w:val="340"/>
        </w:trPr>
        <w:tc>
          <w:tcPr>
            <w:tcW w:w="687" w:type="pct"/>
            <w:shd w:val="clear" w:color="000000" w:fill="FFFFFF"/>
            <w:noWrap/>
            <w:vAlign w:val="center"/>
            <w:hideMark/>
          </w:tcPr>
          <w:p w14:paraId="6FF6C625"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1981-90</w:t>
            </w:r>
          </w:p>
        </w:tc>
        <w:tc>
          <w:tcPr>
            <w:tcW w:w="687" w:type="pct"/>
            <w:shd w:val="clear" w:color="000000" w:fill="FFFFFF"/>
            <w:noWrap/>
            <w:vAlign w:val="bottom"/>
            <w:hideMark/>
          </w:tcPr>
          <w:p w14:paraId="691C5F6B" w14:textId="77777777" w:rsidR="001F27D2" w:rsidRPr="00580B37" w:rsidRDefault="001F27D2" w:rsidP="00580B37">
            <w:pPr>
              <w:spacing w:before="0" w:after="0"/>
              <w:jc w:val="right"/>
              <w:rPr>
                <w:rFonts w:cs="Calibri"/>
                <w:sz w:val="22"/>
                <w:szCs w:val="22"/>
              </w:rPr>
            </w:pPr>
            <w:r w:rsidRPr="00580B37">
              <w:rPr>
                <w:rFonts w:cs="Calibri"/>
                <w:sz w:val="22"/>
                <w:szCs w:val="22"/>
              </w:rPr>
              <w:t> </w:t>
            </w:r>
          </w:p>
        </w:tc>
        <w:tc>
          <w:tcPr>
            <w:tcW w:w="300" w:type="pct"/>
            <w:shd w:val="clear" w:color="000000" w:fill="FFFFFF"/>
            <w:noWrap/>
            <w:vAlign w:val="bottom"/>
            <w:hideMark/>
          </w:tcPr>
          <w:p w14:paraId="00856DF5" w14:textId="77777777" w:rsidR="001F27D2" w:rsidRPr="00580B37" w:rsidRDefault="001F27D2" w:rsidP="00580B37">
            <w:pPr>
              <w:spacing w:before="0" w:after="0"/>
              <w:jc w:val="center"/>
              <w:rPr>
                <w:rFonts w:cs="Calibri"/>
                <w:sz w:val="22"/>
                <w:szCs w:val="22"/>
              </w:rPr>
            </w:pPr>
            <w:r w:rsidRPr="00580B37">
              <w:rPr>
                <w:rFonts w:cs="Calibri"/>
                <w:sz w:val="22"/>
                <w:szCs w:val="22"/>
              </w:rPr>
              <w:t>17.6</w:t>
            </w:r>
          </w:p>
        </w:tc>
        <w:tc>
          <w:tcPr>
            <w:tcW w:w="387" w:type="pct"/>
            <w:shd w:val="clear" w:color="000000" w:fill="FFFFFF"/>
            <w:noWrap/>
            <w:vAlign w:val="bottom"/>
            <w:hideMark/>
          </w:tcPr>
          <w:p w14:paraId="19D7FA91" w14:textId="77777777" w:rsidR="001F27D2" w:rsidRPr="00580B37" w:rsidRDefault="001F27D2" w:rsidP="00580B37">
            <w:pPr>
              <w:spacing w:before="0" w:after="0"/>
              <w:jc w:val="center"/>
              <w:rPr>
                <w:rFonts w:cs="Calibri"/>
                <w:sz w:val="22"/>
                <w:szCs w:val="22"/>
              </w:rPr>
            </w:pPr>
            <w:r w:rsidRPr="00580B37">
              <w:rPr>
                <w:rFonts w:cs="Calibri"/>
                <w:sz w:val="22"/>
                <w:szCs w:val="22"/>
              </w:rPr>
              <w:t>4.7</w:t>
            </w:r>
          </w:p>
        </w:tc>
        <w:tc>
          <w:tcPr>
            <w:tcW w:w="349" w:type="pct"/>
            <w:shd w:val="clear" w:color="000000" w:fill="FFFFFF"/>
            <w:noWrap/>
            <w:vAlign w:val="bottom"/>
            <w:hideMark/>
          </w:tcPr>
          <w:p w14:paraId="0DB446C0" w14:textId="77777777" w:rsidR="001F27D2" w:rsidRPr="00580B37" w:rsidRDefault="001F27D2" w:rsidP="00580B37">
            <w:pPr>
              <w:spacing w:before="0" w:after="0"/>
              <w:jc w:val="center"/>
              <w:rPr>
                <w:rFonts w:cs="Calibri"/>
                <w:sz w:val="22"/>
                <w:szCs w:val="22"/>
              </w:rPr>
            </w:pPr>
            <w:r w:rsidRPr="00580B37">
              <w:rPr>
                <w:rFonts w:cs="Calibri"/>
                <w:sz w:val="22"/>
                <w:szCs w:val="22"/>
              </w:rPr>
              <w:t>*</w:t>
            </w:r>
          </w:p>
        </w:tc>
        <w:tc>
          <w:tcPr>
            <w:tcW w:w="654" w:type="pct"/>
            <w:shd w:val="clear" w:color="000000" w:fill="FFFFFF"/>
            <w:noWrap/>
            <w:vAlign w:val="bottom"/>
            <w:hideMark/>
          </w:tcPr>
          <w:p w14:paraId="580AE9F6" w14:textId="77777777" w:rsidR="001F27D2" w:rsidRPr="00580B37" w:rsidRDefault="001F27D2" w:rsidP="00580B37">
            <w:pPr>
              <w:spacing w:before="0" w:after="0"/>
              <w:jc w:val="center"/>
              <w:rPr>
                <w:rFonts w:cs="Calibri"/>
                <w:sz w:val="22"/>
                <w:szCs w:val="22"/>
              </w:rPr>
            </w:pPr>
            <w:r w:rsidRPr="00580B37">
              <w:rPr>
                <w:rFonts w:cs="Calibri"/>
                <w:sz w:val="22"/>
                <w:szCs w:val="22"/>
              </w:rPr>
              <w:t>.9</w:t>
            </w:r>
          </w:p>
        </w:tc>
        <w:tc>
          <w:tcPr>
            <w:tcW w:w="347" w:type="pct"/>
            <w:shd w:val="clear" w:color="000000" w:fill="FFFFFF"/>
            <w:noWrap/>
            <w:vAlign w:val="bottom"/>
            <w:hideMark/>
          </w:tcPr>
          <w:p w14:paraId="35BE5906" w14:textId="77777777" w:rsidR="001F27D2" w:rsidRPr="00580B37" w:rsidRDefault="001F27D2" w:rsidP="00580B37">
            <w:pPr>
              <w:spacing w:before="0" w:after="0"/>
              <w:jc w:val="center"/>
              <w:rPr>
                <w:rFonts w:cs="Calibri"/>
                <w:sz w:val="22"/>
                <w:szCs w:val="22"/>
              </w:rPr>
            </w:pPr>
            <w:r w:rsidRPr="00580B37">
              <w:rPr>
                <w:rFonts w:cs="Calibri"/>
                <w:sz w:val="22"/>
                <w:szCs w:val="22"/>
              </w:rPr>
              <w:t>13.5</w:t>
            </w:r>
          </w:p>
        </w:tc>
        <w:tc>
          <w:tcPr>
            <w:tcW w:w="927" w:type="pct"/>
            <w:shd w:val="clear" w:color="000000" w:fill="FFFFFF"/>
            <w:noWrap/>
            <w:vAlign w:val="bottom"/>
            <w:hideMark/>
          </w:tcPr>
          <w:p w14:paraId="626A0475" w14:textId="77777777" w:rsidR="001F27D2" w:rsidRPr="00580B37" w:rsidRDefault="001F27D2" w:rsidP="00580B37">
            <w:pPr>
              <w:spacing w:before="0" w:after="0"/>
              <w:jc w:val="center"/>
              <w:rPr>
                <w:rFonts w:cs="Calibri"/>
                <w:sz w:val="22"/>
                <w:szCs w:val="22"/>
              </w:rPr>
            </w:pPr>
            <w:r w:rsidRPr="00580B37">
              <w:rPr>
                <w:rFonts w:cs="Calibri"/>
                <w:sz w:val="22"/>
                <w:szCs w:val="22"/>
              </w:rPr>
              <w:t>1,953</w:t>
            </w:r>
          </w:p>
        </w:tc>
        <w:tc>
          <w:tcPr>
            <w:tcW w:w="662" w:type="pct"/>
            <w:shd w:val="clear" w:color="000000" w:fill="FFFFFF"/>
            <w:noWrap/>
            <w:vAlign w:val="bottom"/>
            <w:hideMark/>
          </w:tcPr>
          <w:p w14:paraId="1839EF12"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8.4</w:t>
            </w:r>
          </w:p>
        </w:tc>
      </w:tr>
      <w:tr w:rsidR="001F27D2" w:rsidRPr="00580B37" w14:paraId="20F184BA" w14:textId="77777777" w:rsidTr="001F27D2">
        <w:trPr>
          <w:trHeight w:val="340"/>
        </w:trPr>
        <w:tc>
          <w:tcPr>
            <w:tcW w:w="687" w:type="pct"/>
            <w:shd w:val="clear" w:color="000000" w:fill="FFFFFF"/>
            <w:noWrap/>
            <w:vAlign w:val="center"/>
            <w:hideMark/>
          </w:tcPr>
          <w:p w14:paraId="58E94FE3"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post 1990</w:t>
            </w:r>
          </w:p>
        </w:tc>
        <w:tc>
          <w:tcPr>
            <w:tcW w:w="687" w:type="pct"/>
            <w:shd w:val="clear" w:color="000000" w:fill="FFFFFF"/>
            <w:noWrap/>
            <w:vAlign w:val="bottom"/>
            <w:hideMark/>
          </w:tcPr>
          <w:p w14:paraId="09AA8E3D" w14:textId="77777777" w:rsidR="001F27D2" w:rsidRPr="00580B37" w:rsidRDefault="001F27D2" w:rsidP="00580B37">
            <w:pPr>
              <w:spacing w:before="0" w:after="0"/>
              <w:jc w:val="right"/>
              <w:rPr>
                <w:rFonts w:cs="Calibri"/>
                <w:sz w:val="22"/>
                <w:szCs w:val="22"/>
              </w:rPr>
            </w:pPr>
            <w:r w:rsidRPr="00580B37">
              <w:rPr>
                <w:rFonts w:cs="Calibri"/>
                <w:sz w:val="22"/>
                <w:szCs w:val="22"/>
              </w:rPr>
              <w:t> </w:t>
            </w:r>
          </w:p>
        </w:tc>
        <w:tc>
          <w:tcPr>
            <w:tcW w:w="300" w:type="pct"/>
            <w:shd w:val="clear" w:color="000000" w:fill="FFFFFF"/>
            <w:noWrap/>
            <w:vAlign w:val="bottom"/>
            <w:hideMark/>
          </w:tcPr>
          <w:p w14:paraId="6F1F5FC6" w14:textId="77777777" w:rsidR="001F27D2" w:rsidRPr="00580B37" w:rsidRDefault="001F27D2" w:rsidP="00580B37">
            <w:pPr>
              <w:spacing w:before="0" w:after="0"/>
              <w:jc w:val="center"/>
              <w:rPr>
                <w:rFonts w:cs="Calibri"/>
                <w:sz w:val="22"/>
                <w:szCs w:val="22"/>
              </w:rPr>
            </w:pPr>
            <w:r w:rsidRPr="00580B37">
              <w:rPr>
                <w:rFonts w:cs="Calibri"/>
                <w:sz w:val="22"/>
                <w:szCs w:val="22"/>
              </w:rPr>
              <w:t>1.5</w:t>
            </w:r>
          </w:p>
        </w:tc>
        <w:tc>
          <w:tcPr>
            <w:tcW w:w="387" w:type="pct"/>
            <w:shd w:val="clear" w:color="000000" w:fill="FFFFFF"/>
            <w:noWrap/>
            <w:vAlign w:val="bottom"/>
            <w:hideMark/>
          </w:tcPr>
          <w:p w14:paraId="21AA0FD0" w14:textId="77777777" w:rsidR="001F27D2" w:rsidRPr="00580B37" w:rsidRDefault="001F27D2" w:rsidP="00580B37">
            <w:pPr>
              <w:spacing w:before="0" w:after="0"/>
              <w:jc w:val="center"/>
              <w:rPr>
                <w:rFonts w:cs="Calibri"/>
                <w:sz w:val="22"/>
                <w:szCs w:val="22"/>
              </w:rPr>
            </w:pPr>
            <w:r w:rsidRPr="00580B37">
              <w:rPr>
                <w:rFonts w:cs="Calibri"/>
                <w:sz w:val="22"/>
                <w:szCs w:val="22"/>
              </w:rPr>
              <w:t>1.5</w:t>
            </w:r>
          </w:p>
        </w:tc>
        <w:tc>
          <w:tcPr>
            <w:tcW w:w="349" w:type="pct"/>
            <w:shd w:val="clear" w:color="000000" w:fill="FFFFFF"/>
            <w:noWrap/>
            <w:vAlign w:val="bottom"/>
            <w:hideMark/>
          </w:tcPr>
          <w:p w14:paraId="142D7329" w14:textId="77777777" w:rsidR="001F27D2" w:rsidRPr="00580B37" w:rsidRDefault="001F27D2" w:rsidP="00580B37">
            <w:pPr>
              <w:spacing w:before="0" w:after="0"/>
              <w:jc w:val="center"/>
              <w:rPr>
                <w:rFonts w:cs="Calibri"/>
                <w:sz w:val="22"/>
                <w:szCs w:val="22"/>
              </w:rPr>
            </w:pPr>
            <w:r w:rsidRPr="00580B37">
              <w:rPr>
                <w:rFonts w:cs="Calibri"/>
                <w:sz w:val="22"/>
                <w:szCs w:val="22"/>
              </w:rPr>
              <w:t>*</w:t>
            </w:r>
          </w:p>
        </w:tc>
        <w:tc>
          <w:tcPr>
            <w:tcW w:w="654" w:type="pct"/>
            <w:shd w:val="clear" w:color="000000" w:fill="FFFFFF"/>
            <w:noWrap/>
            <w:vAlign w:val="bottom"/>
            <w:hideMark/>
          </w:tcPr>
          <w:p w14:paraId="2EA7A225" w14:textId="77777777" w:rsidR="001F27D2" w:rsidRPr="00580B37" w:rsidRDefault="001F27D2" w:rsidP="00580B37">
            <w:pPr>
              <w:spacing w:before="0" w:after="0"/>
              <w:jc w:val="center"/>
              <w:rPr>
                <w:rFonts w:cs="Calibri"/>
                <w:sz w:val="22"/>
                <w:szCs w:val="22"/>
              </w:rPr>
            </w:pPr>
            <w:r w:rsidRPr="00580B37">
              <w:rPr>
                <w:rFonts w:cs="Calibri"/>
                <w:sz w:val="22"/>
                <w:szCs w:val="22"/>
              </w:rPr>
              <w:t>*</w:t>
            </w:r>
          </w:p>
        </w:tc>
        <w:tc>
          <w:tcPr>
            <w:tcW w:w="347" w:type="pct"/>
            <w:shd w:val="clear" w:color="000000" w:fill="FFFFFF"/>
            <w:noWrap/>
            <w:vAlign w:val="bottom"/>
            <w:hideMark/>
          </w:tcPr>
          <w:p w14:paraId="70042C65" w14:textId="77777777" w:rsidR="001F27D2" w:rsidRPr="00580B37" w:rsidRDefault="001F27D2" w:rsidP="00580B37">
            <w:pPr>
              <w:spacing w:before="0" w:after="0"/>
              <w:jc w:val="center"/>
              <w:rPr>
                <w:rFonts w:cs="Calibri"/>
                <w:sz w:val="22"/>
                <w:szCs w:val="22"/>
              </w:rPr>
            </w:pPr>
            <w:r w:rsidRPr="00580B37">
              <w:rPr>
                <w:rFonts w:cs="Calibri"/>
                <w:sz w:val="22"/>
                <w:szCs w:val="22"/>
              </w:rPr>
              <w:t>*</w:t>
            </w:r>
          </w:p>
        </w:tc>
        <w:tc>
          <w:tcPr>
            <w:tcW w:w="927" w:type="pct"/>
            <w:shd w:val="clear" w:color="000000" w:fill="FFFFFF"/>
            <w:noWrap/>
            <w:vAlign w:val="bottom"/>
            <w:hideMark/>
          </w:tcPr>
          <w:p w14:paraId="6B281F6A" w14:textId="77777777" w:rsidR="001F27D2" w:rsidRPr="00580B37" w:rsidRDefault="001F27D2" w:rsidP="00580B37">
            <w:pPr>
              <w:spacing w:before="0" w:after="0"/>
              <w:jc w:val="center"/>
              <w:rPr>
                <w:rFonts w:cs="Calibri"/>
                <w:sz w:val="22"/>
                <w:szCs w:val="22"/>
              </w:rPr>
            </w:pPr>
            <w:r w:rsidRPr="00580B37">
              <w:rPr>
                <w:rFonts w:cs="Calibri"/>
                <w:sz w:val="22"/>
                <w:szCs w:val="22"/>
              </w:rPr>
              <w:t>3,460</w:t>
            </w:r>
          </w:p>
        </w:tc>
        <w:tc>
          <w:tcPr>
            <w:tcW w:w="662" w:type="pct"/>
            <w:shd w:val="clear" w:color="000000" w:fill="FFFFFF"/>
            <w:noWrap/>
            <w:vAlign w:val="bottom"/>
            <w:hideMark/>
          </w:tcPr>
          <w:p w14:paraId="7D4A281B"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14.9</w:t>
            </w:r>
          </w:p>
        </w:tc>
      </w:tr>
      <w:tr w:rsidR="001F27D2" w:rsidRPr="00580B37" w14:paraId="33101223" w14:textId="77777777" w:rsidTr="001F27D2">
        <w:trPr>
          <w:trHeight w:val="340"/>
        </w:trPr>
        <w:tc>
          <w:tcPr>
            <w:tcW w:w="687" w:type="pct"/>
            <w:shd w:val="clear" w:color="000000" w:fill="FFFFFF"/>
            <w:noWrap/>
            <w:vAlign w:val="center"/>
            <w:hideMark/>
          </w:tcPr>
          <w:p w14:paraId="6C7DA337" w14:textId="77777777" w:rsidR="001F27D2" w:rsidRPr="00580B37" w:rsidRDefault="001F27D2" w:rsidP="00580B37">
            <w:pPr>
              <w:spacing w:before="0" w:after="0"/>
              <w:rPr>
                <w:rFonts w:cs="Calibri"/>
                <w:b/>
                <w:bCs/>
                <w:color w:val="000000"/>
                <w:sz w:val="22"/>
                <w:szCs w:val="22"/>
              </w:rPr>
            </w:pPr>
            <w:r w:rsidRPr="00580B37">
              <w:rPr>
                <w:rFonts w:cs="Calibri"/>
                <w:b/>
                <w:bCs/>
                <w:color w:val="000000"/>
                <w:sz w:val="22"/>
                <w:szCs w:val="22"/>
              </w:rPr>
              <w:t>Total</w:t>
            </w:r>
          </w:p>
        </w:tc>
        <w:tc>
          <w:tcPr>
            <w:tcW w:w="687" w:type="pct"/>
            <w:shd w:val="clear" w:color="000000" w:fill="FFFFFF"/>
            <w:noWrap/>
            <w:hideMark/>
          </w:tcPr>
          <w:p w14:paraId="2AEB7868" w14:textId="77777777" w:rsidR="001F27D2" w:rsidRPr="00580B37" w:rsidRDefault="001F27D2" w:rsidP="00580B37">
            <w:pPr>
              <w:spacing w:before="0" w:after="0"/>
              <w:jc w:val="right"/>
              <w:rPr>
                <w:rFonts w:cs="Calibri"/>
                <w:sz w:val="22"/>
                <w:szCs w:val="22"/>
              </w:rPr>
            </w:pPr>
            <w:r w:rsidRPr="00580B37">
              <w:rPr>
                <w:rFonts w:cs="Calibri"/>
                <w:sz w:val="22"/>
                <w:szCs w:val="22"/>
              </w:rPr>
              <w:t> </w:t>
            </w:r>
          </w:p>
        </w:tc>
        <w:tc>
          <w:tcPr>
            <w:tcW w:w="300" w:type="pct"/>
            <w:shd w:val="clear" w:color="000000" w:fill="FFFFFF"/>
            <w:noWrap/>
            <w:vAlign w:val="bottom"/>
            <w:hideMark/>
          </w:tcPr>
          <w:p w14:paraId="2676F856" w14:textId="77777777" w:rsidR="001F27D2" w:rsidRPr="00580B37" w:rsidRDefault="001F27D2" w:rsidP="00580B37">
            <w:pPr>
              <w:spacing w:before="0" w:after="0"/>
              <w:jc w:val="center"/>
              <w:rPr>
                <w:rFonts w:cs="Calibri"/>
                <w:b/>
                <w:bCs/>
                <w:sz w:val="22"/>
                <w:szCs w:val="22"/>
              </w:rPr>
            </w:pPr>
            <w:r w:rsidRPr="00580B37">
              <w:rPr>
                <w:rFonts w:cs="Calibri"/>
                <w:b/>
                <w:bCs/>
                <w:sz w:val="22"/>
                <w:szCs w:val="22"/>
              </w:rPr>
              <w:t>20.6</w:t>
            </w:r>
          </w:p>
        </w:tc>
        <w:tc>
          <w:tcPr>
            <w:tcW w:w="387" w:type="pct"/>
            <w:shd w:val="clear" w:color="000000" w:fill="FFFFFF"/>
            <w:noWrap/>
            <w:vAlign w:val="bottom"/>
            <w:hideMark/>
          </w:tcPr>
          <w:p w14:paraId="3D21CAD1" w14:textId="77777777" w:rsidR="001F27D2" w:rsidRPr="00580B37" w:rsidRDefault="001F27D2" w:rsidP="00580B37">
            <w:pPr>
              <w:spacing w:before="0" w:after="0"/>
              <w:jc w:val="center"/>
              <w:rPr>
                <w:rFonts w:cs="Calibri"/>
                <w:b/>
                <w:bCs/>
                <w:sz w:val="22"/>
                <w:szCs w:val="22"/>
              </w:rPr>
            </w:pPr>
            <w:r w:rsidRPr="00580B37">
              <w:rPr>
                <w:rFonts w:cs="Calibri"/>
                <w:b/>
                <w:bCs/>
                <w:sz w:val="22"/>
                <w:szCs w:val="22"/>
              </w:rPr>
              <w:t>11.9</w:t>
            </w:r>
          </w:p>
        </w:tc>
        <w:tc>
          <w:tcPr>
            <w:tcW w:w="349" w:type="pct"/>
            <w:shd w:val="clear" w:color="000000" w:fill="FFFFFF"/>
            <w:noWrap/>
            <w:vAlign w:val="bottom"/>
            <w:hideMark/>
          </w:tcPr>
          <w:p w14:paraId="546E8A04" w14:textId="77777777" w:rsidR="001F27D2" w:rsidRPr="00580B37" w:rsidRDefault="001F27D2" w:rsidP="00580B37">
            <w:pPr>
              <w:spacing w:before="0" w:after="0"/>
              <w:jc w:val="center"/>
              <w:rPr>
                <w:rFonts w:cs="Calibri"/>
                <w:b/>
                <w:bCs/>
                <w:sz w:val="22"/>
                <w:szCs w:val="22"/>
              </w:rPr>
            </w:pPr>
            <w:r w:rsidRPr="00580B37">
              <w:rPr>
                <w:rFonts w:cs="Calibri"/>
                <w:b/>
                <w:bCs/>
                <w:sz w:val="22"/>
                <w:szCs w:val="22"/>
              </w:rPr>
              <w:t>4.6</w:t>
            </w:r>
          </w:p>
        </w:tc>
        <w:tc>
          <w:tcPr>
            <w:tcW w:w="654" w:type="pct"/>
            <w:shd w:val="clear" w:color="000000" w:fill="FFFFFF"/>
            <w:noWrap/>
            <w:vAlign w:val="bottom"/>
            <w:hideMark/>
          </w:tcPr>
          <w:p w14:paraId="2FB1B058" w14:textId="77777777" w:rsidR="001F27D2" w:rsidRPr="00580B37" w:rsidRDefault="001F27D2" w:rsidP="00580B37">
            <w:pPr>
              <w:spacing w:before="0" w:after="0"/>
              <w:jc w:val="center"/>
              <w:rPr>
                <w:rFonts w:cs="Calibri"/>
                <w:b/>
                <w:bCs/>
                <w:sz w:val="22"/>
                <w:szCs w:val="22"/>
              </w:rPr>
            </w:pPr>
            <w:r w:rsidRPr="00580B37">
              <w:rPr>
                <w:rFonts w:cs="Calibri"/>
                <w:b/>
                <w:bCs/>
                <w:sz w:val="22"/>
                <w:szCs w:val="22"/>
              </w:rPr>
              <w:t>1.9</w:t>
            </w:r>
          </w:p>
        </w:tc>
        <w:tc>
          <w:tcPr>
            <w:tcW w:w="347" w:type="pct"/>
            <w:shd w:val="clear" w:color="000000" w:fill="FFFFFF"/>
            <w:noWrap/>
            <w:vAlign w:val="bottom"/>
            <w:hideMark/>
          </w:tcPr>
          <w:p w14:paraId="4EC6E13B" w14:textId="77777777" w:rsidR="001F27D2" w:rsidRPr="00580B37" w:rsidRDefault="001F27D2" w:rsidP="00580B37">
            <w:pPr>
              <w:spacing w:before="0" w:after="0"/>
              <w:jc w:val="center"/>
              <w:rPr>
                <w:rFonts w:cs="Calibri"/>
                <w:b/>
                <w:bCs/>
                <w:sz w:val="22"/>
                <w:szCs w:val="22"/>
              </w:rPr>
            </w:pPr>
            <w:r w:rsidRPr="00580B37">
              <w:rPr>
                <w:rFonts w:cs="Calibri"/>
                <w:b/>
                <w:bCs/>
                <w:sz w:val="22"/>
                <w:szCs w:val="22"/>
              </w:rPr>
              <w:t>7.5</w:t>
            </w:r>
          </w:p>
        </w:tc>
        <w:tc>
          <w:tcPr>
            <w:tcW w:w="927" w:type="pct"/>
            <w:shd w:val="clear" w:color="000000" w:fill="FFFFFF"/>
            <w:noWrap/>
            <w:vAlign w:val="bottom"/>
            <w:hideMark/>
          </w:tcPr>
          <w:p w14:paraId="3EBB764A" w14:textId="77777777" w:rsidR="001F27D2" w:rsidRPr="00580B37" w:rsidRDefault="001F27D2" w:rsidP="00580B37">
            <w:pPr>
              <w:spacing w:before="0" w:after="0"/>
              <w:jc w:val="center"/>
              <w:rPr>
                <w:rFonts w:cs="Calibri"/>
                <w:b/>
                <w:bCs/>
                <w:sz w:val="22"/>
                <w:szCs w:val="22"/>
              </w:rPr>
            </w:pPr>
            <w:r w:rsidRPr="00580B37">
              <w:rPr>
                <w:rFonts w:cs="Calibri"/>
                <w:b/>
                <w:bCs/>
                <w:sz w:val="22"/>
                <w:szCs w:val="22"/>
              </w:rPr>
              <w:t>23,254</w:t>
            </w:r>
          </w:p>
        </w:tc>
        <w:tc>
          <w:tcPr>
            <w:tcW w:w="662" w:type="pct"/>
            <w:shd w:val="clear" w:color="000000" w:fill="FFFFFF"/>
            <w:noWrap/>
            <w:vAlign w:val="bottom"/>
            <w:hideMark/>
          </w:tcPr>
          <w:p w14:paraId="38B5D744" w14:textId="77777777" w:rsidR="001F27D2" w:rsidRPr="00580B37" w:rsidRDefault="001F27D2" w:rsidP="00580B37">
            <w:pPr>
              <w:spacing w:before="0" w:after="0"/>
              <w:jc w:val="center"/>
              <w:rPr>
                <w:rFonts w:cs="Calibri"/>
                <w:b/>
                <w:bCs/>
                <w:color w:val="000000"/>
                <w:sz w:val="22"/>
                <w:szCs w:val="22"/>
              </w:rPr>
            </w:pPr>
            <w:r w:rsidRPr="00580B37">
              <w:rPr>
                <w:rFonts w:cs="Calibri"/>
                <w:b/>
                <w:bCs/>
                <w:color w:val="000000"/>
                <w:sz w:val="22"/>
                <w:szCs w:val="22"/>
              </w:rPr>
              <w:t>100.0</w:t>
            </w:r>
          </w:p>
        </w:tc>
      </w:tr>
      <w:tr w:rsidR="001F27D2" w:rsidRPr="00580B37" w14:paraId="0EE530ED" w14:textId="77777777" w:rsidTr="001F27D2">
        <w:trPr>
          <w:trHeight w:val="340"/>
        </w:trPr>
        <w:tc>
          <w:tcPr>
            <w:tcW w:w="1674" w:type="pct"/>
            <w:gridSpan w:val="3"/>
            <w:shd w:val="clear" w:color="000000" w:fill="008080"/>
            <w:noWrap/>
            <w:vAlign w:val="center"/>
            <w:hideMark/>
          </w:tcPr>
          <w:p w14:paraId="0A9498AB" w14:textId="77777777" w:rsidR="001F27D2" w:rsidRPr="00580B37" w:rsidRDefault="001F27D2" w:rsidP="00580B37">
            <w:pPr>
              <w:spacing w:before="0" w:after="0"/>
              <w:rPr>
                <w:rFonts w:cs="Calibri"/>
                <w:b/>
                <w:bCs/>
                <w:color w:val="FFFFFF"/>
                <w:sz w:val="22"/>
                <w:szCs w:val="22"/>
              </w:rPr>
            </w:pPr>
            <w:r w:rsidRPr="00580B37">
              <w:rPr>
                <w:rFonts w:cs="Calibri"/>
                <w:b/>
                <w:bCs/>
                <w:color w:val="FFFFFF"/>
                <w:sz w:val="22"/>
                <w:szCs w:val="22"/>
              </w:rPr>
              <w:t>Eden District</w:t>
            </w:r>
          </w:p>
        </w:tc>
        <w:tc>
          <w:tcPr>
            <w:tcW w:w="1737" w:type="pct"/>
            <w:gridSpan w:val="4"/>
            <w:shd w:val="clear" w:color="000000" w:fill="008080"/>
            <w:vAlign w:val="center"/>
            <w:hideMark/>
          </w:tcPr>
          <w:p w14:paraId="01B18455" w14:textId="77777777" w:rsidR="001F27D2" w:rsidRPr="00580B37" w:rsidRDefault="001F27D2" w:rsidP="00580B37">
            <w:pPr>
              <w:spacing w:before="0" w:after="0"/>
              <w:jc w:val="center"/>
              <w:rPr>
                <w:rFonts w:cs="Calibri"/>
                <w:b/>
                <w:bCs/>
                <w:color w:val="FFFFFF"/>
                <w:sz w:val="22"/>
                <w:szCs w:val="22"/>
              </w:rPr>
            </w:pPr>
            <w:r w:rsidRPr="00580B37">
              <w:rPr>
                <w:rFonts w:cs="Calibri"/>
                <w:b/>
                <w:bCs/>
                <w:color w:val="FFFFFF"/>
                <w:sz w:val="22"/>
                <w:szCs w:val="22"/>
              </w:rPr>
              <w:t>Fails decent homes criteria (estimate)</w:t>
            </w:r>
          </w:p>
        </w:tc>
        <w:tc>
          <w:tcPr>
            <w:tcW w:w="927" w:type="pct"/>
            <w:vMerge w:val="restart"/>
            <w:shd w:val="clear" w:color="000000" w:fill="008080"/>
            <w:noWrap/>
            <w:vAlign w:val="center"/>
            <w:hideMark/>
          </w:tcPr>
          <w:p w14:paraId="122E6ACD" w14:textId="77777777" w:rsidR="001F27D2" w:rsidRPr="00580B37" w:rsidRDefault="001F27D2" w:rsidP="00580B37">
            <w:pPr>
              <w:spacing w:before="0" w:after="0"/>
              <w:jc w:val="center"/>
              <w:rPr>
                <w:rFonts w:cs="Calibri"/>
                <w:b/>
                <w:bCs/>
                <w:color w:val="FFFFFF"/>
                <w:sz w:val="22"/>
                <w:szCs w:val="22"/>
              </w:rPr>
            </w:pPr>
            <w:r w:rsidRPr="00580B37">
              <w:rPr>
                <w:rFonts w:cs="Calibri"/>
                <w:b/>
                <w:bCs/>
                <w:color w:val="FFFFFF"/>
                <w:sz w:val="22"/>
                <w:szCs w:val="22"/>
              </w:rPr>
              <w:t>All dwellings</w:t>
            </w:r>
          </w:p>
        </w:tc>
        <w:tc>
          <w:tcPr>
            <w:tcW w:w="662" w:type="pct"/>
            <w:vMerge w:val="restart"/>
            <w:shd w:val="clear" w:color="000000" w:fill="008080"/>
            <w:noWrap/>
            <w:vAlign w:val="center"/>
            <w:hideMark/>
          </w:tcPr>
          <w:p w14:paraId="19C3FD9D" w14:textId="77777777" w:rsidR="001F27D2" w:rsidRPr="00580B37" w:rsidRDefault="001F27D2" w:rsidP="00580B37">
            <w:pPr>
              <w:spacing w:before="0" w:after="0"/>
              <w:jc w:val="center"/>
              <w:rPr>
                <w:rFonts w:cs="Calibri"/>
                <w:b/>
                <w:bCs/>
                <w:color w:val="FFFFFF"/>
                <w:sz w:val="22"/>
                <w:szCs w:val="22"/>
              </w:rPr>
            </w:pPr>
            <w:r w:rsidRPr="00580B37">
              <w:rPr>
                <w:rFonts w:cs="Calibri"/>
                <w:b/>
                <w:bCs/>
                <w:color w:val="FFFFFF"/>
                <w:sz w:val="22"/>
                <w:szCs w:val="22"/>
              </w:rPr>
              <w:t>% dwellings</w:t>
            </w:r>
          </w:p>
        </w:tc>
      </w:tr>
      <w:tr w:rsidR="001F27D2" w:rsidRPr="00580B37" w14:paraId="1D037C22" w14:textId="77777777" w:rsidTr="001F27D2">
        <w:trPr>
          <w:trHeight w:val="280"/>
        </w:trPr>
        <w:tc>
          <w:tcPr>
            <w:tcW w:w="687" w:type="pct"/>
            <w:vMerge w:val="restart"/>
            <w:shd w:val="clear" w:color="000000" w:fill="008080"/>
            <w:noWrap/>
            <w:vAlign w:val="center"/>
            <w:hideMark/>
          </w:tcPr>
          <w:p w14:paraId="0992B31E" w14:textId="77777777" w:rsidR="001F27D2" w:rsidRPr="00580B37" w:rsidRDefault="001F27D2" w:rsidP="00580B37">
            <w:pPr>
              <w:spacing w:before="0" w:after="0"/>
              <w:jc w:val="center"/>
              <w:rPr>
                <w:rFonts w:cs="Calibri"/>
                <w:b/>
                <w:bCs/>
                <w:color w:val="FFFFFF"/>
                <w:sz w:val="22"/>
                <w:szCs w:val="22"/>
              </w:rPr>
            </w:pPr>
            <w:r w:rsidRPr="00580B37">
              <w:rPr>
                <w:rFonts w:cs="Calibri"/>
                <w:b/>
                <w:bCs/>
                <w:color w:val="FFFFFF"/>
                <w:sz w:val="22"/>
                <w:szCs w:val="22"/>
              </w:rPr>
              <w:t>Dwelling age (ehs)</w:t>
            </w:r>
          </w:p>
        </w:tc>
        <w:tc>
          <w:tcPr>
            <w:tcW w:w="687" w:type="pct"/>
            <w:vMerge w:val="restart"/>
            <w:shd w:val="clear" w:color="000000" w:fill="008080"/>
            <w:noWrap/>
            <w:vAlign w:val="center"/>
            <w:hideMark/>
          </w:tcPr>
          <w:p w14:paraId="5BEE3028" w14:textId="77777777" w:rsidR="001F27D2" w:rsidRPr="00580B37" w:rsidRDefault="001F27D2" w:rsidP="00580B37">
            <w:pPr>
              <w:spacing w:before="0" w:after="0"/>
              <w:jc w:val="center"/>
              <w:rPr>
                <w:rFonts w:cs="Calibri"/>
                <w:b/>
                <w:bCs/>
                <w:color w:val="FFFFFF"/>
                <w:sz w:val="22"/>
                <w:szCs w:val="22"/>
              </w:rPr>
            </w:pPr>
            <w:r w:rsidRPr="00580B37">
              <w:rPr>
                <w:rFonts w:cs="Calibri"/>
                <w:b/>
                <w:bCs/>
                <w:color w:val="FFFFFF"/>
                <w:sz w:val="22"/>
                <w:szCs w:val="22"/>
              </w:rPr>
              <w:t>Dwelling age (voa)</w:t>
            </w:r>
          </w:p>
        </w:tc>
        <w:tc>
          <w:tcPr>
            <w:tcW w:w="300" w:type="pct"/>
            <w:vMerge w:val="restart"/>
            <w:shd w:val="clear" w:color="000000" w:fill="008080"/>
            <w:vAlign w:val="center"/>
            <w:hideMark/>
          </w:tcPr>
          <w:p w14:paraId="5BBA5974" w14:textId="77777777" w:rsidR="001F27D2" w:rsidRPr="00580B37" w:rsidRDefault="001F27D2" w:rsidP="00580B37">
            <w:pPr>
              <w:spacing w:before="0" w:after="0"/>
              <w:jc w:val="center"/>
              <w:rPr>
                <w:rFonts w:cs="Calibri"/>
                <w:b/>
                <w:bCs/>
                <w:color w:val="FFFFFF"/>
                <w:sz w:val="22"/>
                <w:szCs w:val="22"/>
              </w:rPr>
            </w:pPr>
            <w:r w:rsidRPr="00580B37">
              <w:rPr>
                <w:rFonts w:cs="Calibri"/>
                <w:b/>
                <w:bCs/>
                <w:color w:val="FFFFFF"/>
                <w:sz w:val="22"/>
                <w:szCs w:val="22"/>
              </w:rPr>
              <w:t>Non-decent</w:t>
            </w:r>
          </w:p>
        </w:tc>
        <w:tc>
          <w:tcPr>
            <w:tcW w:w="387" w:type="pct"/>
            <w:shd w:val="clear" w:color="000000" w:fill="008080"/>
            <w:vAlign w:val="center"/>
            <w:hideMark/>
          </w:tcPr>
          <w:p w14:paraId="170698B3" w14:textId="77777777" w:rsidR="001F27D2" w:rsidRPr="00580B37" w:rsidRDefault="001F27D2" w:rsidP="00580B37">
            <w:pPr>
              <w:spacing w:before="0" w:after="0"/>
              <w:jc w:val="center"/>
              <w:rPr>
                <w:rFonts w:cs="Calibri"/>
                <w:b/>
                <w:bCs/>
                <w:color w:val="FFFFFF"/>
                <w:sz w:val="22"/>
                <w:szCs w:val="22"/>
              </w:rPr>
            </w:pPr>
            <w:r w:rsidRPr="00580B37">
              <w:rPr>
                <w:rFonts w:cs="Calibri"/>
                <w:b/>
                <w:bCs/>
                <w:color w:val="FFFFFF"/>
                <w:sz w:val="22"/>
                <w:szCs w:val="22"/>
              </w:rPr>
              <w:t>Minimum</w:t>
            </w:r>
          </w:p>
        </w:tc>
        <w:tc>
          <w:tcPr>
            <w:tcW w:w="349" w:type="pct"/>
            <w:vMerge w:val="restart"/>
            <w:shd w:val="clear" w:color="000000" w:fill="008080"/>
            <w:vAlign w:val="center"/>
            <w:hideMark/>
          </w:tcPr>
          <w:p w14:paraId="731CD188" w14:textId="77777777" w:rsidR="001F27D2" w:rsidRPr="00580B37" w:rsidRDefault="001F27D2" w:rsidP="00580B37">
            <w:pPr>
              <w:spacing w:before="0" w:after="0"/>
              <w:jc w:val="center"/>
              <w:rPr>
                <w:rFonts w:cs="Calibri"/>
                <w:b/>
                <w:bCs/>
                <w:color w:val="FFFFFF"/>
                <w:sz w:val="22"/>
                <w:szCs w:val="22"/>
              </w:rPr>
            </w:pPr>
            <w:r w:rsidRPr="00580B37">
              <w:rPr>
                <w:rFonts w:cs="Calibri"/>
                <w:b/>
                <w:bCs/>
                <w:color w:val="FFFFFF"/>
                <w:sz w:val="22"/>
                <w:szCs w:val="22"/>
              </w:rPr>
              <w:t>Repair</w:t>
            </w:r>
          </w:p>
        </w:tc>
        <w:tc>
          <w:tcPr>
            <w:tcW w:w="654" w:type="pct"/>
            <w:shd w:val="clear" w:color="000000" w:fill="008080"/>
            <w:vAlign w:val="center"/>
            <w:hideMark/>
          </w:tcPr>
          <w:p w14:paraId="339F4BB0" w14:textId="77777777" w:rsidR="001F27D2" w:rsidRPr="00580B37" w:rsidRDefault="001F27D2" w:rsidP="00580B37">
            <w:pPr>
              <w:spacing w:before="0" w:after="0"/>
              <w:jc w:val="center"/>
              <w:rPr>
                <w:rFonts w:cs="Calibri"/>
                <w:b/>
                <w:bCs/>
                <w:color w:val="FFFFFF"/>
                <w:sz w:val="22"/>
                <w:szCs w:val="22"/>
              </w:rPr>
            </w:pPr>
            <w:r w:rsidRPr="00580B37">
              <w:rPr>
                <w:rFonts w:cs="Calibri"/>
                <w:b/>
                <w:bCs/>
                <w:color w:val="FFFFFF"/>
                <w:sz w:val="22"/>
                <w:szCs w:val="22"/>
              </w:rPr>
              <w:t>Modern facilities</w:t>
            </w:r>
          </w:p>
        </w:tc>
        <w:tc>
          <w:tcPr>
            <w:tcW w:w="347" w:type="pct"/>
            <w:shd w:val="clear" w:color="000000" w:fill="008080"/>
            <w:vAlign w:val="center"/>
            <w:hideMark/>
          </w:tcPr>
          <w:p w14:paraId="01276D64" w14:textId="77777777" w:rsidR="001F27D2" w:rsidRPr="00580B37" w:rsidRDefault="001F27D2" w:rsidP="00580B37">
            <w:pPr>
              <w:spacing w:before="0" w:after="0"/>
              <w:jc w:val="center"/>
              <w:rPr>
                <w:rFonts w:cs="Calibri"/>
                <w:b/>
                <w:bCs/>
                <w:color w:val="FFFFFF"/>
                <w:sz w:val="22"/>
                <w:szCs w:val="22"/>
              </w:rPr>
            </w:pPr>
            <w:r w:rsidRPr="00580B37">
              <w:rPr>
                <w:rFonts w:cs="Calibri"/>
                <w:b/>
                <w:bCs/>
                <w:color w:val="FFFFFF"/>
                <w:sz w:val="22"/>
                <w:szCs w:val="22"/>
              </w:rPr>
              <w:t>Thermal</w:t>
            </w:r>
          </w:p>
        </w:tc>
        <w:tc>
          <w:tcPr>
            <w:tcW w:w="927" w:type="pct"/>
            <w:vMerge/>
            <w:vAlign w:val="center"/>
            <w:hideMark/>
          </w:tcPr>
          <w:p w14:paraId="609C4F9F" w14:textId="77777777" w:rsidR="001F27D2" w:rsidRPr="00580B37" w:rsidRDefault="001F27D2" w:rsidP="00580B37">
            <w:pPr>
              <w:spacing w:before="0" w:after="0"/>
              <w:rPr>
                <w:rFonts w:cs="Calibri"/>
                <w:b/>
                <w:bCs/>
                <w:color w:val="FFFFFF"/>
                <w:sz w:val="22"/>
                <w:szCs w:val="22"/>
              </w:rPr>
            </w:pPr>
          </w:p>
        </w:tc>
        <w:tc>
          <w:tcPr>
            <w:tcW w:w="662" w:type="pct"/>
            <w:vMerge/>
            <w:vAlign w:val="center"/>
            <w:hideMark/>
          </w:tcPr>
          <w:p w14:paraId="67A76CBD" w14:textId="77777777" w:rsidR="001F27D2" w:rsidRPr="00580B37" w:rsidRDefault="001F27D2" w:rsidP="00580B37">
            <w:pPr>
              <w:spacing w:before="0" w:after="0"/>
              <w:rPr>
                <w:rFonts w:cs="Calibri"/>
                <w:b/>
                <w:bCs/>
                <w:color w:val="FFFFFF"/>
                <w:sz w:val="22"/>
                <w:szCs w:val="22"/>
              </w:rPr>
            </w:pPr>
          </w:p>
        </w:tc>
      </w:tr>
      <w:tr w:rsidR="001F27D2" w:rsidRPr="00580B37" w14:paraId="1FF13F42" w14:textId="77777777" w:rsidTr="001F27D2">
        <w:trPr>
          <w:trHeight w:val="300"/>
        </w:trPr>
        <w:tc>
          <w:tcPr>
            <w:tcW w:w="687" w:type="pct"/>
            <w:vMerge/>
            <w:vAlign w:val="center"/>
            <w:hideMark/>
          </w:tcPr>
          <w:p w14:paraId="29BDE64A" w14:textId="77777777" w:rsidR="001F27D2" w:rsidRPr="00580B37" w:rsidRDefault="001F27D2" w:rsidP="00580B37">
            <w:pPr>
              <w:spacing w:before="0" w:after="0"/>
              <w:rPr>
                <w:rFonts w:cs="Calibri"/>
                <w:b/>
                <w:bCs/>
                <w:color w:val="FFFFFF"/>
                <w:sz w:val="22"/>
                <w:szCs w:val="22"/>
              </w:rPr>
            </w:pPr>
          </w:p>
        </w:tc>
        <w:tc>
          <w:tcPr>
            <w:tcW w:w="687" w:type="pct"/>
            <w:vMerge/>
            <w:vAlign w:val="center"/>
            <w:hideMark/>
          </w:tcPr>
          <w:p w14:paraId="753878BA" w14:textId="77777777" w:rsidR="001F27D2" w:rsidRPr="00580B37" w:rsidRDefault="001F27D2" w:rsidP="00580B37">
            <w:pPr>
              <w:spacing w:before="0" w:after="0"/>
              <w:rPr>
                <w:rFonts w:cs="Calibri"/>
                <w:b/>
                <w:bCs/>
                <w:color w:val="FFFFFF"/>
                <w:sz w:val="22"/>
                <w:szCs w:val="22"/>
              </w:rPr>
            </w:pPr>
          </w:p>
        </w:tc>
        <w:tc>
          <w:tcPr>
            <w:tcW w:w="300" w:type="pct"/>
            <w:vMerge/>
            <w:vAlign w:val="center"/>
            <w:hideMark/>
          </w:tcPr>
          <w:p w14:paraId="127C5B3A" w14:textId="77777777" w:rsidR="001F27D2" w:rsidRPr="00580B37" w:rsidRDefault="001F27D2" w:rsidP="00580B37">
            <w:pPr>
              <w:spacing w:before="0" w:after="0"/>
              <w:rPr>
                <w:rFonts w:cs="Calibri"/>
                <w:b/>
                <w:bCs/>
                <w:color w:val="FFFFFF"/>
                <w:sz w:val="22"/>
                <w:szCs w:val="22"/>
              </w:rPr>
            </w:pPr>
          </w:p>
        </w:tc>
        <w:tc>
          <w:tcPr>
            <w:tcW w:w="387" w:type="pct"/>
            <w:shd w:val="clear" w:color="000000" w:fill="008080"/>
            <w:vAlign w:val="center"/>
            <w:hideMark/>
          </w:tcPr>
          <w:p w14:paraId="47C48A06" w14:textId="77777777" w:rsidR="001F27D2" w:rsidRPr="00580B37" w:rsidRDefault="001F27D2" w:rsidP="00580B37">
            <w:pPr>
              <w:spacing w:before="0" w:after="0"/>
              <w:jc w:val="center"/>
              <w:rPr>
                <w:rFonts w:cs="Calibri"/>
                <w:b/>
                <w:bCs/>
                <w:color w:val="FFFFFF"/>
                <w:sz w:val="22"/>
                <w:szCs w:val="22"/>
              </w:rPr>
            </w:pPr>
            <w:r w:rsidRPr="00580B37">
              <w:rPr>
                <w:rFonts w:cs="Calibri"/>
                <w:b/>
                <w:bCs/>
                <w:color w:val="FFFFFF"/>
                <w:sz w:val="22"/>
                <w:szCs w:val="22"/>
              </w:rPr>
              <w:t>standard</w:t>
            </w:r>
          </w:p>
        </w:tc>
        <w:tc>
          <w:tcPr>
            <w:tcW w:w="349" w:type="pct"/>
            <w:vMerge/>
            <w:vAlign w:val="center"/>
            <w:hideMark/>
          </w:tcPr>
          <w:p w14:paraId="59EFECBB" w14:textId="77777777" w:rsidR="001F27D2" w:rsidRPr="00580B37" w:rsidRDefault="001F27D2" w:rsidP="00580B37">
            <w:pPr>
              <w:spacing w:before="0" w:after="0"/>
              <w:rPr>
                <w:rFonts w:cs="Calibri"/>
                <w:b/>
                <w:bCs/>
                <w:color w:val="FFFFFF"/>
                <w:sz w:val="22"/>
                <w:szCs w:val="22"/>
              </w:rPr>
            </w:pPr>
          </w:p>
        </w:tc>
        <w:tc>
          <w:tcPr>
            <w:tcW w:w="654" w:type="pct"/>
            <w:shd w:val="clear" w:color="000000" w:fill="008080"/>
            <w:vAlign w:val="center"/>
            <w:hideMark/>
          </w:tcPr>
          <w:p w14:paraId="6459B8FE" w14:textId="77777777" w:rsidR="001F27D2" w:rsidRPr="00580B37" w:rsidRDefault="001F27D2" w:rsidP="00580B37">
            <w:pPr>
              <w:spacing w:before="0" w:after="0"/>
              <w:jc w:val="center"/>
              <w:rPr>
                <w:rFonts w:cs="Calibri"/>
                <w:b/>
                <w:bCs/>
                <w:color w:val="FFFFFF"/>
                <w:sz w:val="22"/>
                <w:szCs w:val="22"/>
              </w:rPr>
            </w:pPr>
            <w:r w:rsidRPr="00580B37">
              <w:rPr>
                <w:rFonts w:cs="Calibri"/>
                <w:b/>
                <w:bCs/>
                <w:color w:val="FFFFFF"/>
                <w:sz w:val="22"/>
                <w:szCs w:val="22"/>
              </w:rPr>
              <w:t>and services</w:t>
            </w:r>
          </w:p>
        </w:tc>
        <w:tc>
          <w:tcPr>
            <w:tcW w:w="347" w:type="pct"/>
            <w:shd w:val="clear" w:color="000000" w:fill="008080"/>
            <w:vAlign w:val="center"/>
            <w:hideMark/>
          </w:tcPr>
          <w:p w14:paraId="611ADA2A" w14:textId="77777777" w:rsidR="001F27D2" w:rsidRPr="00580B37" w:rsidRDefault="001F27D2" w:rsidP="00580B37">
            <w:pPr>
              <w:spacing w:before="0" w:after="0"/>
              <w:jc w:val="center"/>
              <w:rPr>
                <w:rFonts w:cs="Calibri"/>
                <w:b/>
                <w:bCs/>
                <w:color w:val="FFFFFF"/>
                <w:sz w:val="22"/>
                <w:szCs w:val="22"/>
              </w:rPr>
            </w:pPr>
            <w:r w:rsidRPr="00580B37">
              <w:rPr>
                <w:rFonts w:cs="Calibri"/>
                <w:b/>
                <w:bCs/>
                <w:color w:val="FFFFFF"/>
                <w:sz w:val="22"/>
                <w:szCs w:val="22"/>
              </w:rPr>
              <w:t>comfort</w:t>
            </w:r>
          </w:p>
        </w:tc>
        <w:tc>
          <w:tcPr>
            <w:tcW w:w="927" w:type="pct"/>
            <w:vMerge/>
            <w:vAlign w:val="center"/>
            <w:hideMark/>
          </w:tcPr>
          <w:p w14:paraId="5E305AB1" w14:textId="77777777" w:rsidR="001F27D2" w:rsidRPr="00580B37" w:rsidRDefault="001F27D2" w:rsidP="00580B37">
            <w:pPr>
              <w:spacing w:before="0" w:after="0"/>
              <w:rPr>
                <w:rFonts w:cs="Calibri"/>
                <w:b/>
                <w:bCs/>
                <w:color w:val="FFFFFF"/>
                <w:sz w:val="22"/>
                <w:szCs w:val="22"/>
              </w:rPr>
            </w:pPr>
          </w:p>
        </w:tc>
        <w:tc>
          <w:tcPr>
            <w:tcW w:w="662" w:type="pct"/>
            <w:vMerge/>
            <w:vAlign w:val="center"/>
            <w:hideMark/>
          </w:tcPr>
          <w:p w14:paraId="0014258D" w14:textId="77777777" w:rsidR="001F27D2" w:rsidRPr="00580B37" w:rsidRDefault="001F27D2" w:rsidP="00580B37">
            <w:pPr>
              <w:spacing w:before="0" w:after="0"/>
              <w:rPr>
                <w:rFonts w:cs="Calibri"/>
                <w:b/>
                <w:bCs/>
                <w:color w:val="FFFFFF"/>
                <w:sz w:val="22"/>
                <w:szCs w:val="22"/>
              </w:rPr>
            </w:pPr>
          </w:p>
        </w:tc>
      </w:tr>
      <w:tr w:rsidR="001F27D2" w:rsidRPr="00580B37" w14:paraId="7D219321" w14:textId="77777777" w:rsidTr="001F27D2">
        <w:trPr>
          <w:trHeight w:val="340"/>
        </w:trPr>
        <w:tc>
          <w:tcPr>
            <w:tcW w:w="687" w:type="pct"/>
            <w:shd w:val="clear" w:color="000000" w:fill="FFFFFF"/>
            <w:noWrap/>
            <w:vAlign w:val="center"/>
            <w:hideMark/>
          </w:tcPr>
          <w:p w14:paraId="051480D4"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pre-1919</w:t>
            </w:r>
          </w:p>
        </w:tc>
        <w:tc>
          <w:tcPr>
            <w:tcW w:w="687" w:type="pct"/>
            <w:shd w:val="clear" w:color="auto" w:fill="auto"/>
            <w:noWrap/>
            <w:vAlign w:val="center"/>
            <w:hideMark/>
          </w:tcPr>
          <w:p w14:paraId="7E9EE874"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pre-1919</w:t>
            </w:r>
          </w:p>
        </w:tc>
        <w:tc>
          <w:tcPr>
            <w:tcW w:w="300" w:type="pct"/>
            <w:shd w:val="clear" w:color="auto" w:fill="auto"/>
            <w:noWrap/>
            <w:vAlign w:val="bottom"/>
          </w:tcPr>
          <w:p w14:paraId="3148A71F" w14:textId="77777777" w:rsidR="001F27D2" w:rsidRPr="00580B37" w:rsidRDefault="001F27D2" w:rsidP="00580B37">
            <w:pPr>
              <w:spacing w:before="0" w:after="0"/>
              <w:jc w:val="center"/>
              <w:rPr>
                <w:rFonts w:cs="Calibri"/>
                <w:sz w:val="22"/>
                <w:szCs w:val="22"/>
              </w:rPr>
            </w:pPr>
            <w:r w:rsidRPr="00580B37">
              <w:rPr>
                <w:rFonts w:cs="Calibri"/>
                <w:sz w:val="22"/>
                <w:szCs w:val="22"/>
              </w:rPr>
              <w:t>3832</w:t>
            </w:r>
          </w:p>
        </w:tc>
        <w:tc>
          <w:tcPr>
            <w:tcW w:w="387" w:type="pct"/>
            <w:shd w:val="clear" w:color="auto" w:fill="auto"/>
            <w:noWrap/>
            <w:vAlign w:val="bottom"/>
          </w:tcPr>
          <w:p w14:paraId="4B402934" w14:textId="77777777" w:rsidR="001F27D2" w:rsidRPr="00580B37" w:rsidRDefault="001F27D2" w:rsidP="00580B37">
            <w:pPr>
              <w:spacing w:before="0" w:after="0"/>
              <w:jc w:val="center"/>
              <w:rPr>
                <w:rFonts w:cs="Calibri"/>
                <w:sz w:val="22"/>
                <w:szCs w:val="22"/>
              </w:rPr>
            </w:pPr>
            <w:r w:rsidRPr="00580B37">
              <w:rPr>
                <w:rFonts w:cs="Calibri"/>
                <w:sz w:val="22"/>
                <w:szCs w:val="22"/>
              </w:rPr>
              <w:t>2740</w:t>
            </w:r>
          </w:p>
        </w:tc>
        <w:tc>
          <w:tcPr>
            <w:tcW w:w="349" w:type="pct"/>
            <w:shd w:val="clear" w:color="auto" w:fill="auto"/>
            <w:noWrap/>
            <w:vAlign w:val="bottom"/>
          </w:tcPr>
          <w:p w14:paraId="77797AAA" w14:textId="77777777" w:rsidR="001F27D2" w:rsidRPr="00580B37" w:rsidRDefault="001F27D2" w:rsidP="00580B37">
            <w:pPr>
              <w:spacing w:before="0" w:after="0"/>
              <w:jc w:val="center"/>
              <w:rPr>
                <w:rFonts w:cs="Calibri"/>
                <w:sz w:val="22"/>
                <w:szCs w:val="22"/>
              </w:rPr>
            </w:pPr>
            <w:r w:rsidRPr="00580B37">
              <w:rPr>
                <w:rFonts w:cs="Calibri"/>
                <w:sz w:val="22"/>
                <w:szCs w:val="22"/>
              </w:rPr>
              <w:t>1070</w:t>
            </w:r>
          </w:p>
        </w:tc>
        <w:tc>
          <w:tcPr>
            <w:tcW w:w="654" w:type="pct"/>
            <w:shd w:val="clear" w:color="auto" w:fill="auto"/>
            <w:noWrap/>
            <w:vAlign w:val="bottom"/>
          </w:tcPr>
          <w:p w14:paraId="0A63D69B" w14:textId="77777777" w:rsidR="001F27D2" w:rsidRPr="00580B37" w:rsidRDefault="001F27D2" w:rsidP="00580B37">
            <w:pPr>
              <w:spacing w:before="0" w:after="0"/>
              <w:jc w:val="center"/>
              <w:rPr>
                <w:rFonts w:cs="Calibri"/>
                <w:sz w:val="22"/>
                <w:szCs w:val="22"/>
              </w:rPr>
            </w:pPr>
            <w:r w:rsidRPr="00580B37">
              <w:rPr>
                <w:rFonts w:cs="Calibri"/>
                <w:sz w:val="22"/>
                <w:szCs w:val="22"/>
              </w:rPr>
              <w:t>368</w:t>
            </w:r>
          </w:p>
        </w:tc>
        <w:tc>
          <w:tcPr>
            <w:tcW w:w="347" w:type="pct"/>
            <w:shd w:val="clear" w:color="auto" w:fill="auto"/>
            <w:noWrap/>
            <w:vAlign w:val="bottom"/>
          </w:tcPr>
          <w:p w14:paraId="332C9BC0" w14:textId="77777777" w:rsidR="001F27D2" w:rsidRPr="00580B37" w:rsidRDefault="001F27D2" w:rsidP="00580B37">
            <w:pPr>
              <w:spacing w:before="0" w:after="0"/>
              <w:jc w:val="center"/>
              <w:rPr>
                <w:rFonts w:cs="Calibri"/>
                <w:sz w:val="22"/>
                <w:szCs w:val="22"/>
              </w:rPr>
            </w:pPr>
            <w:r w:rsidRPr="00580B37">
              <w:rPr>
                <w:rFonts w:cs="Calibri"/>
                <w:sz w:val="22"/>
                <w:szCs w:val="22"/>
              </w:rPr>
              <w:t>1139</w:t>
            </w:r>
          </w:p>
        </w:tc>
        <w:tc>
          <w:tcPr>
            <w:tcW w:w="927" w:type="pct"/>
            <w:shd w:val="clear" w:color="auto" w:fill="auto"/>
            <w:noWrap/>
            <w:vAlign w:val="bottom"/>
          </w:tcPr>
          <w:p w14:paraId="515FEB5E" w14:textId="77777777" w:rsidR="001F27D2" w:rsidRPr="00580B37" w:rsidRDefault="001F27D2" w:rsidP="00580B37">
            <w:pPr>
              <w:spacing w:before="0" w:after="0"/>
              <w:jc w:val="center"/>
              <w:rPr>
                <w:rFonts w:cs="Calibri"/>
                <w:color w:val="000000"/>
                <w:sz w:val="22"/>
                <w:szCs w:val="22"/>
              </w:rPr>
            </w:pPr>
            <w:r w:rsidRPr="00580B37">
              <w:rPr>
                <w:rFonts w:cs="Calibri"/>
                <w:sz w:val="22"/>
                <w:szCs w:val="22"/>
              </w:rPr>
              <w:t>9550</w:t>
            </w:r>
          </w:p>
        </w:tc>
        <w:tc>
          <w:tcPr>
            <w:tcW w:w="662" w:type="pct"/>
            <w:shd w:val="clear" w:color="auto" w:fill="auto"/>
            <w:noWrap/>
            <w:vAlign w:val="bottom"/>
          </w:tcPr>
          <w:p w14:paraId="67D54E16"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37.2</w:t>
            </w:r>
          </w:p>
        </w:tc>
      </w:tr>
      <w:tr w:rsidR="001F27D2" w:rsidRPr="00580B37" w14:paraId="41868DD0" w14:textId="77777777" w:rsidTr="001F27D2">
        <w:trPr>
          <w:trHeight w:val="340"/>
        </w:trPr>
        <w:tc>
          <w:tcPr>
            <w:tcW w:w="687" w:type="pct"/>
            <w:shd w:val="clear" w:color="000000" w:fill="FFFFFF"/>
            <w:noWrap/>
            <w:vAlign w:val="center"/>
            <w:hideMark/>
          </w:tcPr>
          <w:p w14:paraId="0C1663D5"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1919-44</w:t>
            </w:r>
          </w:p>
        </w:tc>
        <w:tc>
          <w:tcPr>
            <w:tcW w:w="687" w:type="pct"/>
            <w:shd w:val="clear" w:color="000000" w:fill="FFFFFF"/>
            <w:noWrap/>
            <w:vAlign w:val="center"/>
            <w:hideMark/>
          </w:tcPr>
          <w:p w14:paraId="5200AC2F"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1919-44</w:t>
            </w:r>
          </w:p>
        </w:tc>
        <w:tc>
          <w:tcPr>
            <w:tcW w:w="300" w:type="pct"/>
            <w:shd w:val="clear" w:color="auto" w:fill="auto"/>
            <w:noWrap/>
            <w:vAlign w:val="bottom"/>
          </w:tcPr>
          <w:p w14:paraId="7EDA5DB0" w14:textId="77777777" w:rsidR="001F27D2" w:rsidRPr="00580B37" w:rsidRDefault="001F27D2" w:rsidP="00580B37">
            <w:pPr>
              <w:spacing w:before="0" w:after="0"/>
              <w:jc w:val="center"/>
              <w:rPr>
                <w:rFonts w:cs="Calibri"/>
                <w:sz w:val="22"/>
                <w:szCs w:val="22"/>
              </w:rPr>
            </w:pPr>
            <w:r w:rsidRPr="00580B37">
              <w:rPr>
                <w:rFonts w:cs="Calibri"/>
                <w:sz w:val="22"/>
                <w:szCs w:val="22"/>
              </w:rPr>
              <w:t>373</w:t>
            </w:r>
          </w:p>
        </w:tc>
        <w:tc>
          <w:tcPr>
            <w:tcW w:w="387" w:type="pct"/>
            <w:shd w:val="clear" w:color="auto" w:fill="auto"/>
            <w:noWrap/>
            <w:vAlign w:val="bottom"/>
          </w:tcPr>
          <w:p w14:paraId="1A49283E" w14:textId="77777777" w:rsidR="001F27D2" w:rsidRPr="00580B37" w:rsidRDefault="001F27D2" w:rsidP="00580B37">
            <w:pPr>
              <w:spacing w:before="0" w:after="0"/>
              <w:jc w:val="center"/>
              <w:rPr>
                <w:rFonts w:cs="Calibri"/>
                <w:sz w:val="22"/>
                <w:szCs w:val="22"/>
              </w:rPr>
            </w:pPr>
            <w:r w:rsidRPr="00580B37">
              <w:rPr>
                <w:rFonts w:cs="Calibri"/>
                <w:sz w:val="22"/>
                <w:szCs w:val="22"/>
              </w:rPr>
              <w:t>203</w:t>
            </w:r>
          </w:p>
        </w:tc>
        <w:tc>
          <w:tcPr>
            <w:tcW w:w="349" w:type="pct"/>
            <w:shd w:val="clear" w:color="auto" w:fill="auto"/>
            <w:noWrap/>
            <w:vAlign w:val="bottom"/>
          </w:tcPr>
          <w:p w14:paraId="03999D61" w14:textId="77777777" w:rsidR="001F27D2" w:rsidRPr="00580B37" w:rsidRDefault="001F27D2" w:rsidP="00580B37">
            <w:pPr>
              <w:spacing w:before="0" w:after="0"/>
              <w:jc w:val="center"/>
              <w:rPr>
                <w:rFonts w:cs="Calibri"/>
                <w:sz w:val="22"/>
                <w:szCs w:val="22"/>
              </w:rPr>
            </w:pPr>
            <w:r w:rsidRPr="00580B37">
              <w:rPr>
                <w:rFonts w:cs="Calibri"/>
                <w:sz w:val="22"/>
                <w:szCs w:val="22"/>
              </w:rPr>
              <w:t>117</w:t>
            </w:r>
          </w:p>
        </w:tc>
        <w:tc>
          <w:tcPr>
            <w:tcW w:w="654" w:type="pct"/>
            <w:shd w:val="clear" w:color="auto" w:fill="auto"/>
            <w:noWrap/>
            <w:vAlign w:val="bottom"/>
          </w:tcPr>
          <w:p w14:paraId="37375753" w14:textId="77777777" w:rsidR="001F27D2" w:rsidRPr="00580B37" w:rsidRDefault="001F27D2" w:rsidP="00580B37">
            <w:pPr>
              <w:spacing w:before="0" w:after="0"/>
              <w:jc w:val="center"/>
              <w:rPr>
                <w:rFonts w:cs="Calibri"/>
                <w:sz w:val="22"/>
                <w:szCs w:val="22"/>
              </w:rPr>
            </w:pPr>
            <w:r w:rsidRPr="00580B37">
              <w:rPr>
                <w:rFonts w:cs="Calibri"/>
                <w:sz w:val="22"/>
                <w:szCs w:val="22"/>
              </w:rPr>
              <w:t>27</w:t>
            </w:r>
          </w:p>
        </w:tc>
        <w:tc>
          <w:tcPr>
            <w:tcW w:w="347" w:type="pct"/>
            <w:shd w:val="clear" w:color="auto" w:fill="auto"/>
            <w:noWrap/>
            <w:vAlign w:val="bottom"/>
          </w:tcPr>
          <w:p w14:paraId="611DD0C2" w14:textId="77777777" w:rsidR="001F27D2" w:rsidRPr="00580B37" w:rsidRDefault="001F27D2" w:rsidP="00580B37">
            <w:pPr>
              <w:spacing w:before="0" w:after="0"/>
              <w:jc w:val="center"/>
              <w:rPr>
                <w:rFonts w:cs="Calibri"/>
                <w:sz w:val="22"/>
                <w:szCs w:val="22"/>
              </w:rPr>
            </w:pPr>
            <w:r w:rsidRPr="00580B37">
              <w:rPr>
                <w:rFonts w:cs="Calibri"/>
                <w:sz w:val="22"/>
                <w:szCs w:val="22"/>
              </w:rPr>
              <w:t>118</w:t>
            </w:r>
          </w:p>
        </w:tc>
        <w:tc>
          <w:tcPr>
            <w:tcW w:w="927" w:type="pct"/>
            <w:shd w:val="clear" w:color="auto" w:fill="auto"/>
            <w:noWrap/>
            <w:vAlign w:val="bottom"/>
          </w:tcPr>
          <w:p w14:paraId="4FDE98DD" w14:textId="77777777" w:rsidR="001F27D2" w:rsidRPr="00580B37" w:rsidRDefault="001F27D2" w:rsidP="00580B37">
            <w:pPr>
              <w:spacing w:before="0" w:after="0"/>
              <w:jc w:val="center"/>
              <w:rPr>
                <w:rFonts w:cs="Calibri"/>
                <w:color w:val="000000"/>
                <w:sz w:val="22"/>
                <w:szCs w:val="22"/>
              </w:rPr>
            </w:pPr>
            <w:r w:rsidRPr="00580B37">
              <w:rPr>
                <w:rFonts w:cs="Calibri"/>
                <w:sz w:val="22"/>
                <w:szCs w:val="22"/>
              </w:rPr>
              <w:t>1550</w:t>
            </w:r>
          </w:p>
        </w:tc>
        <w:tc>
          <w:tcPr>
            <w:tcW w:w="662" w:type="pct"/>
            <w:shd w:val="clear" w:color="auto" w:fill="auto"/>
            <w:noWrap/>
            <w:vAlign w:val="bottom"/>
          </w:tcPr>
          <w:p w14:paraId="299B2FD3"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6.0</w:t>
            </w:r>
          </w:p>
        </w:tc>
      </w:tr>
      <w:tr w:rsidR="001F27D2" w:rsidRPr="00580B37" w14:paraId="4F57E2AA" w14:textId="77777777" w:rsidTr="001F27D2">
        <w:trPr>
          <w:trHeight w:val="340"/>
        </w:trPr>
        <w:tc>
          <w:tcPr>
            <w:tcW w:w="687" w:type="pct"/>
            <w:shd w:val="clear" w:color="000000" w:fill="FFFFFF"/>
            <w:noWrap/>
            <w:vAlign w:val="center"/>
            <w:hideMark/>
          </w:tcPr>
          <w:p w14:paraId="61FB4E6F"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1945-64</w:t>
            </w:r>
          </w:p>
        </w:tc>
        <w:tc>
          <w:tcPr>
            <w:tcW w:w="687" w:type="pct"/>
            <w:shd w:val="clear" w:color="000000" w:fill="FFFFFF"/>
            <w:noWrap/>
            <w:vAlign w:val="center"/>
            <w:hideMark/>
          </w:tcPr>
          <w:p w14:paraId="00FCEB6B"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1945-64</w:t>
            </w:r>
          </w:p>
        </w:tc>
        <w:tc>
          <w:tcPr>
            <w:tcW w:w="300" w:type="pct"/>
            <w:shd w:val="clear" w:color="auto" w:fill="auto"/>
            <w:noWrap/>
            <w:vAlign w:val="bottom"/>
          </w:tcPr>
          <w:p w14:paraId="01E01B5A" w14:textId="77777777" w:rsidR="001F27D2" w:rsidRPr="00580B37" w:rsidRDefault="001F27D2" w:rsidP="00580B37">
            <w:pPr>
              <w:spacing w:before="0" w:after="0"/>
              <w:jc w:val="center"/>
              <w:rPr>
                <w:rFonts w:cs="Calibri"/>
                <w:sz w:val="22"/>
                <w:szCs w:val="22"/>
              </w:rPr>
            </w:pPr>
            <w:r w:rsidRPr="00580B37">
              <w:rPr>
                <w:rFonts w:cs="Calibri"/>
                <w:sz w:val="22"/>
                <w:szCs w:val="22"/>
              </w:rPr>
              <w:t>424</w:t>
            </w:r>
          </w:p>
        </w:tc>
        <w:tc>
          <w:tcPr>
            <w:tcW w:w="387" w:type="pct"/>
            <w:shd w:val="clear" w:color="auto" w:fill="auto"/>
            <w:noWrap/>
            <w:vAlign w:val="bottom"/>
          </w:tcPr>
          <w:p w14:paraId="0D85F702" w14:textId="77777777" w:rsidR="001F27D2" w:rsidRPr="00580B37" w:rsidRDefault="001F27D2" w:rsidP="00580B37">
            <w:pPr>
              <w:spacing w:before="0" w:after="0"/>
              <w:jc w:val="center"/>
              <w:rPr>
                <w:rFonts w:cs="Calibri"/>
                <w:sz w:val="22"/>
                <w:szCs w:val="22"/>
              </w:rPr>
            </w:pPr>
            <w:r w:rsidRPr="00580B37">
              <w:rPr>
                <w:rFonts w:cs="Calibri"/>
                <w:sz w:val="22"/>
                <w:szCs w:val="22"/>
              </w:rPr>
              <w:t>203</w:t>
            </w:r>
          </w:p>
        </w:tc>
        <w:tc>
          <w:tcPr>
            <w:tcW w:w="349" w:type="pct"/>
            <w:shd w:val="clear" w:color="auto" w:fill="auto"/>
            <w:noWrap/>
            <w:vAlign w:val="bottom"/>
          </w:tcPr>
          <w:p w14:paraId="6761C640" w14:textId="77777777" w:rsidR="001F27D2" w:rsidRPr="00580B37" w:rsidRDefault="001F27D2" w:rsidP="00580B37">
            <w:pPr>
              <w:spacing w:before="0" w:after="0"/>
              <w:jc w:val="center"/>
              <w:rPr>
                <w:rFonts w:cs="Calibri"/>
                <w:sz w:val="22"/>
                <w:szCs w:val="22"/>
              </w:rPr>
            </w:pPr>
            <w:r w:rsidRPr="00580B37">
              <w:rPr>
                <w:rFonts w:cs="Calibri"/>
                <w:sz w:val="22"/>
                <w:szCs w:val="22"/>
              </w:rPr>
              <w:t>93</w:t>
            </w:r>
          </w:p>
        </w:tc>
        <w:tc>
          <w:tcPr>
            <w:tcW w:w="654" w:type="pct"/>
            <w:shd w:val="clear" w:color="auto" w:fill="auto"/>
            <w:noWrap/>
            <w:vAlign w:val="bottom"/>
          </w:tcPr>
          <w:p w14:paraId="2CFF717C" w14:textId="77777777" w:rsidR="001F27D2" w:rsidRPr="00580B37" w:rsidRDefault="001F27D2" w:rsidP="00580B37">
            <w:pPr>
              <w:spacing w:before="0" w:after="0"/>
              <w:jc w:val="center"/>
              <w:rPr>
                <w:rFonts w:cs="Calibri"/>
                <w:sz w:val="22"/>
                <w:szCs w:val="22"/>
              </w:rPr>
            </w:pPr>
            <w:r w:rsidRPr="00580B37">
              <w:rPr>
                <w:rFonts w:cs="Calibri"/>
                <w:sz w:val="22"/>
                <w:szCs w:val="22"/>
              </w:rPr>
              <w:t>50</w:t>
            </w:r>
          </w:p>
        </w:tc>
        <w:tc>
          <w:tcPr>
            <w:tcW w:w="347" w:type="pct"/>
            <w:shd w:val="clear" w:color="auto" w:fill="auto"/>
            <w:noWrap/>
            <w:vAlign w:val="bottom"/>
          </w:tcPr>
          <w:p w14:paraId="5EB17750" w14:textId="77777777" w:rsidR="001F27D2" w:rsidRPr="00580B37" w:rsidRDefault="001F27D2" w:rsidP="00580B37">
            <w:pPr>
              <w:spacing w:before="0" w:after="0"/>
              <w:jc w:val="center"/>
              <w:rPr>
                <w:rFonts w:cs="Calibri"/>
                <w:sz w:val="22"/>
                <w:szCs w:val="22"/>
              </w:rPr>
            </w:pPr>
            <w:r w:rsidRPr="00580B37">
              <w:rPr>
                <w:rFonts w:cs="Calibri"/>
                <w:sz w:val="22"/>
                <w:szCs w:val="22"/>
              </w:rPr>
              <w:t>146</w:t>
            </w:r>
          </w:p>
        </w:tc>
        <w:tc>
          <w:tcPr>
            <w:tcW w:w="927" w:type="pct"/>
            <w:shd w:val="clear" w:color="auto" w:fill="auto"/>
            <w:noWrap/>
            <w:vAlign w:val="bottom"/>
          </w:tcPr>
          <w:p w14:paraId="593B2D06" w14:textId="77777777" w:rsidR="001F27D2" w:rsidRPr="00580B37" w:rsidRDefault="001F27D2" w:rsidP="00580B37">
            <w:pPr>
              <w:spacing w:before="0" w:after="0"/>
              <w:jc w:val="center"/>
              <w:rPr>
                <w:rFonts w:cs="Calibri"/>
                <w:color w:val="000000"/>
                <w:sz w:val="22"/>
                <w:szCs w:val="22"/>
              </w:rPr>
            </w:pPr>
            <w:r w:rsidRPr="00580B37">
              <w:rPr>
                <w:rFonts w:cs="Calibri"/>
                <w:sz w:val="22"/>
                <w:szCs w:val="22"/>
              </w:rPr>
              <w:t>2550</w:t>
            </w:r>
          </w:p>
        </w:tc>
        <w:tc>
          <w:tcPr>
            <w:tcW w:w="662" w:type="pct"/>
            <w:shd w:val="clear" w:color="auto" w:fill="auto"/>
            <w:noWrap/>
            <w:vAlign w:val="bottom"/>
          </w:tcPr>
          <w:p w14:paraId="4E3B2DC6"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9.9</w:t>
            </w:r>
          </w:p>
        </w:tc>
      </w:tr>
      <w:tr w:rsidR="001F27D2" w:rsidRPr="00580B37" w14:paraId="163FE421" w14:textId="77777777" w:rsidTr="001F27D2">
        <w:trPr>
          <w:trHeight w:val="340"/>
        </w:trPr>
        <w:tc>
          <w:tcPr>
            <w:tcW w:w="687" w:type="pct"/>
            <w:shd w:val="clear" w:color="000000" w:fill="FFFFFF"/>
            <w:noWrap/>
            <w:vAlign w:val="center"/>
            <w:hideMark/>
          </w:tcPr>
          <w:p w14:paraId="799F7683"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1965-80</w:t>
            </w:r>
          </w:p>
        </w:tc>
        <w:tc>
          <w:tcPr>
            <w:tcW w:w="687" w:type="pct"/>
            <w:shd w:val="clear" w:color="000000" w:fill="FFFFFF"/>
            <w:noWrap/>
            <w:vAlign w:val="center"/>
            <w:hideMark/>
          </w:tcPr>
          <w:p w14:paraId="759268DC"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1965-82</w:t>
            </w:r>
          </w:p>
        </w:tc>
        <w:tc>
          <w:tcPr>
            <w:tcW w:w="300" w:type="pct"/>
            <w:shd w:val="clear" w:color="auto" w:fill="auto"/>
            <w:noWrap/>
            <w:vAlign w:val="bottom"/>
          </w:tcPr>
          <w:p w14:paraId="0CCDC812" w14:textId="77777777" w:rsidR="001F27D2" w:rsidRPr="00580B37" w:rsidRDefault="001F27D2" w:rsidP="00580B37">
            <w:pPr>
              <w:spacing w:before="0" w:after="0"/>
              <w:jc w:val="center"/>
              <w:rPr>
                <w:rFonts w:cs="Calibri"/>
                <w:sz w:val="22"/>
                <w:szCs w:val="22"/>
              </w:rPr>
            </w:pPr>
            <w:r w:rsidRPr="00580B37">
              <w:rPr>
                <w:rFonts w:cs="Calibri"/>
                <w:sz w:val="22"/>
                <w:szCs w:val="22"/>
              </w:rPr>
              <w:t>634</w:t>
            </w:r>
          </w:p>
        </w:tc>
        <w:tc>
          <w:tcPr>
            <w:tcW w:w="387" w:type="pct"/>
            <w:shd w:val="clear" w:color="auto" w:fill="auto"/>
            <w:noWrap/>
            <w:vAlign w:val="bottom"/>
          </w:tcPr>
          <w:p w14:paraId="4D810FAA" w14:textId="77777777" w:rsidR="001F27D2" w:rsidRPr="00580B37" w:rsidRDefault="001F27D2" w:rsidP="00580B37">
            <w:pPr>
              <w:spacing w:before="0" w:after="0"/>
              <w:jc w:val="center"/>
              <w:rPr>
                <w:rFonts w:cs="Calibri"/>
                <w:sz w:val="22"/>
                <w:szCs w:val="22"/>
              </w:rPr>
            </w:pPr>
            <w:r w:rsidRPr="00580B37">
              <w:rPr>
                <w:rFonts w:cs="Calibri"/>
                <w:sz w:val="22"/>
                <w:szCs w:val="22"/>
              </w:rPr>
              <w:t>318</w:t>
            </w:r>
          </w:p>
        </w:tc>
        <w:tc>
          <w:tcPr>
            <w:tcW w:w="349" w:type="pct"/>
            <w:shd w:val="clear" w:color="auto" w:fill="auto"/>
            <w:noWrap/>
            <w:vAlign w:val="bottom"/>
          </w:tcPr>
          <w:p w14:paraId="6B42BE47" w14:textId="77777777" w:rsidR="001F27D2" w:rsidRPr="00580B37" w:rsidRDefault="001F27D2" w:rsidP="00580B37">
            <w:pPr>
              <w:spacing w:before="0" w:after="0"/>
              <w:jc w:val="center"/>
              <w:rPr>
                <w:rFonts w:cs="Calibri"/>
                <w:sz w:val="22"/>
                <w:szCs w:val="22"/>
              </w:rPr>
            </w:pPr>
            <w:r w:rsidRPr="00580B37">
              <w:rPr>
                <w:rFonts w:cs="Calibri"/>
                <w:sz w:val="22"/>
                <w:szCs w:val="22"/>
              </w:rPr>
              <w:t>66</w:t>
            </w:r>
          </w:p>
        </w:tc>
        <w:tc>
          <w:tcPr>
            <w:tcW w:w="654" w:type="pct"/>
            <w:shd w:val="clear" w:color="auto" w:fill="auto"/>
            <w:noWrap/>
            <w:vAlign w:val="bottom"/>
          </w:tcPr>
          <w:p w14:paraId="7A8A9B9B" w14:textId="77777777" w:rsidR="001F27D2" w:rsidRPr="00580B37" w:rsidRDefault="001F27D2" w:rsidP="00580B37">
            <w:pPr>
              <w:spacing w:before="0" w:after="0"/>
              <w:jc w:val="center"/>
              <w:rPr>
                <w:rFonts w:cs="Calibri"/>
                <w:sz w:val="22"/>
                <w:szCs w:val="22"/>
              </w:rPr>
            </w:pPr>
            <w:r w:rsidRPr="00580B37">
              <w:rPr>
                <w:rFonts w:cs="Calibri"/>
                <w:sz w:val="22"/>
                <w:szCs w:val="22"/>
              </w:rPr>
              <w:t>69</w:t>
            </w:r>
          </w:p>
        </w:tc>
        <w:tc>
          <w:tcPr>
            <w:tcW w:w="347" w:type="pct"/>
            <w:shd w:val="clear" w:color="auto" w:fill="auto"/>
            <w:noWrap/>
            <w:vAlign w:val="bottom"/>
          </w:tcPr>
          <w:p w14:paraId="32808637" w14:textId="77777777" w:rsidR="001F27D2" w:rsidRPr="00580B37" w:rsidRDefault="001F27D2" w:rsidP="00580B37">
            <w:pPr>
              <w:spacing w:before="0" w:after="0"/>
              <w:jc w:val="center"/>
              <w:rPr>
                <w:rFonts w:cs="Calibri"/>
                <w:sz w:val="22"/>
                <w:szCs w:val="22"/>
              </w:rPr>
            </w:pPr>
            <w:r w:rsidRPr="00580B37">
              <w:rPr>
                <w:rFonts w:cs="Calibri"/>
                <w:sz w:val="22"/>
                <w:szCs w:val="22"/>
              </w:rPr>
              <w:t>275</w:t>
            </w:r>
          </w:p>
        </w:tc>
        <w:tc>
          <w:tcPr>
            <w:tcW w:w="927" w:type="pct"/>
            <w:shd w:val="clear" w:color="auto" w:fill="auto"/>
            <w:noWrap/>
            <w:vAlign w:val="bottom"/>
          </w:tcPr>
          <w:p w14:paraId="07A9BE08" w14:textId="77777777" w:rsidR="001F27D2" w:rsidRPr="00580B37" w:rsidRDefault="001F27D2" w:rsidP="00580B37">
            <w:pPr>
              <w:spacing w:before="0" w:after="0"/>
              <w:jc w:val="center"/>
              <w:rPr>
                <w:rFonts w:cs="Calibri"/>
                <w:color w:val="000000"/>
                <w:sz w:val="22"/>
                <w:szCs w:val="22"/>
              </w:rPr>
            </w:pPr>
            <w:r w:rsidRPr="00580B37">
              <w:rPr>
                <w:rFonts w:cs="Calibri"/>
                <w:sz w:val="22"/>
                <w:szCs w:val="22"/>
              </w:rPr>
              <w:t>3630</w:t>
            </w:r>
          </w:p>
        </w:tc>
        <w:tc>
          <w:tcPr>
            <w:tcW w:w="662" w:type="pct"/>
            <w:shd w:val="clear" w:color="auto" w:fill="auto"/>
            <w:noWrap/>
            <w:vAlign w:val="bottom"/>
          </w:tcPr>
          <w:p w14:paraId="15EBE86A"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14.2</w:t>
            </w:r>
          </w:p>
        </w:tc>
      </w:tr>
      <w:tr w:rsidR="001F27D2" w:rsidRPr="00580B37" w14:paraId="6EF1782D" w14:textId="77777777" w:rsidTr="001F27D2">
        <w:trPr>
          <w:trHeight w:val="340"/>
        </w:trPr>
        <w:tc>
          <w:tcPr>
            <w:tcW w:w="687" w:type="pct"/>
            <w:shd w:val="clear" w:color="000000" w:fill="FFFFFF"/>
            <w:noWrap/>
            <w:vAlign w:val="center"/>
            <w:hideMark/>
          </w:tcPr>
          <w:p w14:paraId="2C1F939E"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1981-90</w:t>
            </w:r>
          </w:p>
        </w:tc>
        <w:tc>
          <w:tcPr>
            <w:tcW w:w="687" w:type="pct"/>
            <w:shd w:val="clear" w:color="000000" w:fill="FFFFFF"/>
            <w:noWrap/>
            <w:vAlign w:val="center"/>
            <w:hideMark/>
          </w:tcPr>
          <w:p w14:paraId="526ECEC4"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1983-1992</w:t>
            </w:r>
          </w:p>
        </w:tc>
        <w:tc>
          <w:tcPr>
            <w:tcW w:w="300" w:type="pct"/>
            <w:shd w:val="clear" w:color="auto" w:fill="auto"/>
            <w:noWrap/>
            <w:vAlign w:val="bottom"/>
          </w:tcPr>
          <w:p w14:paraId="7FFF2225" w14:textId="77777777" w:rsidR="001F27D2" w:rsidRPr="00580B37" w:rsidRDefault="001F27D2" w:rsidP="00580B37">
            <w:pPr>
              <w:spacing w:before="0" w:after="0"/>
              <w:jc w:val="center"/>
              <w:rPr>
                <w:rFonts w:cs="Calibri"/>
                <w:sz w:val="22"/>
                <w:szCs w:val="22"/>
              </w:rPr>
            </w:pPr>
            <w:r w:rsidRPr="00580B37">
              <w:rPr>
                <w:rFonts w:cs="Calibri"/>
                <w:sz w:val="22"/>
                <w:szCs w:val="22"/>
              </w:rPr>
              <w:t>419</w:t>
            </w:r>
          </w:p>
        </w:tc>
        <w:tc>
          <w:tcPr>
            <w:tcW w:w="387" w:type="pct"/>
            <w:shd w:val="clear" w:color="auto" w:fill="auto"/>
            <w:noWrap/>
            <w:vAlign w:val="bottom"/>
          </w:tcPr>
          <w:p w14:paraId="79CDE9B0" w14:textId="77777777" w:rsidR="001F27D2" w:rsidRPr="00580B37" w:rsidRDefault="001F27D2" w:rsidP="00580B37">
            <w:pPr>
              <w:spacing w:before="0" w:after="0"/>
              <w:jc w:val="center"/>
              <w:rPr>
                <w:rFonts w:cs="Calibri"/>
                <w:sz w:val="22"/>
                <w:szCs w:val="22"/>
              </w:rPr>
            </w:pPr>
            <w:r w:rsidRPr="00580B37">
              <w:rPr>
                <w:rFonts w:cs="Calibri"/>
                <w:sz w:val="22"/>
                <w:szCs w:val="22"/>
              </w:rPr>
              <w:t>113</w:t>
            </w:r>
          </w:p>
        </w:tc>
        <w:tc>
          <w:tcPr>
            <w:tcW w:w="349" w:type="pct"/>
            <w:shd w:val="clear" w:color="auto" w:fill="auto"/>
            <w:noWrap/>
            <w:vAlign w:val="bottom"/>
          </w:tcPr>
          <w:p w14:paraId="6B8AF5B4" w14:textId="77777777" w:rsidR="001F27D2" w:rsidRPr="00580B37" w:rsidRDefault="001F27D2" w:rsidP="00580B37">
            <w:pPr>
              <w:spacing w:before="0" w:after="0"/>
              <w:jc w:val="center"/>
              <w:rPr>
                <w:rFonts w:cs="Calibri"/>
                <w:sz w:val="22"/>
                <w:szCs w:val="22"/>
              </w:rPr>
            </w:pPr>
            <w:r w:rsidRPr="00580B37">
              <w:rPr>
                <w:rFonts w:cs="Calibri"/>
                <w:sz w:val="22"/>
                <w:szCs w:val="22"/>
              </w:rPr>
              <w:t>*</w:t>
            </w:r>
          </w:p>
        </w:tc>
        <w:tc>
          <w:tcPr>
            <w:tcW w:w="654" w:type="pct"/>
            <w:shd w:val="clear" w:color="auto" w:fill="auto"/>
            <w:noWrap/>
            <w:vAlign w:val="bottom"/>
          </w:tcPr>
          <w:p w14:paraId="4D00E277" w14:textId="77777777" w:rsidR="001F27D2" w:rsidRPr="00580B37" w:rsidRDefault="001F27D2" w:rsidP="00580B37">
            <w:pPr>
              <w:spacing w:before="0" w:after="0"/>
              <w:jc w:val="center"/>
              <w:rPr>
                <w:rFonts w:cs="Calibri"/>
                <w:sz w:val="22"/>
                <w:szCs w:val="22"/>
              </w:rPr>
            </w:pPr>
            <w:r w:rsidRPr="00580B37">
              <w:rPr>
                <w:rFonts w:cs="Calibri"/>
                <w:sz w:val="22"/>
                <w:szCs w:val="22"/>
              </w:rPr>
              <w:t>22</w:t>
            </w:r>
          </w:p>
        </w:tc>
        <w:tc>
          <w:tcPr>
            <w:tcW w:w="347" w:type="pct"/>
            <w:shd w:val="clear" w:color="auto" w:fill="auto"/>
            <w:noWrap/>
            <w:vAlign w:val="bottom"/>
          </w:tcPr>
          <w:p w14:paraId="35FCD49C" w14:textId="77777777" w:rsidR="001F27D2" w:rsidRPr="00580B37" w:rsidRDefault="001F27D2" w:rsidP="00580B37">
            <w:pPr>
              <w:spacing w:before="0" w:after="0"/>
              <w:jc w:val="center"/>
              <w:rPr>
                <w:rFonts w:cs="Calibri"/>
                <w:sz w:val="22"/>
                <w:szCs w:val="22"/>
              </w:rPr>
            </w:pPr>
            <w:r w:rsidRPr="00580B37">
              <w:rPr>
                <w:rFonts w:cs="Calibri"/>
                <w:sz w:val="22"/>
                <w:szCs w:val="22"/>
              </w:rPr>
              <w:t>321</w:t>
            </w:r>
          </w:p>
        </w:tc>
        <w:tc>
          <w:tcPr>
            <w:tcW w:w="927" w:type="pct"/>
            <w:shd w:val="clear" w:color="auto" w:fill="auto"/>
            <w:noWrap/>
            <w:vAlign w:val="bottom"/>
          </w:tcPr>
          <w:p w14:paraId="3F75354C" w14:textId="77777777" w:rsidR="001F27D2" w:rsidRPr="00580B37" w:rsidRDefault="001F27D2" w:rsidP="00580B37">
            <w:pPr>
              <w:spacing w:before="0" w:after="0"/>
              <w:jc w:val="center"/>
              <w:rPr>
                <w:rFonts w:cs="Calibri"/>
                <w:color w:val="000000"/>
                <w:sz w:val="22"/>
                <w:szCs w:val="22"/>
              </w:rPr>
            </w:pPr>
            <w:r w:rsidRPr="00580B37">
              <w:rPr>
                <w:rFonts w:cs="Calibri"/>
                <w:sz w:val="22"/>
                <w:szCs w:val="22"/>
              </w:rPr>
              <w:t>2380</w:t>
            </w:r>
          </w:p>
        </w:tc>
        <w:tc>
          <w:tcPr>
            <w:tcW w:w="662" w:type="pct"/>
            <w:shd w:val="clear" w:color="auto" w:fill="auto"/>
            <w:noWrap/>
            <w:vAlign w:val="bottom"/>
          </w:tcPr>
          <w:p w14:paraId="0E8A692C"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9.3</w:t>
            </w:r>
          </w:p>
        </w:tc>
      </w:tr>
      <w:tr w:rsidR="001F27D2" w:rsidRPr="00580B37" w14:paraId="0CCC72DF" w14:textId="77777777" w:rsidTr="001F27D2">
        <w:trPr>
          <w:trHeight w:val="340"/>
        </w:trPr>
        <w:tc>
          <w:tcPr>
            <w:tcW w:w="687" w:type="pct"/>
            <w:shd w:val="clear" w:color="000000" w:fill="FFFFFF"/>
            <w:noWrap/>
            <w:vAlign w:val="center"/>
            <w:hideMark/>
          </w:tcPr>
          <w:p w14:paraId="409C4338"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post 1990</w:t>
            </w:r>
          </w:p>
        </w:tc>
        <w:tc>
          <w:tcPr>
            <w:tcW w:w="687" w:type="pct"/>
            <w:shd w:val="clear" w:color="000000" w:fill="FFFFFF"/>
            <w:noWrap/>
            <w:vAlign w:val="center"/>
            <w:hideMark/>
          </w:tcPr>
          <w:p w14:paraId="45CB9256"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Post 1992</w:t>
            </w:r>
          </w:p>
        </w:tc>
        <w:tc>
          <w:tcPr>
            <w:tcW w:w="300" w:type="pct"/>
            <w:shd w:val="clear" w:color="auto" w:fill="auto"/>
            <w:noWrap/>
            <w:vAlign w:val="bottom"/>
          </w:tcPr>
          <w:p w14:paraId="2DB9C2A9" w14:textId="77777777" w:rsidR="001F27D2" w:rsidRPr="00580B37" w:rsidRDefault="001F27D2" w:rsidP="00580B37">
            <w:pPr>
              <w:spacing w:before="0" w:after="0"/>
              <w:jc w:val="center"/>
              <w:rPr>
                <w:rFonts w:cs="Calibri"/>
                <w:sz w:val="22"/>
                <w:szCs w:val="22"/>
              </w:rPr>
            </w:pPr>
            <w:r w:rsidRPr="00580B37">
              <w:rPr>
                <w:rFonts w:cs="Calibri"/>
                <w:sz w:val="22"/>
                <w:szCs w:val="22"/>
              </w:rPr>
              <w:t>88</w:t>
            </w:r>
          </w:p>
        </w:tc>
        <w:tc>
          <w:tcPr>
            <w:tcW w:w="387" w:type="pct"/>
            <w:shd w:val="clear" w:color="auto" w:fill="auto"/>
            <w:noWrap/>
            <w:vAlign w:val="bottom"/>
          </w:tcPr>
          <w:p w14:paraId="4A6DA9EE" w14:textId="77777777" w:rsidR="001F27D2" w:rsidRPr="00580B37" w:rsidRDefault="001F27D2" w:rsidP="00580B37">
            <w:pPr>
              <w:spacing w:before="0" w:after="0"/>
              <w:jc w:val="center"/>
              <w:rPr>
                <w:rFonts w:cs="Calibri"/>
                <w:sz w:val="22"/>
                <w:szCs w:val="22"/>
              </w:rPr>
            </w:pPr>
            <w:r w:rsidRPr="00580B37">
              <w:rPr>
                <w:rFonts w:cs="Calibri"/>
                <w:sz w:val="22"/>
                <w:szCs w:val="22"/>
              </w:rPr>
              <w:t>88</w:t>
            </w:r>
          </w:p>
        </w:tc>
        <w:tc>
          <w:tcPr>
            <w:tcW w:w="349" w:type="pct"/>
            <w:shd w:val="clear" w:color="auto" w:fill="auto"/>
            <w:noWrap/>
            <w:vAlign w:val="bottom"/>
          </w:tcPr>
          <w:p w14:paraId="6C1CF5D0" w14:textId="77777777" w:rsidR="001F27D2" w:rsidRPr="00580B37" w:rsidRDefault="001F27D2" w:rsidP="00580B37">
            <w:pPr>
              <w:spacing w:before="0" w:after="0"/>
              <w:jc w:val="center"/>
              <w:rPr>
                <w:rFonts w:cs="Calibri"/>
                <w:sz w:val="22"/>
                <w:szCs w:val="22"/>
              </w:rPr>
            </w:pPr>
            <w:r w:rsidRPr="00580B37">
              <w:rPr>
                <w:rFonts w:cs="Calibri"/>
                <w:sz w:val="22"/>
                <w:szCs w:val="22"/>
              </w:rPr>
              <w:t>*</w:t>
            </w:r>
          </w:p>
        </w:tc>
        <w:tc>
          <w:tcPr>
            <w:tcW w:w="654" w:type="pct"/>
            <w:shd w:val="clear" w:color="auto" w:fill="auto"/>
            <w:noWrap/>
            <w:vAlign w:val="bottom"/>
          </w:tcPr>
          <w:p w14:paraId="2E0F0B0C" w14:textId="77777777" w:rsidR="001F27D2" w:rsidRPr="00580B37" w:rsidRDefault="001F27D2" w:rsidP="00580B37">
            <w:pPr>
              <w:spacing w:before="0" w:after="0"/>
              <w:jc w:val="center"/>
              <w:rPr>
                <w:rFonts w:cs="Calibri"/>
                <w:sz w:val="22"/>
                <w:szCs w:val="22"/>
              </w:rPr>
            </w:pPr>
            <w:r w:rsidRPr="00580B37">
              <w:rPr>
                <w:rFonts w:cs="Calibri"/>
                <w:sz w:val="22"/>
                <w:szCs w:val="22"/>
              </w:rPr>
              <w:t>*</w:t>
            </w:r>
          </w:p>
        </w:tc>
        <w:tc>
          <w:tcPr>
            <w:tcW w:w="347" w:type="pct"/>
            <w:shd w:val="clear" w:color="auto" w:fill="auto"/>
            <w:noWrap/>
            <w:vAlign w:val="bottom"/>
          </w:tcPr>
          <w:p w14:paraId="1227A726" w14:textId="77777777" w:rsidR="001F27D2" w:rsidRPr="00580B37" w:rsidRDefault="001F27D2" w:rsidP="00580B37">
            <w:pPr>
              <w:spacing w:before="0" w:after="0"/>
              <w:jc w:val="center"/>
              <w:rPr>
                <w:rFonts w:cs="Calibri"/>
                <w:sz w:val="22"/>
                <w:szCs w:val="22"/>
              </w:rPr>
            </w:pPr>
            <w:r w:rsidRPr="00580B37">
              <w:rPr>
                <w:rFonts w:cs="Calibri"/>
                <w:sz w:val="22"/>
                <w:szCs w:val="22"/>
              </w:rPr>
              <w:t>*</w:t>
            </w:r>
          </w:p>
        </w:tc>
        <w:tc>
          <w:tcPr>
            <w:tcW w:w="927" w:type="pct"/>
            <w:shd w:val="clear" w:color="auto" w:fill="auto"/>
            <w:noWrap/>
            <w:vAlign w:val="bottom"/>
          </w:tcPr>
          <w:p w14:paraId="164423D7" w14:textId="77777777" w:rsidR="001F27D2" w:rsidRPr="00580B37" w:rsidRDefault="001F27D2" w:rsidP="00580B37">
            <w:pPr>
              <w:spacing w:before="0" w:after="0"/>
              <w:jc w:val="center"/>
              <w:rPr>
                <w:rFonts w:cs="Calibri"/>
                <w:color w:val="000000"/>
                <w:sz w:val="22"/>
                <w:szCs w:val="22"/>
              </w:rPr>
            </w:pPr>
            <w:r w:rsidRPr="00580B37">
              <w:rPr>
                <w:rFonts w:cs="Calibri"/>
                <w:sz w:val="22"/>
                <w:szCs w:val="22"/>
              </w:rPr>
              <w:t>5990</w:t>
            </w:r>
          </w:p>
        </w:tc>
        <w:tc>
          <w:tcPr>
            <w:tcW w:w="662" w:type="pct"/>
            <w:shd w:val="clear" w:color="auto" w:fill="auto"/>
            <w:noWrap/>
            <w:vAlign w:val="bottom"/>
          </w:tcPr>
          <w:p w14:paraId="4F1FAA13"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23.4</w:t>
            </w:r>
          </w:p>
        </w:tc>
      </w:tr>
      <w:tr w:rsidR="001F27D2" w:rsidRPr="00580B37" w14:paraId="04BF8CDB" w14:textId="77777777" w:rsidTr="001F27D2">
        <w:trPr>
          <w:trHeight w:val="340"/>
        </w:trPr>
        <w:tc>
          <w:tcPr>
            <w:tcW w:w="687" w:type="pct"/>
            <w:shd w:val="clear" w:color="000000" w:fill="FFFFFF"/>
            <w:noWrap/>
            <w:vAlign w:val="center"/>
            <w:hideMark/>
          </w:tcPr>
          <w:p w14:paraId="1A5F91EE" w14:textId="77777777" w:rsidR="001F27D2" w:rsidRPr="00580B37" w:rsidRDefault="001F27D2" w:rsidP="00580B37">
            <w:pPr>
              <w:spacing w:before="0" w:after="0"/>
              <w:rPr>
                <w:rFonts w:cs="Calibri"/>
                <w:b/>
                <w:bCs/>
                <w:color w:val="000000"/>
                <w:sz w:val="22"/>
                <w:szCs w:val="22"/>
              </w:rPr>
            </w:pPr>
            <w:r w:rsidRPr="00580B37">
              <w:rPr>
                <w:rFonts w:cs="Calibri"/>
                <w:b/>
                <w:bCs/>
                <w:color w:val="000000"/>
                <w:sz w:val="22"/>
                <w:szCs w:val="22"/>
              </w:rPr>
              <w:t>Total</w:t>
            </w:r>
          </w:p>
        </w:tc>
        <w:tc>
          <w:tcPr>
            <w:tcW w:w="687" w:type="pct"/>
            <w:shd w:val="clear" w:color="000000" w:fill="FFFFFF"/>
            <w:noWrap/>
            <w:vAlign w:val="center"/>
            <w:hideMark/>
          </w:tcPr>
          <w:p w14:paraId="5F6E24C9" w14:textId="77777777" w:rsidR="001F27D2" w:rsidRPr="00580B37" w:rsidRDefault="001F27D2" w:rsidP="00580B37">
            <w:pPr>
              <w:spacing w:before="0" w:after="0"/>
              <w:rPr>
                <w:rFonts w:cs="Calibri"/>
                <w:b/>
                <w:bCs/>
                <w:color w:val="000000"/>
                <w:sz w:val="22"/>
                <w:szCs w:val="22"/>
              </w:rPr>
            </w:pPr>
            <w:r w:rsidRPr="00580B37">
              <w:rPr>
                <w:rFonts w:cs="Calibri"/>
                <w:b/>
                <w:bCs/>
                <w:color w:val="000000"/>
                <w:sz w:val="22"/>
                <w:szCs w:val="22"/>
              </w:rPr>
              <w:t> </w:t>
            </w:r>
          </w:p>
        </w:tc>
        <w:tc>
          <w:tcPr>
            <w:tcW w:w="300" w:type="pct"/>
            <w:shd w:val="clear" w:color="auto" w:fill="auto"/>
            <w:noWrap/>
            <w:vAlign w:val="bottom"/>
          </w:tcPr>
          <w:p w14:paraId="1F861E3F" w14:textId="77777777" w:rsidR="001F27D2" w:rsidRPr="00580B37" w:rsidRDefault="001F27D2" w:rsidP="00580B37">
            <w:pPr>
              <w:spacing w:before="0" w:after="0"/>
              <w:jc w:val="center"/>
              <w:rPr>
                <w:rFonts w:cs="Calibri"/>
                <w:b/>
                <w:bCs/>
                <w:sz w:val="22"/>
                <w:szCs w:val="22"/>
              </w:rPr>
            </w:pPr>
            <w:r w:rsidRPr="00580B37">
              <w:rPr>
                <w:rFonts w:cs="Calibri"/>
                <w:b/>
                <w:bCs/>
                <w:sz w:val="22"/>
                <w:szCs w:val="22"/>
              </w:rPr>
              <w:t>5770</w:t>
            </w:r>
          </w:p>
        </w:tc>
        <w:tc>
          <w:tcPr>
            <w:tcW w:w="387" w:type="pct"/>
            <w:shd w:val="clear" w:color="auto" w:fill="auto"/>
            <w:noWrap/>
            <w:vAlign w:val="bottom"/>
          </w:tcPr>
          <w:p w14:paraId="77430796" w14:textId="77777777" w:rsidR="001F27D2" w:rsidRPr="00580B37" w:rsidRDefault="001F27D2" w:rsidP="00580B37">
            <w:pPr>
              <w:spacing w:before="0" w:after="0"/>
              <w:jc w:val="center"/>
              <w:rPr>
                <w:rFonts w:cs="Calibri"/>
                <w:b/>
                <w:bCs/>
                <w:sz w:val="22"/>
                <w:szCs w:val="22"/>
              </w:rPr>
            </w:pPr>
            <w:r w:rsidRPr="00580B37">
              <w:rPr>
                <w:rFonts w:cs="Calibri"/>
                <w:b/>
                <w:bCs/>
                <w:sz w:val="22"/>
                <w:szCs w:val="22"/>
              </w:rPr>
              <w:t>3664</w:t>
            </w:r>
          </w:p>
        </w:tc>
        <w:tc>
          <w:tcPr>
            <w:tcW w:w="349" w:type="pct"/>
            <w:shd w:val="clear" w:color="auto" w:fill="auto"/>
            <w:noWrap/>
            <w:vAlign w:val="bottom"/>
          </w:tcPr>
          <w:p w14:paraId="6187083E" w14:textId="77777777" w:rsidR="001F27D2" w:rsidRPr="00580B37" w:rsidRDefault="001F27D2" w:rsidP="00580B37">
            <w:pPr>
              <w:spacing w:before="0" w:after="0"/>
              <w:jc w:val="center"/>
              <w:rPr>
                <w:rFonts w:cs="Calibri"/>
                <w:b/>
                <w:bCs/>
                <w:sz w:val="22"/>
                <w:szCs w:val="22"/>
              </w:rPr>
            </w:pPr>
            <w:r w:rsidRPr="00580B37">
              <w:rPr>
                <w:rFonts w:cs="Calibri"/>
                <w:b/>
                <w:bCs/>
                <w:sz w:val="22"/>
                <w:szCs w:val="22"/>
              </w:rPr>
              <w:t>1346</w:t>
            </w:r>
          </w:p>
        </w:tc>
        <w:tc>
          <w:tcPr>
            <w:tcW w:w="654" w:type="pct"/>
            <w:shd w:val="clear" w:color="auto" w:fill="auto"/>
            <w:noWrap/>
            <w:vAlign w:val="bottom"/>
          </w:tcPr>
          <w:p w14:paraId="14540B04" w14:textId="77777777" w:rsidR="001F27D2" w:rsidRPr="00580B37" w:rsidRDefault="001F27D2" w:rsidP="00580B37">
            <w:pPr>
              <w:spacing w:before="0" w:after="0"/>
              <w:jc w:val="center"/>
              <w:rPr>
                <w:rFonts w:cs="Calibri"/>
                <w:b/>
                <w:bCs/>
                <w:sz w:val="22"/>
                <w:szCs w:val="22"/>
              </w:rPr>
            </w:pPr>
            <w:r w:rsidRPr="00580B37">
              <w:rPr>
                <w:rFonts w:cs="Calibri"/>
                <w:b/>
                <w:bCs/>
                <w:sz w:val="22"/>
                <w:szCs w:val="22"/>
              </w:rPr>
              <w:t>536</w:t>
            </w:r>
          </w:p>
        </w:tc>
        <w:tc>
          <w:tcPr>
            <w:tcW w:w="347" w:type="pct"/>
            <w:shd w:val="clear" w:color="auto" w:fill="auto"/>
            <w:noWrap/>
            <w:vAlign w:val="bottom"/>
          </w:tcPr>
          <w:p w14:paraId="77375FC8" w14:textId="77777777" w:rsidR="001F27D2" w:rsidRPr="00580B37" w:rsidRDefault="001F27D2" w:rsidP="00580B37">
            <w:pPr>
              <w:spacing w:before="0" w:after="0"/>
              <w:jc w:val="center"/>
              <w:rPr>
                <w:rFonts w:cs="Calibri"/>
                <w:b/>
                <w:bCs/>
                <w:sz w:val="22"/>
                <w:szCs w:val="22"/>
              </w:rPr>
            </w:pPr>
            <w:r w:rsidRPr="00580B37">
              <w:rPr>
                <w:rFonts w:cs="Calibri"/>
                <w:b/>
                <w:bCs/>
                <w:sz w:val="22"/>
                <w:szCs w:val="22"/>
              </w:rPr>
              <w:t>1998</w:t>
            </w:r>
          </w:p>
        </w:tc>
        <w:tc>
          <w:tcPr>
            <w:tcW w:w="927" w:type="pct"/>
            <w:shd w:val="clear" w:color="auto" w:fill="auto"/>
            <w:noWrap/>
            <w:vAlign w:val="bottom"/>
          </w:tcPr>
          <w:p w14:paraId="226278DD" w14:textId="77777777" w:rsidR="001F27D2" w:rsidRPr="00580B37" w:rsidRDefault="001F27D2" w:rsidP="00580B37">
            <w:pPr>
              <w:spacing w:before="0" w:after="0"/>
              <w:jc w:val="center"/>
              <w:rPr>
                <w:rFonts w:cs="Calibri"/>
                <w:b/>
                <w:bCs/>
                <w:color w:val="000000"/>
                <w:sz w:val="22"/>
                <w:szCs w:val="22"/>
              </w:rPr>
            </w:pPr>
            <w:r w:rsidRPr="00580B37">
              <w:rPr>
                <w:rFonts w:cs="Calibri"/>
                <w:b/>
                <w:bCs/>
                <w:color w:val="000000"/>
                <w:sz w:val="22"/>
                <w:szCs w:val="22"/>
              </w:rPr>
              <w:t>25650</w:t>
            </w:r>
          </w:p>
        </w:tc>
        <w:tc>
          <w:tcPr>
            <w:tcW w:w="662" w:type="pct"/>
            <w:shd w:val="clear" w:color="auto" w:fill="auto"/>
            <w:noWrap/>
            <w:vAlign w:val="bottom"/>
          </w:tcPr>
          <w:p w14:paraId="36C37DD8" w14:textId="77777777" w:rsidR="001F27D2" w:rsidRPr="00580B37" w:rsidRDefault="001F27D2" w:rsidP="00580B37">
            <w:pPr>
              <w:spacing w:before="0" w:after="0"/>
              <w:jc w:val="center"/>
              <w:rPr>
                <w:rFonts w:cs="Calibri"/>
                <w:b/>
                <w:bCs/>
                <w:color w:val="000000"/>
                <w:sz w:val="22"/>
                <w:szCs w:val="22"/>
              </w:rPr>
            </w:pPr>
            <w:r w:rsidRPr="00580B37">
              <w:rPr>
                <w:rFonts w:cs="Calibri"/>
                <w:b/>
                <w:color w:val="000000"/>
                <w:sz w:val="22"/>
                <w:szCs w:val="22"/>
              </w:rPr>
              <w:t>100.0</w:t>
            </w:r>
          </w:p>
        </w:tc>
      </w:tr>
      <w:tr w:rsidR="001F27D2" w:rsidRPr="00580B37" w14:paraId="0AB6F277" w14:textId="77777777" w:rsidTr="001F27D2">
        <w:trPr>
          <w:trHeight w:val="340"/>
        </w:trPr>
        <w:tc>
          <w:tcPr>
            <w:tcW w:w="687" w:type="pct"/>
            <w:shd w:val="clear" w:color="000000" w:fill="FFFFFF"/>
            <w:noWrap/>
            <w:vAlign w:val="center"/>
            <w:hideMark/>
          </w:tcPr>
          <w:p w14:paraId="438B68AD" w14:textId="77777777" w:rsidR="001F27D2" w:rsidRPr="00580B37" w:rsidRDefault="001F27D2" w:rsidP="00580B37">
            <w:pPr>
              <w:spacing w:before="0" w:after="0"/>
              <w:rPr>
                <w:rFonts w:cs="Calibri"/>
                <w:b/>
                <w:bCs/>
                <w:color w:val="000000"/>
                <w:sz w:val="22"/>
                <w:szCs w:val="22"/>
              </w:rPr>
            </w:pPr>
            <w:r w:rsidRPr="00580B37">
              <w:rPr>
                <w:rFonts w:cs="Calibri"/>
                <w:b/>
                <w:bCs/>
                <w:color w:val="000000"/>
                <w:sz w:val="22"/>
                <w:szCs w:val="22"/>
              </w:rPr>
              <w:t>% of all stock</w:t>
            </w:r>
          </w:p>
        </w:tc>
        <w:tc>
          <w:tcPr>
            <w:tcW w:w="687" w:type="pct"/>
            <w:shd w:val="clear" w:color="000000" w:fill="FFFFFF"/>
            <w:noWrap/>
            <w:vAlign w:val="center"/>
            <w:hideMark/>
          </w:tcPr>
          <w:p w14:paraId="563B9AC0" w14:textId="77777777" w:rsidR="001F27D2" w:rsidRPr="00580B37" w:rsidRDefault="001F27D2" w:rsidP="00580B37">
            <w:pPr>
              <w:spacing w:before="0" w:after="0"/>
              <w:rPr>
                <w:rFonts w:cs="Calibri"/>
                <w:b/>
                <w:bCs/>
                <w:color w:val="000000"/>
                <w:sz w:val="22"/>
                <w:szCs w:val="22"/>
              </w:rPr>
            </w:pPr>
            <w:r w:rsidRPr="00580B37">
              <w:rPr>
                <w:rFonts w:cs="Calibri"/>
                <w:b/>
                <w:bCs/>
                <w:color w:val="000000"/>
                <w:sz w:val="22"/>
                <w:szCs w:val="22"/>
              </w:rPr>
              <w:t> </w:t>
            </w:r>
          </w:p>
        </w:tc>
        <w:tc>
          <w:tcPr>
            <w:tcW w:w="300" w:type="pct"/>
            <w:shd w:val="clear" w:color="auto" w:fill="auto"/>
            <w:noWrap/>
            <w:vAlign w:val="bottom"/>
          </w:tcPr>
          <w:p w14:paraId="47AC92CA" w14:textId="77777777" w:rsidR="001F27D2" w:rsidRPr="00580B37" w:rsidRDefault="001F27D2" w:rsidP="00580B37">
            <w:pPr>
              <w:spacing w:before="0" w:after="0"/>
              <w:jc w:val="center"/>
              <w:rPr>
                <w:rFonts w:cs="Calibri"/>
                <w:b/>
                <w:bCs/>
                <w:color w:val="000000"/>
                <w:sz w:val="22"/>
                <w:szCs w:val="22"/>
              </w:rPr>
            </w:pPr>
            <w:r w:rsidRPr="00580B37">
              <w:rPr>
                <w:rFonts w:cs="Calibri"/>
                <w:b/>
                <w:bCs/>
                <w:color w:val="000000"/>
                <w:sz w:val="22"/>
                <w:szCs w:val="22"/>
              </w:rPr>
              <w:t>22.5</w:t>
            </w:r>
          </w:p>
        </w:tc>
        <w:tc>
          <w:tcPr>
            <w:tcW w:w="387" w:type="pct"/>
            <w:shd w:val="clear" w:color="auto" w:fill="auto"/>
            <w:noWrap/>
            <w:vAlign w:val="bottom"/>
          </w:tcPr>
          <w:p w14:paraId="42881D75" w14:textId="77777777" w:rsidR="001F27D2" w:rsidRPr="00580B37" w:rsidRDefault="001F27D2" w:rsidP="00580B37">
            <w:pPr>
              <w:spacing w:before="0" w:after="0"/>
              <w:jc w:val="center"/>
              <w:rPr>
                <w:rFonts w:cs="Calibri"/>
                <w:b/>
                <w:bCs/>
                <w:color w:val="000000"/>
                <w:sz w:val="22"/>
                <w:szCs w:val="22"/>
              </w:rPr>
            </w:pPr>
            <w:r w:rsidRPr="00580B37">
              <w:rPr>
                <w:rFonts w:cs="Calibri"/>
                <w:b/>
                <w:bCs/>
                <w:color w:val="000000"/>
                <w:sz w:val="22"/>
                <w:szCs w:val="22"/>
              </w:rPr>
              <w:t>14.3</w:t>
            </w:r>
          </w:p>
        </w:tc>
        <w:tc>
          <w:tcPr>
            <w:tcW w:w="349" w:type="pct"/>
            <w:shd w:val="clear" w:color="auto" w:fill="auto"/>
            <w:noWrap/>
            <w:vAlign w:val="bottom"/>
          </w:tcPr>
          <w:p w14:paraId="7ADEF5AE" w14:textId="77777777" w:rsidR="001F27D2" w:rsidRPr="00580B37" w:rsidRDefault="001F27D2" w:rsidP="00580B37">
            <w:pPr>
              <w:spacing w:before="0" w:after="0"/>
              <w:jc w:val="center"/>
              <w:rPr>
                <w:rFonts w:cs="Calibri"/>
                <w:b/>
                <w:bCs/>
                <w:color w:val="000000"/>
                <w:sz w:val="22"/>
                <w:szCs w:val="22"/>
              </w:rPr>
            </w:pPr>
            <w:r w:rsidRPr="00580B37">
              <w:rPr>
                <w:rFonts w:cs="Calibri"/>
                <w:b/>
                <w:bCs/>
                <w:color w:val="000000"/>
                <w:sz w:val="22"/>
                <w:szCs w:val="22"/>
              </w:rPr>
              <w:t>5.2</w:t>
            </w:r>
          </w:p>
        </w:tc>
        <w:tc>
          <w:tcPr>
            <w:tcW w:w="654" w:type="pct"/>
            <w:shd w:val="clear" w:color="auto" w:fill="auto"/>
            <w:noWrap/>
            <w:vAlign w:val="bottom"/>
          </w:tcPr>
          <w:p w14:paraId="56840ECB" w14:textId="77777777" w:rsidR="001F27D2" w:rsidRPr="00580B37" w:rsidRDefault="001F27D2" w:rsidP="00580B37">
            <w:pPr>
              <w:spacing w:before="0" w:after="0"/>
              <w:jc w:val="center"/>
              <w:rPr>
                <w:rFonts w:cs="Calibri"/>
                <w:b/>
                <w:bCs/>
                <w:color w:val="000000"/>
                <w:sz w:val="22"/>
                <w:szCs w:val="22"/>
              </w:rPr>
            </w:pPr>
            <w:r w:rsidRPr="00580B37">
              <w:rPr>
                <w:rFonts w:cs="Calibri"/>
                <w:b/>
                <w:bCs/>
                <w:color w:val="000000"/>
                <w:sz w:val="22"/>
                <w:szCs w:val="22"/>
              </w:rPr>
              <w:t>2.1</w:t>
            </w:r>
          </w:p>
        </w:tc>
        <w:tc>
          <w:tcPr>
            <w:tcW w:w="347" w:type="pct"/>
            <w:shd w:val="clear" w:color="auto" w:fill="auto"/>
            <w:noWrap/>
            <w:vAlign w:val="bottom"/>
          </w:tcPr>
          <w:p w14:paraId="233861E2" w14:textId="77777777" w:rsidR="001F27D2" w:rsidRPr="00580B37" w:rsidRDefault="001F27D2" w:rsidP="00580B37">
            <w:pPr>
              <w:spacing w:before="0" w:after="0"/>
              <w:jc w:val="center"/>
              <w:rPr>
                <w:rFonts w:cs="Calibri"/>
                <w:b/>
                <w:bCs/>
                <w:color w:val="000000"/>
                <w:sz w:val="22"/>
                <w:szCs w:val="22"/>
              </w:rPr>
            </w:pPr>
            <w:r w:rsidRPr="00580B37">
              <w:rPr>
                <w:rFonts w:cs="Calibri"/>
                <w:b/>
                <w:bCs/>
                <w:color w:val="000000"/>
                <w:sz w:val="22"/>
                <w:szCs w:val="22"/>
              </w:rPr>
              <w:t>7.8</w:t>
            </w:r>
          </w:p>
        </w:tc>
        <w:tc>
          <w:tcPr>
            <w:tcW w:w="1589" w:type="pct"/>
            <w:gridSpan w:val="2"/>
            <w:shd w:val="clear" w:color="auto" w:fill="auto"/>
            <w:vAlign w:val="center"/>
            <w:hideMark/>
          </w:tcPr>
          <w:p w14:paraId="450FD04D"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 </w:t>
            </w:r>
          </w:p>
        </w:tc>
      </w:tr>
      <w:tr w:rsidR="001F27D2" w:rsidRPr="00580B37" w14:paraId="3153580D" w14:textId="77777777" w:rsidTr="001F27D2">
        <w:trPr>
          <w:trHeight w:val="340"/>
        </w:trPr>
        <w:tc>
          <w:tcPr>
            <w:tcW w:w="687" w:type="pct"/>
            <w:shd w:val="clear" w:color="000000" w:fill="FFFFFF"/>
            <w:noWrap/>
            <w:vAlign w:val="center"/>
            <w:hideMark/>
          </w:tcPr>
          <w:p w14:paraId="27808690" w14:textId="77777777" w:rsidR="001F27D2" w:rsidRPr="00580B37" w:rsidRDefault="001F27D2" w:rsidP="00580B37">
            <w:pPr>
              <w:spacing w:before="0" w:after="0"/>
              <w:rPr>
                <w:rFonts w:cs="Calibri"/>
                <w:b/>
                <w:bCs/>
                <w:color w:val="000000"/>
                <w:sz w:val="22"/>
                <w:szCs w:val="22"/>
              </w:rPr>
            </w:pPr>
            <w:r w:rsidRPr="00580B37">
              <w:rPr>
                <w:rFonts w:cs="Calibri"/>
                <w:b/>
                <w:bCs/>
                <w:color w:val="000000"/>
                <w:sz w:val="22"/>
                <w:szCs w:val="22"/>
              </w:rPr>
              <w:t>National %</w:t>
            </w:r>
          </w:p>
        </w:tc>
        <w:tc>
          <w:tcPr>
            <w:tcW w:w="687" w:type="pct"/>
            <w:shd w:val="clear" w:color="000000" w:fill="FFFFFF"/>
            <w:noWrap/>
            <w:vAlign w:val="center"/>
            <w:hideMark/>
          </w:tcPr>
          <w:p w14:paraId="08B71928" w14:textId="77777777" w:rsidR="001F27D2" w:rsidRPr="00580B37" w:rsidRDefault="001F27D2" w:rsidP="00580B37">
            <w:pPr>
              <w:spacing w:before="0" w:after="0"/>
              <w:rPr>
                <w:rFonts w:cs="Calibri"/>
                <w:b/>
                <w:bCs/>
                <w:color w:val="000000"/>
                <w:sz w:val="22"/>
                <w:szCs w:val="22"/>
              </w:rPr>
            </w:pPr>
            <w:r w:rsidRPr="00580B37">
              <w:rPr>
                <w:rFonts w:cs="Calibri"/>
                <w:b/>
                <w:bCs/>
                <w:color w:val="000000"/>
                <w:sz w:val="22"/>
                <w:szCs w:val="22"/>
              </w:rPr>
              <w:t> </w:t>
            </w:r>
          </w:p>
        </w:tc>
        <w:tc>
          <w:tcPr>
            <w:tcW w:w="300" w:type="pct"/>
            <w:shd w:val="clear" w:color="000000" w:fill="FFFFFF"/>
            <w:noWrap/>
            <w:vAlign w:val="center"/>
            <w:hideMark/>
          </w:tcPr>
          <w:p w14:paraId="734CDB03" w14:textId="77777777" w:rsidR="001F27D2" w:rsidRPr="00580B37" w:rsidRDefault="001F27D2" w:rsidP="00580B37">
            <w:pPr>
              <w:spacing w:before="0" w:after="0"/>
              <w:jc w:val="center"/>
              <w:rPr>
                <w:rFonts w:cs="Calibri"/>
                <w:b/>
                <w:bCs/>
                <w:color w:val="000000"/>
                <w:sz w:val="22"/>
                <w:szCs w:val="22"/>
              </w:rPr>
            </w:pPr>
            <w:r w:rsidRPr="00580B37">
              <w:rPr>
                <w:rFonts w:cs="Calibri"/>
                <w:b/>
                <w:bCs/>
                <w:color w:val="000000"/>
                <w:sz w:val="22"/>
                <w:szCs w:val="22"/>
              </w:rPr>
              <w:t>20.6</w:t>
            </w:r>
          </w:p>
        </w:tc>
        <w:tc>
          <w:tcPr>
            <w:tcW w:w="387" w:type="pct"/>
            <w:shd w:val="clear" w:color="000000" w:fill="FFFFFF"/>
            <w:noWrap/>
            <w:vAlign w:val="center"/>
            <w:hideMark/>
          </w:tcPr>
          <w:p w14:paraId="667AE6DE" w14:textId="77777777" w:rsidR="001F27D2" w:rsidRPr="00580B37" w:rsidRDefault="001F27D2" w:rsidP="00580B37">
            <w:pPr>
              <w:spacing w:before="0" w:after="0"/>
              <w:jc w:val="center"/>
              <w:rPr>
                <w:rFonts w:cs="Calibri"/>
                <w:b/>
                <w:bCs/>
                <w:color w:val="000000"/>
                <w:sz w:val="22"/>
                <w:szCs w:val="22"/>
              </w:rPr>
            </w:pPr>
            <w:r w:rsidRPr="00580B37">
              <w:rPr>
                <w:rFonts w:cs="Calibri"/>
                <w:b/>
                <w:bCs/>
                <w:color w:val="000000"/>
                <w:sz w:val="22"/>
                <w:szCs w:val="22"/>
              </w:rPr>
              <w:t>11.9</w:t>
            </w:r>
          </w:p>
        </w:tc>
        <w:tc>
          <w:tcPr>
            <w:tcW w:w="349" w:type="pct"/>
            <w:shd w:val="clear" w:color="000000" w:fill="FFFFFF"/>
            <w:noWrap/>
            <w:vAlign w:val="center"/>
            <w:hideMark/>
          </w:tcPr>
          <w:p w14:paraId="13F7B854" w14:textId="77777777" w:rsidR="001F27D2" w:rsidRPr="00580B37" w:rsidRDefault="001F27D2" w:rsidP="00580B37">
            <w:pPr>
              <w:spacing w:before="0" w:after="0"/>
              <w:jc w:val="center"/>
              <w:rPr>
                <w:rFonts w:cs="Calibri"/>
                <w:b/>
                <w:bCs/>
                <w:color w:val="000000"/>
                <w:sz w:val="22"/>
                <w:szCs w:val="22"/>
              </w:rPr>
            </w:pPr>
            <w:r w:rsidRPr="00580B37">
              <w:rPr>
                <w:rFonts w:cs="Calibri"/>
                <w:b/>
                <w:bCs/>
                <w:color w:val="000000"/>
                <w:sz w:val="22"/>
                <w:szCs w:val="22"/>
              </w:rPr>
              <w:t>4.6</w:t>
            </w:r>
          </w:p>
        </w:tc>
        <w:tc>
          <w:tcPr>
            <w:tcW w:w="654" w:type="pct"/>
            <w:shd w:val="clear" w:color="000000" w:fill="FFFFFF"/>
            <w:noWrap/>
            <w:vAlign w:val="center"/>
            <w:hideMark/>
          </w:tcPr>
          <w:p w14:paraId="216734A7" w14:textId="77777777" w:rsidR="001F27D2" w:rsidRPr="00580B37" w:rsidRDefault="001F27D2" w:rsidP="00580B37">
            <w:pPr>
              <w:spacing w:before="0" w:after="0"/>
              <w:jc w:val="center"/>
              <w:rPr>
                <w:rFonts w:cs="Calibri"/>
                <w:b/>
                <w:bCs/>
                <w:color w:val="000000"/>
                <w:sz w:val="22"/>
                <w:szCs w:val="22"/>
              </w:rPr>
            </w:pPr>
            <w:r w:rsidRPr="00580B37">
              <w:rPr>
                <w:rFonts w:cs="Calibri"/>
                <w:b/>
                <w:bCs/>
                <w:color w:val="000000"/>
                <w:sz w:val="22"/>
                <w:szCs w:val="22"/>
              </w:rPr>
              <w:t>1.9</w:t>
            </w:r>
          </w:p>
        </w:tc>
        <w:tc>
          <w:tcPr>
            <w:tcW w:w="347" w:type="pct"/>
            <w:shd w:val="clear" w:color="000000" w:fill="FFFFFF"/>
            <w:noWrap/>
            <w:vAlign w:val="center"/>
            <w:hideMark/>
          </w:tcPr>
          <w:p w14:paraId="0F5B9EBF" w14:textId="77777777" w:rsidR="001F27D2" w:rsidRPr="00580B37" w:rsidRDefault="001F27D2" w:rsidP="00580B37">
            <w:pPr>
              <w:spacing w:before="0" w:after="0"/>
              <w:jc w:val="center"/>
              <w:rPr>
                <w:rFonts w:cs="Calibri"/>
                <w:b/>
                <w:bCs/>
                <w:color w:val="000000"/>
                <w:sz w:val="22"/>
                <w:szCs w:val="22"/>
              </w:rPr>
            </w:pPr>
            <w:r w:rsidRPr="00580B37">
              <w:rPr>
                <w:rFonts w:cs="Calibri"/>
                <w:b/>
                <w:bCs/>
                <w:color w:val="000000"/>
                <w:sz w:val="22"/>
                <w:szCs w:val="22"/>
              </w:rPr>
              <w:t>7.5</w:t>
            </w:r>
          </w:p>
        </w:tc>
        <w:tc>
          <w:tcPr>
            <w:tcW w:w="1589" w:type="pct"/>
            <w:gridSpan w:val="2"/>
            <w:shd w:val="clear" w:color="auto" w:fill="auto"/>
            <w:vAlign w:val="center"/>
            <w:hideMark/>
          </w:tcPr>
          <w:p w14:paraId="48E5C214"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 </w:t>
            </w:r>
          </w:p>
        </w:tc>
      </w:tr>
    </w:tbl>
    <w:p w14:paraId="6565BBF1" w14:textId="77777777" w:rsidR="001F27D2" w:rsidRPr="002B2A7F" w:rsidRDefault="001F27D2" w:rsidP="001F27D2">
      <w:pPr>
        <w:rPr>
          <w:rFonts w:asciiTheme="minorHAnsi" w:hAnsiTheme="minorHAnsi" w:cs="Calibri"/>
          <w:sz w:val="20"/>
          <w:szCs w:val="20"/>
        </w:rPr>
      </w:pPr>
      <w:r w:rsidRPr="002B2A7F">
        <w:rPr>
          <w:rFonts w:asciiTheme="minorHAnsi" w:hAnsiTheme="minorHAnsi" w:cs="Calibri"/>
          <w:sz w:val="20"/>
          <w:szCs w:val="20"/>
        </w:rPr>
        <w:t xml:space="preserve">Source: English Housing Survey 2013 data applied to 2017 Valuation Office Agency dwelling stock age profile </w:t>
      </w:r>
    </w:p>
    <w:p w14:paraId="0AE808DC" w14:textId="77777777" w:rsidR="001F27D2" w:rsidRPr="002B2A7F" w:rsidRDefault="001F27D2" w:rsidP="001F27D2">
      <w:pPr>
        <w:rPr>
          <w:rFonts w:asciiTheme="minorHAnsi" w:hAnsiTheme="minorHAnsi" w:cs="Calibri"/>
          <w:sz w:val="20"/>
          <w:szCs w:val="20"/>
        </w:rPr>
      </w:pPr>
      <w:r w:rsidRPr="002B2A7F">
        <w:rPr>
          <w:rFonts w:asciiTheme="minorHAnsi" w:hAnsiTheme="minorHAnsi" w:cs="Calibri"/>
          <w:sz w:val="20"/>
          <w:szCs w:val="20"/>
        </w:rPr>
        <w:t>Note ‘*’ indicates sample size too small for reliable estimate</w:t>
      </w:r>
    </w:p>
    <w:p w14:paraId="02A8A084" w14:textId="77777777" w:rsidR="001F27D2" w:rsidRPr="002B2A7F" w:rsidRDefault="001F27D2" w:rsidP="001F27D2">
      <w:pPr>
        <w:rPr>
          <w:rFonts w:asciiTheme="minorHAnsi" w:hAnsiTheme="minorHAnsi" w:cs="Calibri"/>
        </w:rPr>
        <w:sectPr w:rsidR="001F27D2" w:rsidRPr="002B2A7F" w:rsidSect="002B41F6">
          <w:headerReference w:type="default" r:id="rId47"/>
          <w:footerReference w:type="default" r:id="rId48"/>
          <w:pgSz w:w="16838" w:h="11906" w:orient="landscape"/>
          <w:pgMar w:top="1440" w:right="1276" w:bottom="1134" w:left="1440" w:header="709" w:footer="567" w:gutter="0"/>
          <w:cols w:space="720"/>
        </w:sectPr>
      </w:pPr>
    </w:p>
    <w:p w14:paraId="1A228B19" w14:textId="77777777" w:rsidR="001F27D2" w:rsidRPr="002B2A7F" w:rsidRDefault="001F27D2" w:rsidP="001F27D2">
      <w:pPr>
        <w:pStyle w:val="Heading2"/>
        <w:rPr>
          <w:rFonts w:asciiTheme="minorHAnsi" w:hAnsiTheme="minorHAnsi" w:cs="Calibri"/>
        </w:rPr>
      </w:pPr>
      <w:bookmarkStart w:id="356" w:name="_Toc395193554"/>
      <w:bookmarkStart w:id="357" w:name="_Toc524935586"/>
      <w:bookmarkStart w:id="358" w:name="_Toc531122879"/>
      <w:bookmarkStart w:id="359" w:name="_Toc532812411"/>
      <w:r w:rsidRPr="002B2A7F">
        <w:rPr>
          <w:rFonts w:asciiTheme="minorHAnsi" w:hAnsiTheme="minorHAnsi" w:cs="Calibri"/>
        </w:rPr>
        <w:lastRenderedPageBreak/>
        <w:t>Housing development (past and planned)</w:t>
      </w:r>
      <w:bookmarkEnd w:id="356"/>
      <w:bookmarkEnd w:id="357"/>
      <w:bookmarkEnd w:id="358"/>
      <w:bookmarkEnd w:id="359"/>
    </w:p>
    <w:p w14:paraId="3A3EF8D4" w14:textId="77777777" w:rsidR="001F27D2" w:rsidRPr="002B2A7F" w:rsidRDefault="001F27D2" w:rsidP="001F27D2">
      <w:pPr>
        <w:pStyle w:val="Reporttext"/>
        <w:numPr>
          <w:ilvl w:val="0"/>
          <w:numId w:val="0"/>
        </w:numPr>
        <w:ind w:left="709"/>
        <w:rPr>
          <w:rStyle w:val="Heading3Char1"/>
          <w:rFonts w:asciiTheme="minorHAnsi" w:hAnsiTheme="minorHAnsi"/>
        </w:rPr>
      </w:pPr>
      <w:r w:rsidRPr="002B2A7F">
        <w:rPr>
          <w:rStyle w:val="Heading3Char1"/>
          <w:rFonts w:asciiTheme="minorHAnsi" w:hAnsiTheme="minorHAnsi"/>
        </w:rPr>
        <w:t>Past trends in housing delivery</w:t>
      </w:r>
    </w:p>
    <w:p w14:paraId="1CDCB715" w14:textId="77777777" w:rsidR="001F27D2" w:rsidRPr="002B2A7F" w:rsidRDefault="001F27D2" w:rsidP="001F27D2">
      <w:pPr>
        <w:pStyle w:val="Reporttext"/>
      </w:pPr>
      <w:bookmarkStart w:id="360" w:name="h.sqyw64" w:colFirst="0" w:colLast="0"/>
      <w:bookmarkEnd w:id="360"/>
      <w:r w:rsidRPr="002B2A7F">
        <w:t>Over the 15-year period, 2003/04 to 2017/18 there has been an average of 171 completions (net) per year across Eden District (Table 4.10). Of these, an average of 35 have been affordable completions and 136 have been private completions.</w:t>
      </w:r>
    </w:p>
    <w:p w14:paraId="5A6860D7" w14:textId="77777777" w:rsidR="001F27D2" w:rsidRPr="002B2A7F" w:rsidRDefault="001F27D2" w:rsidP="001F27D2">
      <w:pPr>
        <w:pStyle w:val="Reporttext"/>
      </w:pPr>
      <w:r w:rsidRPr="002B2A7F">
        <w:t>A comparison of annual completions and the former Core Strategy annual target (239 dwellings per annum) and the adopted Local Plan annual target (242 dwellings per annum for 2014/15 onwards) is set out in graphical form in Figure 4.1.</w:t>
      </w:r>
    </w:p>
    <w:p w14:paraId="71580B7E" w14:textId="77777777" w:rsidR="001F27D2" w:rsidRPr="002B2A7F" w:rsidRDefault="001F27D2" w:rsidP="001F27D2">
      <w:pPr>
        <w:pStyle w:val="Reporttext"/>
        <w:numPr>
          <w:ilvl w:val="0"/>
          <w:numId w:val="0"/>
        </w:numPr>
        <w:ind w:left="709"/>
      </w:pPr>
    </w:p>
    <w:tbl>
      <w:tblPr>
        <w:tblW w:w="4573" w:type="pct"/>
        <w:tblInd w:w="720" w:type="dxa"/>
        <w:tblLayout w:type="fixed"/>
        <w:tblLook w:val="04A0" w:firstRow="1" w:lastRow="0" w:firstColumn="1" w:lastColumn="0" w:noHBand="0" w:noVBand="1"/>
      </w:tblPr>
      <w:tblGrid>
        <w:gridCol w:w="1624"/>
        <w:gridCol w:w="2063"/>
        <w:gridCol w:w="2212"/>
        <w:gridCol w:w="2488"/>
      </w:tblGrid>
      <w:tr w:rsidR="001F27D2" w:rsidRPr="00580B37" w14:paraId="62DA3AAC" w14:textId="77777777" w:rsidTr="001F27D2">
        <w:tc>
          <w:tcPr>
            <w:tcW w:w="5000" w:type="pct"/>
            <w:gridSpan w:val="4"/>
            <w:tcBorders>
              <w:top w:val="single" w:sz="8" w:space="0" w:color="006666"/>
              <w:left w:val="single" w:sz="8" w:space="0" w:color="006666"/>
              <w:bottom w:val="single" w:sz="8" w:space="0" w:color="006666"/>
              <w:right w:val="single" w:sz="8" w:space="0" w:color="006666"/>
            </w:tcBorders>
            <w:shd w:val="clear" w:color="000000" w:fill="009999"/>
            <w:vAlign w:val="center"/>
            <w:hideMark/>
          </w:tcPr>
          <w:p w14:paraId="59BDD67C" w14:textId="77777777" w:rsidR="001F27D2" w:rsidRPr="00580B37" w:rsidRDefault="001F27D2" w:rsidP="00580B37">
            <w:pPr>
              <w:pStyle w:val="Tableheading1"/>
            </w:pPr>
            <w:bookmarkStart w:id="361" w:name="RANGE!A3"/>
            <w:bookmarkStart w:id="362" w:name="_Toc531122946"/>
            <w:bookmarkStart w:id="363" w:name="_Toc532812481"/>
            <w:r w:rsidRPr="00580B37">
              <w:t>Table 4.10</w:t>
            </w:r>
            <w:r w:rsidRPr="00580B37">
              <w:tab/>
              <w:t>Dwelling completions 2006/07 to 2016/17</w:t>
            </w:r>
            <w:bookmarkEnd w:id="361"/>
            <w:bookmarkEnd w:id="362"/>
            <w:bookmarkEnd w:id="363"/>
          </w:p>
        </w:tc>
      </w:tr>
      <w:tr w:rsidR="001F27D2" w:rsidRPr="00580B37" w14:paraId="4472F6D5" w14:textId="77777777" w:rsidTr="001F27D2">
        <w:tc>
          <w:tcPr>
            <w:tcW w:w="968" w:type="pct"/>
            <w:tcBorders>
              <w:top w:val="nil"/>
              <w:left w:val="single" w:sz="8" w:space="0" w:color="006666"/>
              <w:bottom w:val="single" w:sz="8" w:space="0" w:color="006666"/>
              <w:right w:val="single" w:sz="8" w:space="0" w:color="006666"/>
            </w:tcBorders>
            <w:shd w:val="clear" w:color="000000" w:fill="009999"/>
            <w:noWrap/>
            <w:vAlign w:val="bottom"/>
            <w:hideMark/>
          </w:tcPr>
          <w:p w14:paraId="6909BA57" w14:textId="77777777" w:rsidR="001F27D2" w:rsidRPr="00580B37" w:rsidRDefault="001F27D2" w:rsidP="00580B37">
            <w:pPr>
              <w:spacing w:before="0" w:after="0"/>
              <w:rPr>
                <w:rFonts w:cs="Calibri"/>
                <w:b/>
                <w:bCs/>
                <w:color w:val="FFFFFF"/>
                <w:sz w:val="22"/>
                <w:szCs w:val="22"/>
              </w:rPr>
            </w:pPr>
            <w:r w:rsidRPr="00580B37">
              <w:rPr>
                <w:rFonts w:cs="Calibri"/>
                <w:b/>
                <w:bCs/>
                <w:color w:val="FFFFFF"/>
                <w:sz w:val="22"/>
                <w:szCs w:val="22"/>
              </w:rPr>
              <w:t>Year</w:t>
            </w:r>
          </w:p>
        </w:tc>
        <w:tc>
          <w:tcPr>
            <w:tcW w:w="1230" w:type="pct"/>
            <w:tcBorders>
              <w:top w:val="nil"/>
              <w:left w:val="nil"/>
              <w:bottom w:val="single" w:sz="8" w:space="0" w:color="006666"/>
              <w:right w:val="single" w:sz="8" w:space="0" w:color="006666"/>
            </w:tcBorders>
            <w:shd w:val="clear" w:color="000000" w:fill="009999"/>
            <w:noWrap/>
            <w:vAlign w:val="bottom"/>
            <w:hideMark/>
          </w:tcPr>
          <w:p w14:paraId="353E7DFD" w14:textId="77777777" w:rsidR="001F27D2" w:rsidRPr="00580B37" w:rsidRDefault="001F27D2" w:rsidP="00580B37">
            <w:pPr>
              <w:spacing w:before="0" w:after="0"/>
              <w:jc w:val="center"/>
              <w:rPr>
                <w:rFonts w:cs="Calibri"/>
                <w:b/>
                <w:bCs/>
                <w:color w:val="FFFFFF"/>
                <w:sz w:val="22"/>
                <w:szCs w:val="22"/>
              </w:rPr>
            </w:pPr>
            <w:r w:rsidRPr="00580B37">
              <w:rPr>
                <w:rFonts w:cs="Calibri"/>
                <w:b/>
                <w:bCs/>
                <w:color w:val="FFFFFF"/>
                <w:sz w:val="22"/>
                <w:szCs w:val="22"/>
              </w:rPr>
              <w:t>Affordable Completions</w:t>
            </w:r>
          </w:p>
        </w:tc>
        <w:tc>
          <w:tcPr>
            <w:tcW w:w="1319" w:type="pct"/>
            <w:tcBorders>
              <w:top w:val="nil"/>
              <w:left w:val="nil"/>
              <w:bottom w:val="single" w:sz="8" w:space="0" w:color="006666"/>
              <w:right w:val="single" w:sz="8" w:space="0" w:color="006666"/>
            </w:tcBorders>
            <w:shd w:val="clear" w:color="000000" w:fill="009999"/>
            <w:vAlign w:val="bottom"/>
            <w:hideMark/>
          </w:tcPr>
          <w:p w14:paraId="39741958" w14:textId="77777777" w:rsidR="001F27D2" w:rsidRPr="00580B37" w:rsidRDefault="001F27D2" w:rsidP="00580B37">
            <w:pPr>
              <w:spacing w:before="0" w:after="0"/>
              <w:jc w:val="center"/>
              <w:rPr>
                <w:rFonts w:cs="Calibri"/>
                <w:b/>
                <w:bCs/>
                <w:color w:val="FFFFFF"/>
                <w:sz w:val="22"/>
                <w:szCs w:val="22"/>
              </w:rPr>
            </w:pPr>
            <w:r w:rsidRPr="00580B37">
              <w:rPr>
                <w:rFonts w:cs="Calibri"/>
                <w:b/>
                <w:bCs/>
                <w:color w:val="FFFFFF"/>
                <w:sz w:val="22"/>
                <w:szCs w:val="22"/>
              </w:rPr>
              <w:t>Private</w:t>
            </w:r>
          </w:p>
          <w:p w14:paraId="35FD14EB" w14:textId="77777777" w:rsidR="001F27D2" w:rsidRPr="00580B37" w:rsidRDefault="001F27D2" w:rsidP="00580B37">
            <w:pPr>
              <w:spacing w:before="0" w:after="0"/>
              <w:jc w:val="center"/>
              <w:rPr>
                <w:rFonts w:cs="Calibri"/>
                <w:b/>
                <w:bCs/>
                <w:color w:val="FFFFFF"/>
                <w:sz w:val="22"/>
                <w:szCs w:val="22"/>
              </w:rPr>
            </w:pPr>
            <w:r w:rsidRPr="00580B37">
              <w:rPr>
                <w:rFonts w:cs="Calibri"/>
                <w:b/>
                <w:bCs/>
                <w:color w:val="FFFFFF"/>
                <w:sz w:val="22"/>
                <w:szCs w:val="22"/>
              </w:rPr>
              <w:t>Completions</w:t>
            </w:r>
          </w:p>
        </w:tc>
        <w:tc>
          <w:tcPr>
            <w:tcW w:w="1483" w:type="pct"/>
            <w:tcBorders>
              <w:top w:val="nil"/>
              <w:left w:val="nil"/>
              <w:bottom w:val="single" w:sz="8" w:space="0" w:color="006666"/>
              <w:right w:val="single" w:sz="8" w:space="0" w:color="006666"/>
            </w:tcBorders>
            <w:shd w:val="clear" w:color="000000" w:fill="009999"/>
            <w:noWrap/>
            <w:vAlign w:val="bottom"/>
            <w:hideMark/>
          </w:tcPr>
          <w:p w14:paraId="49184DF1" w14:textId="77777777" w:rsidR="001F27D2" w:rsidRPr="00580B37" w:rsidRDefault="001F27D2" w:rsidP="00580B37">
            <w:pPr>
              <w:spacing w:before="0" w:after="0"/>
              <w:jc w:val="center"/>
              <w:rPr>
                <w:rFonts w:cs="Calibri"/>
                <w:b/>
                <w:bCs/>
                <w:color w:val="FFFFFF"/>
                <w:sz w:val="22"/>
                <w:szCs w:val="22"/>
              </w:rPr>
            </w:pPr>
            <w:r w:rsidRPr="00580B37">
              <w:rPr>
                <w:rFonts w:cs="Calibri"/>
                <w:b/>
                <w:bCs/>
                <w:color w:val="FFFFFF"/>
                <w:sz w:val="22"/>
                <w:szCs w:val="22"/>
              </w:rPr>
              <w:t>Total Dwelling Completions</w:t>
            </w:r>
          </w:p>
        </w:tc>
      </w:tr>
      <w:tr w:rsidR="001F27D2" w:rsidRPr="00580B37" w14:paraId="3EA06B89" w14:textId="77777777" w:rsidTr="001F27D2">
        <w:tc>
          <w:tcPr>
            <w:tcW w:w="968" w:type="pct"/>
            <w:tcBorders>
              <w:top w:val="nil"/>
              <w:left w:val="single" w:sz="8" w:space="0" w:color="006666"/>
              <w:bottom w:val="single" w:sz="8" w:space="0" w:color="006666"/>
              <w:right w:val="single" w:sz="8" w:space="0" w:color="006666"/>
            </w:tcBorders>
            <w:shd w:val="clear" w:color="auto" w:fill="auto"/>
            <w:noWrap/>
            <w:vAlign w:val="center"/>
          </w:tcPr>
          <w:p w14:paraId="097432E2"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2003/04</w:t>
            </w:r>
          </w:p>
        </w:tc>
        <w:tc>
          <w:tcPr>
            <w:tcW w:w="1230" w:type="pct"/>
            <w:tcBorders>
              <w:top w:val="nil"/>
              <w:left w:val="nil"/>
              <w:bottom w:val="single" w:sz="8" w:space="0" w:color="006666"/>
              <w:right w:val="single" w:sz="8" w:space="0" w:color="006666"/>
            </w:tcBorders>
            <w:shd w:val="clear" w:color="auto" w:fill="auto"/>
            <w:noWrap/>
            <w:vAlign w:val="bottom"/>
          </w:tcPr>
          <w:p w14:paraId="49D0B1FC"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9</w:t>
            </w:r>
          </w:p>
        </w:tc>
        <w:tc>
          <w:tcPr>
            <w:tcW w:w="1319" w:type="pct"/>
            <w:tcBorders>
              <w:top w:val="nil"/>
              <w:left w:val="nil"/>
              <w:bottom w:val="single" w:sz="8" w:space="0" w:color="006666"/>
              <w:right w:val="single" w:sz="8" w:space="0" w:color="006666"/>
            </w:tcBorders>
            <w:shd w:val="clear" w:color="auto" w:fill="auto"/>
            <w:vAlign w:val="bottom"/>
          </w:tcPr>
          <w:p w14:paraId="6648FEFD"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177</w:t>
            </w:r>
          </w:p>
        </w:tc>
        <w:tc>
          <w:tcPr>
            <w:tcW w:w="1483" w:type="pct"/>
            <w:tcBorders>
              <w:top w:val="nil"/>
              <w:left w:val="nil"/>
              <w:bottom w:val="single" w:sz="8" w:space="0" w:color="006666"/>
              <w:right w:val="single" w:sz="8" w:space="0" w:color="006666"/>
            </w:tcBorders>
            <w:shd w:val="clear" w:color="auto" w:fill="auto"/>
            <w:noWrap/>
            <w:vAlign w:val="bottom"/>
          </w:tcPr>
          <w:p w14:paraId="196B2613"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186</w:t>
            </w:r>
          </w:p>
        </w:tc>
      </w:tr>
      <w:tr w:rsidR="001F27D2" w:rsidRPr="00580B37" w14:paraId="6C96B661" w14:textId="77777777" w:rsidTr="001F27D2">
        <w:tc>
          <w:tcPr>
            <w:tcW w:w="968" w:type="pct"/>
            <w:tcBorders>
              <w:top w:val="nil"/>
              <w:left w:val="single" w:sz="8" w:space="0" w:color="006666"/>
              <w:bottom w:val="single" w:sz="8" w:space="0" w:color="006666"/>
              <w:right w:val="single" w:sz="8" w:space="0" w:color="006666"/>
            </w:tcBorders>
            <w:shd w:val="clear" w:color="auto" w:fill="auto"/>
            <w:noWrap/>
            <w:vAlign w:val="center"/>
          </w:tcPr>
          <w:p w14:paraId="2B4A4F4C"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2004/05</w:t>
            </w:r>
          </w:p>
        </w:tc>
        <w:tc>
          <w:tcPr>
            <w:tcW w:w="1230" w:type="pct"/>
            <w:tcBorders>
              <w:top w:val="nil"/>
              <w:left w:val="nil"/>
              <w:bottom w:val="single" w:sz="8" w:space="0" w:color="006666"/>
              <w:right w:val="single" w:sz="8" w:space="0" w:color="006666"/>
            </w:tcBorders>
            <w:shd w:val="clear" w:color="auto" w:fill="auto"/>
            <w:noWrap/>
            <w:vAlign w:val="bottom"/>
          </w:tcPr>
          <w:p w14:paraId="5CD0D8FF"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23</w:t>
            </w:r>
          </w:p>
        </w:tc>
        <w:tc>
          <w:tcPr>
            <w:tcW w:w="1319" w:type="pct"/>
            <w:tcBorders>
              <w:top w:val="nil"/>
              <w:left w:val="nil"/>
              <w:bottom w:val="single" w:sz="8" w:space="0" w:color="006666"/>
              <w:right w:val="single" w:sz="8" w:space="0" w:color="006666"/>
            </w:tcBorders>
            <w:shd w:val="clear" w:color="auto" w:fill="auto"/>
            <w:vAlign w:val="bottom"/>
          </w:tcPr>
          <w:p w14:paraId="532185ED"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187</w:t>
            </w:r>
          </w:p>
        </w:tc>
        <w:tc>
          <w:tcPr>
            <w:tcW w:w="1483" w:type="pct"/>
            <w:tcBorders>
              <w:top w:val="nil"/>
              <w:left w:val="nil"/>
              <w:bottom w:val="single" w:sz="8" w:space="0" w:color="006666"/>
              <w:right w:val="single" w:sz="8" w:space="0" w:color="006666"/>
            </w:tcBorders>
            <w:shd w:val="clear" w:color="auto" w:fill="auto"/>
            <w:noWrap/>
            <w:vAlign w:val="bottom"/>
          </w:tcPr>
          <w:p w14:paraId="481BC664"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210</w:t>
            </w:r>
          </w:p>
        </w:tc>
      </w:tr>
      <w:tr w:rsidR="001F27D2" w:rsidRPr="00580B37" w14:paraId="48981853" w14:textId="77777777" w:rsidTr="001F27D2">
        <w:tc>
          <w:tcPr>
            <w:tcW w:w="968" w:type="pct"/>
            <w:tcBorders>
              <w:top w:val="nil"/>
              <w:left w:val="single" w:sz="8" w:space="0" w:color="006666"/>
              <w:bottom w:val="single" w:sz="8" w:space="0" w:color="006666"/>
              <w:right w:val="single" w:sz="8" w:space="0" w:color="006666"/>
            </w:tcBorders>
            <w:shd w:val="clear" w:color="auto" w:fill="auto"/>
            <w:noWrap/>
            <w:vAlign w:val="center"/>
          </w:tcPr>
          <w:p w14:paraId="6CDF8F16"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2005/06</w:t>
            </w:r>
          </w:p>
        </w:tc>
        <w:tc>
          <w:tcPr>
            <w:tcW w:w="1230" w:type="pct"/>
            <w:tcBorders>
              <w:top w:val="nil"/>
              <w:left w:val="nil"/>
              <w:bottom w:val="single" w:sz="8" w:space="0" w:color="006666"/>
              <w:right w:val="single" w:sz="8" w:space="0" w:color="006666"/>
            </w:tcBorders>
            <w:shd w:val="clear" w:color="auto" w:fill="auto"/>
            <w:noWrap/>
            <w:vAlign w:val="bottom"/>
          </w:tcPr>
          <w:p w14:paraId="578135E7"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20</w:t>
            </w:r>
          </w:p>
        </w:tc>
        <w:tc>
          <w:tcPr>
            <w:tcW w:w="1319" w:type="pct"/>
            <w:tcBorders>
              <w:top w:val="nil"/>
              <w:left w:val="nil"/>
              <w:bottom w:val="single" w:sz="8" w:space="0" w:color="006666"/>
              <w:right w:val="single" w:sz="8" w:space="0" w:color="006666"/>
            </w:tcBorders>
            <w:shd w:val="clear" w:color="auto" w:fill="auto"/>
            <w:vAlign w:val="bottom"/>
          </w:tcPr>
          <w:p w14:paraId="12FDC2F3"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128</w:t>
            </w:r>
          </w:p>
        </w:tc>
        <w:tc>
          <w:tcPr>
            <w:tcW w:w="1483" w:type="pct"/>
            <w:tcBorders>
              <w:top w:val="nil"/>
              <w:left w:val="nil"/>
              <w:bottom w:val="single" w:sz="8" w:space="0" w:color="006666"/>
              <w:right w:val="single" w:sz="8" w:space="0" w:color="006666"/>
            </w:tcBorders>
            <w:shd w:val="clear" w:color="auto" w:fill="auto"/>
            <w:noWrap/>
            <w:vAlign w:val="bottom"/>
          </w:tcPr>
          <w:p w14:paraId="2C2CAA90"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148</w:t>
            </w:r>
          </w:p>
        </w:tc>
      </w:tr>
      <w:tr w:rsidR="001F27D2" w:rsidRPr="00580B37" w14:paraId="081810DE" w14:textId="77777777" w:rsidTr="001F27D2">
        <w:tc>
          <w:tcPr>
            <w:tcW w:w="968" w:type="pct"/>
            <w:tcBorders>
              <w:top w:val="nil"/>
              <w:left w:val="single" w:sz="8" w:space="0" w:color="006666"/>
              <w:bottom w:val="single" w:sz="8" w:space="0" w:color="006666"/>
              <w:right w:val="single" w:sz="8" w:space="0" w:color="006666"/>
            </w:tcBorders>
            <w:shd w:val="clear" w:color="auto" w:fill="auto"/>
            <w:noWrap/>
            <w:vAlign w:val="center"/>
            <w:hideMark/>
          </w:tcPr>
          <w:p w14:paraId="0DEA02F8"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2006/07</w:t>
            </w:r>
          </w:p>
        </w:tc>
        <w:tc>
          <w:tcPr>
            <w:tcW w:w="1230" w:type="pct"/>
            <w:tcBorders>
              <w:top w:val="nil"/>
              <w:left w:val="nil"/>
              <w:bottom w:val="single" w:sz="8" w:space="0" w:color="006666"/>
              <w:right w:val="single" w:sz="8" w:space="0" w:color="006666"/>
            </w:tcBorders>
            <w:shd w:val="clear" w:color="auto" w:fill="auto"/>
            <w:noWrap/>
            <w:vAlign w:val="bottom"/>
          </w:tcPr>
          <w:p w14:paraId="65809D43"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44</w:t>
            </w:r>
          </w:p>
        </w:tc>
        <w:tc>
          <w:tcPr>
            <w:tcW w:w="1319" w:type="pct"/>
            <w:tcBorders>
              <w:top w:val="nil"/>
              <w:left w:val="nil"/>
              <w:bottom w:val="single" w:sz="8" w:space="0" w:color="006666"/>
              <w:right w:val="single" w:sz="8" w:space="0" w:color="006666"/>
            </w:tcBorders>
            <w:shd w:val="clear" w:color="auto" w:fill="auto"/>
            <w:vAlign w:val="bottom"/>
          </w:tcPr>
          <w:p w14:paraId="121E03E3"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121</w:t>
            </w:r>
          </w:p>
        </w:tc>
        <w:tc>
          <w:tcPr>
            <w:tcW w:w="1483" w:type="pct"/>
            <w:tcBorders>
              <w:top w:val="nil"/>
              <w:left w:val="nil"/>
              <w:bottom w:val="single" w:sz="8" w:space="0" w:color="006666"/>
              <w:right w:val="single" w:sz="8" w:space="0" w:color="006666"/>
            </w:tcBorders>
            <w:shd w:val="clear" w:color="auto" w:fill="auto"/>
            <w:noWrap/>
            <w:vAlign w:val="bottom"/>
          </w:tcPr>
          <w:p w14:paraId="2487C833"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165</w:t>
            </w:r>
          </w:p>
        </w:tc>
      </w:tr>
      <w:tr w:rsidR="001F27D2" w:rsidRPr="00580B37" w14:paraId="5F237FE1" w14:textId="77777777" w:rsidTr="001F27D2">
        <w:tc>
          <w:tcPr>
            <w:tcW w:w="968" w:type="pct"/>
            <w:tcBorders>
              <w:top w:val="nil"/>
              <w:left w:val="single" w:sz="8" w:space="0" w:color="006666"/>
              <w:bottom w:val="single" w:sz="8" w:space="0" w:color="006666"/>
              <w:right w:val="single" w:sz="8" w:space="0" w:color="006666"/>
            </w:tcBorders>
            <w:shd w:val="clear" w:color="auto" w:fill="auto"/>
            <w:noWrap/>
            <w:vAlign w:val="center"/>
            <w:hideMark/>
          </w:tcPr>
          <w:p w14:paraId="1E4BBAF0"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2007/08</w:t>
            </w:r>
          </w:p>
        </w:tc>
        <w:tc>
          <w:tcPr>
            <w:tcW w:w="1230" w:type="pct"/>
            <w:tcBorders>
              <w:top w:val="nil"/>
              <w:left w:val="nil"/>
              <w:bottom w:val="single" w:sz="8" w:space="0" w:color="006666"/>
              <w:right w:val="single" w:sz="8" w:space="0" w:color="006666"/>
            </w:tcBorders>
            <w:shd w:val="clear" w:color="auto" w:fill="auto"/>
            <w:noWrap/>
            <w:vAlign w:val="bottom"/>
          </w:tcPr>
          <w:p w14:paraId="5A4F5C0F"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33</w:t>
            </w:r>
          </w:p>
        </w:tc>
        <w:tc>
          <w:tcPr>
            <w:tcW w:w="1319" w:type="pct"/>
            <w:tcBorders>
              <w:top w:val="nil"/>
              <w:left w:val="nil"/>
              <w:bottom w:val="single" w:sz="8" w:space="0" w:color="006666"/>
              <w:right w:val="single" w:sz="8" w:space="0" w:color="006666"/>
            </w:tcBorders>
            <w:shd w:val="clear" w:color="auto" w:fill="auto"/>
            <w:vAlign w:val="bottom"/>
          </w:tcPr>
          <w:p w14:paraId="318B813E"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126</w:t>
            </w:r>
          </w:p>
        </w:tc>
        <w:tc>
          <w:tcPr>
            <w:tcW w:w="1483" w:type="pct"/>
            <w:tcBorders>
              <w:top w:val="nil"/>
              <w:left w:val="nil"/>
              <w:bottom w:val="single" w:sz="8" w:space="0" w:color="006666"/>
              <w:right w:val="single" w:sz="8" w:space="0" w:color="006666"/>
            </w:tcBorders>
            <w:shd w:val="clear" w:color="auto" w:fill="auto"/>
            <w:noWrap/>
            <w:vAlign w:val="bottom"/>
          </w:tcPr>
          <w:p w14:paraId="4FEA008A"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159</w:t>
            </w:r>
          </w:p>
        </w:tc>
      </w:tr>
      <w:tr w:rsidR="001F27D2" w:rsidRPr="00580B37" w14:paraId="107BE286" w14:textId="77777777" w:rsidTr="001F27D2">
        <w:tc>
          <w:tcPr>
            <w:tcW w:w="968" w:type="pct"/>
            <w:tcBorders>
              <w:top w:val="nil"/>
              <w:left w:val="single" w:sz="8" w:space="0" w:color="006666"/>
              <w:bottom w:val="single" w:sz="8" w:space="0" w:color="006666"/>
              <w:right w:val="single" w:sz="8" w:space="0" w:color="006666"/>
            </w:tcBorders>
            <w:shd w:val="clear" w:color="auto" w:fill="auto"/>
            <w:noWrap/>
            <w:vAlign w:val="center"/>
            <w:hideMark/>
          </w:tcPr>
          <w:p w14:paraId="6FEDBB18"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2008/09</w:t>
            </w:r>
          </w:p>
        </w:tc>
        <w:tc>
          <w:tcPr>
            <w:tcW w:w="1230" w:type="pct"/>
            <w:tcBorders>
              <w:top w:val="nil"/>
              <w:left w:val="nil"/>
              <w:bottom w:val="single" w:sz="8" w:space="0" w:color="006666"/>
              <w:right w:val="single" w:sz="8" w:space="0" w:color="006666"/>
            </w:tcBorders>
            <w:shd w:val="clear" w:color="auto" w:fill="auto"/>
            <w:noWrap/>
            <w:vAlign w:val="bottom"/>
          </w:tcPr>
          <w:p w14:paraId="0E2F7831"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49</w:t>
            </w:r>
          </w:p>
        </w:tc>
        <w:tc>
          <w:tcPr>
            <w:tcW w:w="1319" w:type="pct"/>
            <w:tcBorders>
              <w:top w:val="nil"/>
              <w:left w:val="nil"/>
              <w:bottom w:val="single" w:sz="8" w:space="0" w:color="006666"/>
              <w:right w:val="single" w:sz="8" w:space="0" w:color="006666"/>
            </w:tcBorders>
            <w:shd w:val="clear" w:color="auto" w:fill="auto"/>
            <w:vAlign w:val="bottom"/>
          </w:tcPr>
          <w:p w14:paraId="4E2295A4"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105</w:t>
            </w:r>
          </w:p>
        </w:tc>
        <w:tc>
          <w:tcPr>
            <w:tcW w:w="1483" w:type="pct"/>
            <w:tcBorders>
              <w:top w:val="nil"/>
              <w:left w:val="nil"/>
              <w:bottom w:val="single" w:sz="8" w:space="0" w:color="006666"/>
              <w:right w:val="single" w:sz="8" w:space="0" w:color="006666"/>
            </w:tcBorders>
            <w:shd w:val="clear" w:color="auto" w:fill="auto"/>
            <w:noWrap/>
            <w:vAlign w:val="bottom"/>
          </w:tcPr>
          <w:p w14:paraId="1FD38401"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154</w:t>
            </w:r>
          </w:p>
        </w:tc>
      </w:tr>
      <w:tr w:rsidR="001F27D2" w:rsidRPr="00580B37" w14:paraId="06CBF51F" w14:textId="77777777" w:rsidTr="001F27D2">
        <w:tc>
          <w:tcPr>
            <w:tcW w:w="968" w:type="pct"/>
            <w:tcBorders>
              <w:top w:val="nil"/>
              <w:left w:val="single" w:sz="8" w:space="0" w:color="006666"/>
              <w:bottom w:val="single" w:sz="8" w:space="0" w:color="006666"/>
              <w:right w:val="single" w:sz="8" w:space="0" w:color="006666"/>
            </w:tcBorders>
            <w:shd w:val="clear" w:color="auto" w:fill="auto"/>
            <w:noWrap/>
            <w:vAlign w:val="center"/>
            <w:hideMark/>
          </w:tcPr>
          <w:p w14:paraId="7BADDF14"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2009/10</w:t>
            </w:r>
          </w:p>
        </w:tc>
        <w:tc>
          <w:tcPr>
            <w:tcW w:w="1230" w:type="pct"/>
            <w:tcBorders>
              <w:top w:val="nil"/>
              <w:left w:val="nil"/>
              <w:bottom w:val="single" w:sz="8" w:space="0" w:color="006666"/>
              <w:right w:val="single" w:sz="8" w:space="0" w:color="006666"/>
            </w:tcBorders>
            <w:shd w:val="clear" w:color="auto" w:fill="auto"/>
            <w:noWrap/>
            <w:vAlign w:val="bottom"/>
          </w:tcPr>
          <w:p w14:paraId="58540F81"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4</w:t>
            </w:r>
          </w:p>
        </w:tc>
        <w:tc>
          <w:tcPr>
            <w:tcW w:w="1319" w:type="pct"/>
            <w:tcBorders>
              <w:top w:val="nil"/>
              <w:left w:val="nil"/>
              <w:bottom w:val="single" w:sz="8" w:space="0" w:color="006666"/>
              <w:right w:val="single" w:sz="8" w:space="0" w:color="006666"/>
            </w:tcBorders>
            <w:shd w:val="clear" w:color="auto" w:fill="auto"/>
            <w:vAlign w:val="bottom"/>
          </w:tcPr>
          <w:p w14:paraId="2BE3B0D7"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100</w:t>
            </w:r>
          </w:p>
        </w:tc>
        <w:tc>
          <w:tcPr>
            <w:tcW w:w="1483" w:type="pct"/>
            <w:tcBorders>
              <w:top w:val="nil"/>
              <w:left w:val="nil"/>
              <w:bottom w:val="single" w:sz="8" w:space="0" w:color="006666"/>
              <w:right w:val="single" w:sz="8" w:space="0" w:color="006666"/>
            </w:tcBorders>
            <w:shd w:val="clear" w:color="auto" w:fill="auto"/>
            <w:noWrap/>
            <w:vAlign w:val="bottom"/>
          </w:tcPr>
          <w:p w14:paraId="5903EDF0"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104</w:t>
            </w:r>
          </w:p>
        </w:tc>
      </w:tr>
      <w:tr w:rsidR="001F27D2" w:rsidRPr="00580B37" w14:paraId="1AE16FA4" w14:textId="77777777" w:rsidTr="001F27D2">
        <w:tc>
          <w:tcPr>
            <w:tcW w:w="968" w:type="pct"/>
            <w:tcBorders>
              <w:top w:val="nil"/>
              <w:left w:val="single" w:sz="8" w:space="0" w:color="006666"/>
              <w:bottom w:val="single" w:sz="8" w:space="0" w:color="006666"/>
              <w:right w:val="single" w:sz="8" w:space="0" w:color="006666"/>
            </w:tcBorders>
            <w:shd w:val="clear" w:color="auto" w:fill="auto"/>
            <w:noWrap/>
            <w:vAlign w:val="center"/>
            <w:hideMark/>
          </w:tcPr>
          <w:p w14:paraId="59874D13"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2010/11</w:t>
            </w:r>
          </w:p>
        </w:tc>
        <w:tc>
          <w:tcPr>
            <w:tcW w:w="1230" w:type="pct"/>
            <w:tcBorders>
              <w:top w:val="nil"/>
              <w:left w:val="nil"/>
              <w:bottom w:val="single" w:sz="8" w:space="0" w:color="006666"/>
              <w:right w:val="single" w:sz="8" w:space="0" w:color="006666"/>
            </w:tcBorders>
            <w:shd w:val="clear" w:color="auto" w:fill="auto"/>
            <w:noWrap/>
            <w:vAlign w:val="bottom"/>
          </w:tcPr>
          <w:p w14:paraId="36A4AF30"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22</w:t>
            </w:r>
          </w:p>
        </w:tc>
        <w:tc>
          <w:tcPr>
            <w:tcW w:w="1319" w:type="pct"/>
            <w:tcBorders>
              <w:top w:val="nil"/>
              <w:left w:val="nil"/>
              <w:bottom w:val="single" w:sz="8" w:space="0" w:color="006666"/>
              <w:right w:val="single" w:sz="8" w:space="0" w:color="006666"/>
            </w:tcBorders>
            <w:shd w:val="clear" w:color="auto" w:fill="auto"/>
            <w:vAlign w:val="bottom"/>
          </w:tcPr>
          <w:p w14:paraId="66E1A3BF"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107</w:t>
            </w:r>
          </w:p>
        </w:tc>
        <w:tc>
          <w:tcPr>
            <w:tcW w:w="1483" w:type="pct"/>
            <w:tcBorders>
              <w:top w:val="nil"/>
              <w:left w:val="nil"/>
              <w:bottom w:val="single" w:sz="8" w:space="0" w:color="006666"/>
              <w:right w:val="single" w:sz="8" w:space="0" w:color="006666"/>
            </w:tcBorders>
            <w:shd w:val="clear" w:color="auto" w:fill="auto"/>
            <w:noWrap/>
            <w:vAlign w:val="bottom"/>
          </w:tcPr>
          <w:p w14:paraId="7953B205"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129</w:t>
            </w:r>
          </w:p>
        </w:tc>
      </w:tr>
      <w:tr w:rsidR="001F27D2" w:rsidRPr="00580B37" w14:paraId="6184105A" w14:textId="77777777" w:rsidTr="001F27D2">
        <w:tc>
          <w:tcPr>
            <w:tcW w:w="968" w:type="pct"/>
            <w:tcBorders>
              <w:top w:val="nil"/>
              <w:left w:val="single" w:sz="8" w:space="0" w:color="006666"/>
              <w:bottom w:val="single" w:sz="8" w:space="0" w:color="006666"/>
              <w:right w:val="single" w:sz="8" w:space="0" w:color="006666"/>
            </w:tcBorders>
            <w:shd w:val="clear" w:color="auto" w:fill="auto"/>
            <w:noWrap/>
            <w:vAlign w:val="center"/>
            <w:hideMark/>
          </w:tcPr>
          <w:p w14:paraId="5584A9F0"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2011/12</w:t>
            </w:r>
          </w:p>
        </w:tc>
        <w:tc>
          <w:tcPr>
            <w:tcW w:w="1230" w:type="pct"/>
            <w:tcBorders>
              <w:top w:val="nil"/>
              <w:left w:val="nil"/>
              <w:bottom w:val="single" w:sz="8" w:space="0" w:color="006666"/>
              <w:right w:val="single" w:sz="8" w:space="0" w:color="006666"/>
            </w:tcBorders>
            <w:shd w:val="clear" w:color="auto" w:fill="auto"/>
            <w:noWrap/>
            <w:vAlign w:val="bottom"/>
          </w:tcPr>
          <w:p w14:paraId="5D784157"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22</w:t>
            </w:r>
          </w:p>
        </w:tc>
        <w:tc>
          <w:tcPr>
            <w:tcW w:w="1319" w:type="pct"/>
            <w:tcBorders>
              <w:top w:val="nil"/>
              <w:left w:val="nil"/>
              <w:bottom w:val="single" w:sz="8" w:space="0" w:color="006666"/>
              <w:right w:val="single" w:sz="8" w:space="0" w:color="006666"/>
            </w:tcBorders>
            <w:shd w:val="clear" w:color="auto" w:fill="auto"/>
            <w:vAlign w:val="bottom"/>
          </w:tcPr>
          <w:p w14:paraId="696F88AF"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99</w:t>
            </w:r>
          </w:p>
        </w:tc>
        <w:tc>
          <w:tcPr>
            <w:tcW w:w="1483" w:type="pct"/>
            <w:tcBorders>
              <w:top w:val="nil"/>
              <w:left w:val="nil"/>
              <w:bottom w:val="single" w:sz="8" w:space="0" w:color="006666"/>
              <w:right w:val="single" w:sz="8" w:space="0" w:color="006666"/>
            </w:tcBorders>
            <w:shd w:val="clear" w:color="auto" w:fill="auto"/>
            <w:noWrap/>
            <w:vAlign w:val="bottom"/>
          </w:tcPr>
          <w:p w14:paraId="76DB98DB"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121</w:t>
            </w:r>
          </w:p>
        </w:tc>
      </w:tr>
      <w:tr w:rsidR="001F27D2" w:rsidRPr="00580B37" w14:paraId="2B1609AB" w14:textId="77777777" w:rsidTr="001F27D2">
        <w:tc>
          <w:tcPr>
            <w:tcW w:w="968" w:type="pct"/>
            <w:tcBorders>
              <w:top w:val="nil"/>
              <w:left w:val="single" w:sz="8" w:space="0" w:color="006666"/>
              <w:bottom w:val="single" w:sz="8" w:space="0" w:color="006666"/>
              <w:right w:val="single" w:sz="8" w:space="0" w:color="006666"/>
            </w:tcBorders>
            <w:shd w:val="clear" w:color="auto" w:fill="auto"/>
            <w:noWrap/>
            <w:vAlign w:val="center"/>
            <w:hideMark/>
          </w:tcPr>
          <w:p w14:paraId="22744435"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2012/13</w:t>
            </w:r>
          </w:p>
        </w:tc>
        <w:tc>
          <w:tcPr>
            <w:tcW w:w="1230" w:type="pct"/>
            <w:tcBorders>
              <w:top w:val="nil"/>
              <w:left w:val="nil"/>
              <w:bottom w:val="single" w:sz="8" w:space="0" w:color="006666"/>
              <w:right w:val="single" w:sz="8" w:space="0" w:color="006666"/>
            </w:tcBorders>
            <w:shd w:val="clear" w:color="auto" w:fill="auto"/>
            <w:noWrap/>
            <w:vAlign w:val="bottom"/>
          </w:tcPr>
          <w:p w14:paraId="6169743A"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125</w:t>
            </w:r>
          </w:p>
        </w:tc>
        <w:tc>
          <w:tcPr>
            <w:tcW w:w="1319" w:type="pct"/>
            <w:tcBorders>
              <w:top w:val="nil"/>
              <w:left w:val="nil"/>
              <w:bottom w:val="single" w:sz="8" w:space="0" w:color="006666"/>
              <w:right w:val="single" w:sz="8" w:space="0" w:color="006666"/>
            </w:tcBorders>
            <w:shd w:val="clear" w:color="auto" w:fill="auto"/>
            <w:vAlign w:val="bottom"/>
          </w:tcPr>
          <w:p w14:paraId="259CC025"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112</w:t>
            </w:r>
          </w:p>
        </w:tc>
        <w:tc>
          <w:tcPr>
            <w:tcW w:w="1483" w:type="pct"/>
            <w:tcBorders>
              <w:top w:val="nil"/>
              <w:left w:val="nil"/>
              <w:bottom w:val="single" w:sz="8" w:space="0" w:color="006666"/>
              <w:right w:val="single" w:sz="8" w:space="0" w:color="006666"/>
            </w:tcBorders>
            <w:shd w:val="clear" w:color="auto" w:fill="auto"/>
            <w:noWrap/>
            <w:vAlign w:val="bottom"/>
          </w:tcPr>
          <w:p w14:paraId="09841493"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237</w:t>
            </w:r>
          </w:p>
        </w:tc>
      </w:tr>
      <w:tr w:rsidR="001F27D2" w:rsidRPr="00580B37" w14:paraId="7F59C9D4" w14:textId="77777777" w:rsidTr="001F27D2">
        <w:tc>
          <w:tcPr>
            <w:tcW w:w="968" w:type="pct"/>
            <w:tcBorders>
              <w:top w:val="nil"/>
              <w:left w:val="single" w:sz="8" w:space="0" w:color="006666"/>
              <w:bottom w:val="single" w:sz="8" w:space="0" w:color="006666"/>
              <w:right w:val="single" w:sz="8" w:space="0" w:color="006666"/>
            </w:tcBorders>
            <w:shd w:val="clear" w:color="auto" w:fill="auto"/>
            <w:noWrap/>
            <w:vAlign w:val="center"/>
            <w:hideMark/>
          </w:tcPr>
          <w:p w14:paraId="077DBCCA"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2013/14</w:t>
            </w:r>
          </w:p>
        </w:tc>
        <w:tc>
          <w:tcPr>
            <w:tcW w:w="1230" w:type="pct"/>
            <w:tcBorders>
              <w:top w:val="nil"/>
              <w:left w:val="nil"/>
              <w:bottom w:val="single" w:sz="8" w:space="0" w:color="006666"/>
              <w:right w:val="single" w:sz="8" w:space="0" w:color="006666"/>
            </w:tcBorders>
            <w:shd w:val="clear" w:color="auto" w:fill="auto"/>
            <w:noWrap/>
            <w:vAlign w:val="bottom"/>
          </w:tcPr>
          <w:p w14:paraId="7DC058C9"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32</w:t>
            </w:r>
          </w:p>
        </w:tc>
        <w:tc>
          <w:tcPr>
            <w:tcW w:w="1319" w:type="pct"/>
            <w:tcBorders>
              <w:top w:val="nil"/>
              <w:left w:val="nil"/>
              <w:bottom w:val="single" w:sz="8" w:space="0" w:color="006666"/>
              <w:right w:val="single" w:sz="8" w:space="0" w:color="006666"/>
            </w:tcBorders>
            <w:shd w:val="clear" w:color="auto" w:fill="auto"/>
            <w:vAlign w:val="bottom"/>
          </w:tcPr>
          <w:p w14:paraId="571B1B31"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143</w:t>
            </w:r>
          </w:p>
        </w:tc>
        <w:tc>
          <w:tcPr>
            <w:tcW w:w="1483" w:type="pct"/>
            <w:tcBorders>
              <w:top w:val="nil"/>
              <w:left w:val="nil"/>
              <w:bottom w:val="single" w:sz="8" w:space="0" w:color="006666"/>
              <w:right w:val="single" w:sz="8" w:space="0" w:color="006666"/>
            </w:tcBorders>
            <w:shd w:val="clear" w:color="auto" w:fill="auto"/>
            <w:noWrap/>
            <w:vAlign w:val="bottom"/>
          </w:tcPr>
          <w:p w14:paraId="45EF1086"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175</w:t>
            </w:r>
          </w:p>
        </w:tc>
      </w:tr>
      <w:tr w:rsidR="001F27D2" w:rsidRPr="00580B37" w14:paraId="265EC936" w14:textId="77777777" w:rsidTr="001F27D2">
        <w:tc>
          <w:tcPr>
            <w:tcW w:w="968" w:type="pct"/>
            <w:tcBorders>
              <w:top w:val="nil"/>
              <w:left w:val="single" w:sz="8" w:space="0" w:color="006666"/>
              <w:bottom w:val="single" w:sz="8" w:space="0" w:color="006666"/>
              <w:right w:val="single" w:sz="8" w:space="0" w:color="006666"/>
            </w:tcBorders>
            <w:shd w:val="clear" w:color="auto" w:fill="auto"/>
            <w:noWrap/>
            <w:vAlign w:val="center"/>
            <w:hideMark/>
          </w:tcPr>
          <w:p w14:paraId="32A0D276"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2014/15</w:t>
            </w:r>
          </w:p>
        </w:tc>
        <w:tc>
          <w:tcPr>
            <w:tcW w:w="1230" w:type="pct"/>
            <w:tcBorders>
              <w:top w:val="nil"/>
              <w:left w:val="nil"/>
              <w:bottom w:val="single" w:sz="8" w:space="0" w:color="006666"/>
              <w:right w:val="single" w:sz="8" w:space="0" w:color="006666"/>
            </w:tcBorders>
            <w:shd w:val="clear" w:color="auto" w:fill="auto"/>
            <w:noWrap/>
            <w:vAlign w:val="bottom"/>
          </w:tcPr>
          <w:p w14:paraId="5EB6C9DD"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24</w:t>
            </w:r>
          </w:p>
        </w:tc>
        <w:tc>
          <w:tcPr>
            <w:tcW w:w="1319" w:type="pct"/>
            <w:tcBorders>
              <w:top w:val="nil"/>
              <w:left w:val="nil"/>
              <w:bottom w:val="single" w:sz="8" w:space="0" w:color="006666"/>
              <w:right w:val="single" w:sz="8" w:space="0" w:color="006666"/>
            </w:tcBorders>
            <w:shd w:val="clear" w:color="auto" w:fill="auto"/>
            <w:vAlign w:val="bottom"/>
          </w:tcPr>
          <w:p w14:paraId="256B0AB0"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105</w:t>
            </w:r>
          </w:p>
        </w:tc>
        <w:tc>
          <w:tcPr>
            <w:tcW w:w="1483" w:type="pct"/>
            <w:tcBorders>
              <w:top w:val="nil"/>
              <w:left w:val="nil"/>
              <w:bottom w:val="single" w:sz="8" w:space="0" w:color="006666"/>
              <w:right w:val="single" w:sz="8" w:space="0" w:color="006666"/>
            </w:tcBorders>
            <w:shd w:val="clear" w:color="auto" w:fill="auto"/>
            <w:noWrap/>
            <w:vAlign w:val="bottom"/>
          </w:tcPr>
          <w:p w14:paraId="1685CEE4"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129</w:t>
            </w:r>
          </w:p>
        </w:tc>
      </w:tr>
      <w:tr w:rsidR="001F27D2" w:rsidRPr="00580B37" w14:paraId="31E91443" w14:textId="77777777" w:rsidTr="001F27D2">
        <w:tc>
          <w:tcPr>
            <w:tcW w:w="968" w:type="pct"/>
            <w:tcBorders>
              <w:top w:val="nil"/>
              <w:left w:val="single" w:sz="8" w:space="0" w:color="006666"/>
              <w:bottom w:val="single" w:sz="8" w:space="0" w:color="006666"/>
              <w:right w:val="single" w:sz="8" w:space="0" w:color="006666"/>
            </w:tcBorders>
            <w:shd w:val="clear" w:color="auto" w:fill="auto"/>
            <w:noWrap/>
            <w:vAlign w:val="center"/>
            <w:hideMark/>
          </w:tcPr>
          <w:p w14:paraId="1D59E1EE"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2015/16</w:t>
            </w:r>
          </w:p>
        </w:tc>
        <w:tc>
          <w:tcPr>
            <w:tcW w:w="1230" w:type="pct"/>
            <w:tcBorders>
              <w:top w:val="nil"/>
              <w:left w:val="nil"/>
              <w:bottom w:val="single" w:sz="8" w:space="0" w:color="006666"/>
              <w:right w:val="single" w:sz="8" w:space="0" w:color="006666"/>
            </w:tcBorders>
            <w:shd w:val="clear" w:color="auto" w:fill="auto"/>
            <w:noWrap/>
            <w:vAlign w:val="bottom"/>
          </w:tcPr>
          <w:p w14:paraId="1C3D1B9D"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52</w:t>
            </w:r>
          </w:p>
        </w:tc>
        <w:tc>
          <w:tcPr>
            <w:tcW w:w="1319" w:type="pct"/>
            <w:tcBorders>
              <w:top w:val="nil"/>
              <w:left w:val="nil"/>
              <w:bottom w:val="single" w:sz="8" w:space="0" w:color="006666"/>
              <w:right w:val="single" w:sz="8" w:space="0" w:color="006666"/>
            </w:tcBorders>
            <w:shd w:val="clear" w:color="auto" w:fill="auto"/>
            <w:vAlign w:val="bottom"/>
          </w:tcPr>
          <w:p w14:paraId="6F5919B1"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206</w:t>
            </w:r>
          </w:p>
        </w:tc>
        <w:tc>
          <w:tcPr>
            <w:tcW w:w="1483" w:type="pct"/>
            <w:tcBorders>
              <w:top w:val="nil"/>
              <w:left w:val="nil"/>
              <w:bottom w:val="single" w:sz="8" w:space="0" w:color="006666"/>
              <w:right w:val="single" w:sz="8" w:space="0" w:color="006666"/>
            </w:tcBorders>
            <w:shd w:val="clear" w:color="auto" w:fill="auto"/>
            <w:noWrap/>
            <w:vAlign w:val="bottom"/>
          </w:tcPr>
          <w:p w14:paraId="483B9C54"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258</w:t>
            </w:r>
          </w:p>
        </w:tc>
      </w:tr>
      <w:tr w:rsidR="001F27D2" w:rsidRPr="00580B37" w14:paraId="18B3CF5C" w14:textId="77777777" w:rsidTr="001F27D2">
        <w:tc>
          <w:tcPr>
            <w:tcW w:w="968" w:type="pct"/>
            <w:tcBorders>
              <w:top w:val="nil"/>
              <w:left w:val="single" w:sz="8" w:space="0" w:color="006666"/>
              <w:bottom w:val="single" w:sz="8" w:space="0" w:color="006666"/>
              <w:right w:val="single" w:sz="8" w:space="0" w:color="006666"/>
            </w:tcBorders>
            <w:shd w:val="clear" w:color="auto" w:fill="auto"/>
            <w:noWrap/>
            <w:vAlign w:val="center"/>
            <w:hideMark/>
          </w:tcPr>
          <w:p w14:paraId="55BB2EB2"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2016/17</w:t>
            </w:r>
          </w:p>
        </w:tc>
        <w:tc>
          <w:tcPr>
            <w:tcW w:w="1230" w:type="pct"/>
            <w:tcBorders>
              <w:top w:val="nil"/>
              <w:left w:val="nil"/>
              <w:bottom w:val="single" w:sz="8" w:space="0" w:color="006666"/>
              <w:right w:val="single" w:sz="8" w:space="0" w:color="006666"/>
            </w:tcBorders>
            <w:shd w:val="clear" w:color="auto" w:fill="auto"/>
            <w:noWrap/>
            <w:vAlign w:val="bottom"/>
          </w:tcPr>
          <w:p w14:paraId="08FB5323"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34</w:t>
            </w:r>
          </w:p>
        </w:tc>
        <w:tc>
          <w:tcPr>
            <w:tcW w:w="1319" w:type="pct"/>
            <w:tcBorders>
              <w:top w:val="nil"/>
              <w:left w:val="nil"/>
              <w:bottom w:val="single" w:sz="8" w:space="0" w:color="006666"/>
              <w:right w:val="single" w:sz="8" w:space="0" w:color="006666"/>
            </w:tcBorders>
            <w:shd w:val="clear" w:color="auto" w:fill="auto"/>
            <w:vAlign w:val="bottom"/>
          </w:tcPr>
          <w:p w14:paraId="2CB10B7B"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164</w:t>
            </w:r>
          </w:p>
        </w:tc>
        <w:tc>
          <w:tcPr>
            <w:tcW w:w="1483" w:type="pct"/>
            <w:tcBorders>
              <w:top w:val="nil"/>
              <w:left w:val="nil"/>
              <w:bottom w:val="single" w:sz="8" w:space="0" w:color="006666"/>
              <w:right w:val="single" w:sz="8" w:space="0" w:color="006666"/>
            </w:tcBorders>
            <w:shd w:val="clear" w:color="auto" w:fill="auto"/>
            <w:noWrap/>
            <w:vAlign w:val="bottom"/>
          </w:tcPr>
          <w:p w14:paraId="1F123624"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198</w:t>
            </w:r>
          </w:p>
        </w:tc>
      </w:tr>
      <w:tr w:rsidR="001F27D2" w:rsidRPr="00580B37" w14:paraId="748BA05E" w14:textId="77777777" w:rsidTr="001F27D2">
        <w:tc>
          <w:tcPr>
            <w:tcW w:w="968" w:type="pct"/>
            <w:tcBorders>
              <w:top w:val="nil"/>
              <w:left w:val="single" w:sz="8" w:space="0" w:color="006666"/>
              <w:bottom w:val="single" w:sz="8" w:space="0" w:color="006666"/>
              <w:right w:val="single" w:sz="8" w:space="0" w:color="006666"/>
            </w:tcBorders>
            <w:shd w:val="clear" w:color="auto" w:fill="auto"/>
            <w:noWrap/>
            <w:vAlign w:val="center"/>
          </w:tcPr>
          <w:p w14:paraId="4526AC73" w14:textId="77777777" w:rsidR="001F27D2" w:rsidRPr="00580B37" w:rsidRDefault="001F27D2" w:rsidP="00580B37">
            <w:pPr>
              <w:spacing w:before="0" w:after="0"/>
              <w:rPr>
                <w:rFonts w:cs="Calibri"/>
                <w:color w:val="000000"/>
                <w:sz w:val="22"/>
                <w:szCs w:val="22"/>
              </w:rPr>
            </w:pPr>
            <w:r w:rsidRPr="00580B37">
              <w:rPr>
                <w:rFonts w:cs="Calibri"/>
                <w:color w:val="000000"/>
                <w:sz w:val="22"/>
                <w:szCs w:val="22"/>
              </w:rPr>
              <w:t>2017/18</w:t>
            </w:r>
          </w:p>
        </w:tc>
        <w:tc>
          <w:tcPr>
            <w:tcW w:w="1230" w:type="pct"/>
            <w:tcBorders>
              <w:top w:val="nil"/>
              <w:left w:val="nil"/>
              <w:bottom w:val="single" w:sz="8" w:space="0" w:color="006666"/>
              <w:right w:val="single" w:sz="8" w:space="0" w:color="006666"/>
            </w:tcBorders>
            <w:shd w:val="clear" w:color="auto" w:fill="auto"/>
            <w:noWrap/>
            <w:vAlign w:val="bottom"/>
          </w:tcPr>
          <w:p w14:paraId="77B2A22C"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35</w:t>
            </w:r>
          </w:p>
        </w:tc>
        <w:tc>
          <w:tcPr>
            <w:tcW w:w="1319" w:type="pct"/>
            <w:tcBorders>
              <w:top w:val="nil"/>
              <w:left w:val="nil"/>
              <w:bottom w:val="single" w:sz="8" w:space="0" w:color="006666"/>
              <w:right w:val="single" w:sz="8" w:space="0" w:color="006666"/>
            </w:tcBorders>
            <w:shd w:val="clear" w:color="auto" w:fill="auto"/>
            <w:vAlign w:val="bottom"/>
          </w:tcPr>
          <w:p w14:paraId="1B046F7E"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153</w:t>
            </w:r>
          </w:p>
        </w:tc>
        <w:tc>
          <w:tcPr>
            <w:tcW w:w="1483" w:type="pct"/>
            <w:tcBorders>
              <w:top w:val="nil"/>
              <w:left w:val="nil"/>
              <w:bottom w:val="single" w:sz="8" w:space="0" w:color="006666"/>
              <w:right w:val="single" w:sz="8" w:space="0" w:color="006666"/>
            </w:tcBorders>
            <w:shd w:val="clear" w:color="auto" w:fill="auto"/>
            <w:noWrap/>
            <w:vAlign w:val="bottom"/>
          </w:tcPr>
          <w:p w14:paraId="1435F1D8" w14:textId="77777777" w:rsidR="001F27D2" w:rsidRPr="00580B37" w:rsidRDefault="001F27D2" w:rsidP="00580B37">
            <w:pPr>
              <w:spacing w:before="0" w:after="0"/>
              <w:jc w:val="center"/>
              <w:rPr>
                <w:rFonts w:cs="Calibri"/>
                <w:color w:val="000000"/>
                <w:sz w:val="22"/>
                <w:szCs w:val="22"/>
              </w:rPr>
            </w:pPr>
            <w:r w:rsidRPr="00580B37">
              <w:rPr>
                <w:rFonts w:cs="Calibri"/>
                <w:color w:val="000000"/>
                <w:sz w:val="22"/>
                <w:szCs w:val="22"/>
              </w:rPr>
              <w:t>188</w:t>
            </w:r>
          </w:p>
        </w:tc>
      </w:tr>
      <w:tr w:rsidR="001F27D2" w:rsidRPr="00580B37" w14:paraId="28B71A78" w14:textId="77777777" w:rsidTr="001F27D2">
        <w:tc>
          <w:tcPr>
            <w:tcW w:w="968" w:type="pct"/>
            <w:tcBorders>
              <w:top w:val="nil"/>
              <w:left w:val="single" w:sz="8" w:space="0" w:color="006666"/>
              <w:bottom w:val="single" w:sz="8" w:space="0" w:color="006666"/>
              <w:right w:val="single" w:sz="8" w:space="0" w:color="006666"/>
            </w:tcBorders>
            <w:shd w:val="clear" w:color="auto" w:fill="auto"/>
            <w:noWrap/>
            <w:vAlign w:val="center"/>
            <w:hideMark/>
          </w:tcPr>
          <w:p w14:paraId="2B941921" w14:textId="77777777" w:rsidR="001F27D2" w:rsidRPr="00580B37" w:rsidRDefault="001F27D2" w:rsidP="00580B37">
            <w:pPr>
              <w:spacing w:before="0" w:after="0"/>
              <w:rPr>
                <w:rFonts w:cs="Calibri"/>
                <w:b/>
                <w:bCs/>
                <w:color w:val="000000"/>
                <w:sz w:val="22"/>
                <w:szCs w:val="22"/>
              </w:rPr>
            </w:pPr>
            <w:r w:rsidRPr="00580B37">
              <w:rPr>
                <w:rFonts w:cs="Calibri"/>
                <w:b/>
                <w:bCs/>
                <w:color w:val="000000"/>
                <w:sz w:val="22"/>
                <w:szCs w:val="22"/>
              </w:rPr>
              <w:t>15-year Total</w:t>
            </w:r>
          </w:p>
        </w:tc>
        <w:tc>
          <w:tcPr>
            <w:tcW w:w="1230" w:type="pct"/>
            <w:tcBorders>
              <w:top w:val="nil"/>
              <w:left w:val="nil"/>
              <w:bottom w:val="single" w:sz="8" w:space="0" w:color="006666"/>
              <w:right w:val="single" w:sz="8" w:space="0" w:color="006666"/>
            </w:tcBorders>
            <w:shd w:val="clear" w:color="auto" w:fill="auto"/>
            <w:noWrap/>
            <w:vAlign w:val="bottom"/>
          </w:tcPr>
          <w:p w14:paraId="6B94DEE0" w14:textId="77777777" w:rsidR="001F27D2" w:rsidRPr="00580B37" w:rsidRDefault="001F27D2" w:rsidP="00580B37">
            <w:pPr>
              <w:spacing w:before="0" w:after="0"/>
              <w:jc w:val="center"/>
              <w:rPr>
                <w:rFonts w:cs="Calibri"/>
                <w:b/>
                <w:bCs/>
                <w:color w:val="000000"/>
                <w:sz w:val="22"/>
                <w:szCs w:val="22"/>
              </w:rPr>
            </w:pPr>
            <w:r w:rsidRPr="00580B37">
              <w:rPr>
                <w:rFonts w:cs="Calibri"/>
                <w:color w:val="000000"/>
                <w:sz w:val="22"/>
                <w:szCs w:val="22"/>
              </w:rPr>
              <w:t>528</w:t>
            </w:r>
          </w:p>
        </w:tc>
        <w:tc>
          <w:tcPr>
            <w:tcW w:w="1319" w:type="pct"/>
            <w:tcBorders>
              <w:top w:val="nil"/>
              <w:left w:val="nil"/>
              <w:bottom w:val="single" w:sz="8" w:space="0" w:color="006666"/>
              <w:right w:val="single" w:sz="8" w:space="0" w:color="006666"/>
            </w:tcBorders>
            <w:shd w:val="clear" w:color="auto" w:fill="auto"/>
            <w:noWrap/>
            <w:vAlign w:val="bottom"/>
          </w:tcPr>
          <w:p w14:paraId="49373A0D" w14:textId="77777777" w:rsidR="001F27D2" w:rsidRPr="00580B37" w:rsidRDefault="001F27D2" w:rsidP="00580B37">
            <w:pPr>
              <w:spacing w:before="0" w:after="0"/>
              <w:jc w:val="center"/>
              <w:rPr>
                <w:rFonts w:cs="Calibri"/>
                <w:b/>
                <w:bCs/>
                <w:color w:val="000000"/>
                <w:sz w:val="22"/>
                <w:szCs w:val="22"/>
              </w:rPr>
            </w:pPr>
            <w:r w:rsidRPr="00580B37">
              <w:rPr>
                <w:rFonts w:cs="Calibri"/>
                <w:color w:val="000000"/>
                <w:sz w:val="22"/>
                <w:szCs w:val="22"/>
              </w:rPr>
              <w:t>2033</w:t>
            </w:r>
          </w:p>
        </w:tc>
        <w:tc>
          <w:tcPr>
            <w:tcW w:w="1483" w:type="pct"/>
            <w:tcBorders>
              <w:top w:val="nil"/>
              <w:left w:val="nil"/>
              <w:bottom w:val="single" w:sz="8" w:space="0" w:color="006666"/>
              <w:right w:val="single" w:sz="8" w:space="0" w:color="006666"/>
            </w:tcBorders>
            <w:shd w:val="clear" w:color="auto" w:fill="auto"/>
            <w:noWrap/>
            <w:vAlign w:val="bottom"/>
          </w:tcPr>
          <w:p w14:paraId="66BAD62B" w14:textId="77777777" w:rsidR="001F27D2" w:rsidRPr="00580B37" w:rsidRDefault="001F27D2" w:rsidP="00580B37">
            <w:pPr>
              <w:spacing w:before="0" w:after="0"/>
              <w:jc w:val="center"/>
              <w:rPr>
                <w:rFonts w:cs="Calibri"/>
                <w:b/>
                <w:bCs/>
                <w:color w:val="000000"/>
                <w:sz w:val="22"/>
                <w:szCs w:val="22"/>
              </w:rPr>
            </w:pPr>
            <w:r w:rsidRPr="00580B37">
              <w:rPr>
                <w:rFonts w:cs="Calibri"/>
                <w:color w:val="000000"/>
                <w:sz w:val="22"/>
                <w:szCs w:val="22"/>
              </w:rPr>
              <w:t>2561</w:t>
            </w:r>
          </w:p>
        </w:tc>
      </w:tr>
      <w:tr w:rsidR="001F27D2" w:rsidRPr="00580B37" w14:paraId="10A3B303" w14:textId="77777777" w:rsidTr="001F27D2">
        <w:tc>
          <w:tcPr>
            <w:tcW w:w="968" w:type="pct"/>
            <w:tcBorders>
              <w:top w:val="nil"/>
              <w:left w:val="single" w:sz="8" w:space="0" w:color="006666"/>
              <w:bottom w:val="single" w:sz="8" w:space="0" w:color="006666"/>
              <w:right w:val="single" w:sz="8" w:space="0" w:color="006666"/>
            </w:tcBorders>
            <w:shd w:val="clear" w:color="auto" w:fill="auto"/>
            <w:noWrap/>
            <w:vAlign w:val="center"/>
            <w:hideMark/>
          </w:tcPr>
          <w:p w14:paraId="137F482F" w14:textId="77777777" w:rsidR="001F27D2" w:rsidRPr="00580B37" w:rsidRDefault="001F27D2" w:rsidP="00580B37">
            <w:pPr>
              <w:spacing w:before="0" w:after="0"/>
              <w:rPr>
                <w:rFonts w:cs="Calibri"/>
                <w:b/>
                <w:bCs/>
                <w:color w:val="000000"/>
                <w:sz w:val="22"/>
                <w:szCs w:val="22"/>
              </w:rPr>
            </w:pPr>
            <w:r w:rsidRPr="00580B37">
              <w:rPr>
                <w:rFonts w:cs="Calibri"/>
                <w:b/>
                <w:bCs/>
                <w:color w:val="000000"/>
                <w:sz w:val="22"/>
                <w:szCs w:val="22"/>
              </w:rPr>
              <w:t>Annual Average</w:t>
            </w:r>
          </w:p>
        </w:tc>
        <w:tc>
          <w:tcPr>
            <w:tcW w:w="1230" w:type="pct"/>
            <w:tcBorders>
              <w:top w:val="nil"/>
              <w:left w:val="nil"/>
              <w:bottom w:val="single" w:sz="8" w:space="0" w:color="006666"/>
              <w:right w:val="single" w:sz="8" w:space="0" w:color="006666"/>
            </w:tcBorders>
            <w:shd w:val="clear" w:color="auto" w:fill="auto"/>
            <w:noWrap/>
            <w:vAlign w:val="center"/>
          </w:tcPr>
          <w:p w14:paraId="1500FDB5" w14:textId="77777777" w:rsidR="001F27D2" w:rsidRPr="00580B37" w:rsidRDefault="001F27D2" w:rsidP="00580B37">
            <w:pPr>
              <w:spacing w:before="0" w:after="0"/>
              <w:jc w:val="center"/>
              <w:rPr>
                <w:rFonts w:cs="Calibri"/>
                <w:b/>
                <w:bCs/>
                <w:color w:val="000000"/>
                <w:sz w:val="22"/>
                <w:szCs w:val="22"/>
              </w:rPr>
            </w:pPr>
            <w:r w:rsidRPr="00580B37">
              <w:rPr>
                <w:rFonts w:cs="Calibri"/>
                <w:b/>
                <w:bCs/>
                <w:color w:val="000000"/>
                <w:sz w:val="22"/>
                <w:szCs w:val="22"/>
              </w:rPr>
              <w:t>35</w:t>
            </w:r>
          </w:p>
        </w:tc>
        <w:tc>
          <w:tcPr>
            <w:tcW w:w="1319" w:type="pct"/>
            <w:tcBorders>
              <w:top w:val="nil"/>
              <w:left w:val="nil"/>
              <w:bottom w:val="single" w:sz="8" w:space="0" w:color="006666"/>
              <w:right w:val="single" w:sz="8" w:space="0" w:color="006666"/>
            </w:tcBorders>
            <w:shd w:val="clear" w:color="auto" w:fill="auto"/>
            <w:noWrap/>
            <w:vAlign w:val="center"/>
          </w:tcPr>
          <w:p w14:paraId="6211B8EE" w14:textId="77777777" w:rsidR="001F27D2" w:rsidRPr="00580B37" w:rsidRDefault="001F27D2" w:rsidP="00580B37">
            <w:pPr>
              <w:spacing w:before="0" w:after="0"/>
              <w:jc w:val="center"/>
              <w:rPr>
                <w:rFonts w:cs="Calibri"/>
                <w:b/>
                <w:bCs/>
                <w:color w:val="000000"/>
                <w:sz w:val="22"/>
                <w:szCs w:val="22"/>
              </w:rPr>
            </w:pPr>
            <w:r w:rsidRPr="00580B37">
              <w:rPr>
                <w:rFonts w:cs="Calibri"/>
                <w:b/>
                <w:bCs/>
                <w:color w:val="000000"/>
                <w:sz w:val="22"/>
                <w:szCs w:val="22"/>
              </w:rPr>
              <w:t>136</w:t>
            </w:r>
          </w:p>
        </w:tc>
        <w:tc>
          <w:tcPr>
            <w:tcW w:w="1483" w:type="pct"/>
            <w:tcBorders>
              <w:top w:val="nil"/>
              <w:left w:val="nil"/>
              <w:bottom w:val="single" w:sz="8" w:space="0" w:color="006666"/>
              <w:right w:val="single" w:sz="8" w:space="0" w:color="006666"/>
            </w:tcBorders>
            <w:shd w:val="clear" w:color="auto" w:fill="auto"/>
            <w:noWrap/>
            <w:vAlign w:val="center"/>
          </w:tcPr>
          <w:p w14:paraId="5CF07ACB" w14:textId="77777777" w:rsidR="001F27D2" w:rsidRPr="00580B37" w:rsidRDefault="001F27D2" w:rsidP="00580B37">
            <w:pPr>
              <w:spacing w:before="0" w:after="0"/>
              <w:jc w:val="center"/>
              <w:rPr>
                <w:rFonts w:cs="Calibri"/>
                <w:b/>
                <w:bCs/>
                <w:color w:val="000000"/>
                <w:sz w:val="22"/>
                <w:szCs w:val="22"/>
              </w:rPr>
            </w:pPr>
            <w:r w:rsidRPr="00580B37">
              <w:rPr>
                <w:rFonts w:cs="Calibri"/>
                <w:b/>
                <w:bCs/>
                <w:color w:val="000000"/>
                <w:sz w:val="22"/>
                <w:szCs w:val="22"/>
              </w:rPr>
              <w:t>171</w:t>
            </w:r>
          </w:p>
        </w:tc>
      </w:tr>
    </w:tbl>
    <w:p w14:paraId="731737D4" w14:textId="77777777" w:rsidR="001F27D2" w:rsidRPr="002B2A7F" w:rsidRDefault="001F27D2" w:rsidP="001F27D2">
      <w:pPr>
        <w:ind w:left="720"/>
        <w:rPr>
          <w:rFonts w:asciiTheme="minorHAnsi" w:hAnsiTheme="minorHAnsi" w:cs="Calibri"/>
          <w:sz w:val="20"/>
          <w:szCs w:val="20"/>
        </w:rPr>
      </w:pPr>
      <w:bookmarkStart w:id="364" w:name="_Toc520835926"/>
      <w:r w:rsidRPr="002B2A7F">
        <w:rPr>
          <w:rFonts w:asciiTheme="minorHAnsi" w:hAnsiTheme="minorHAnsi" w:cs="Calibri"/>
          <w:sz w:val="20"/>
          <w:szCs w:val="20"/>
        </w:rPr>
        <w:t>Source: Eden District Council data</w:t>
      </w:r>
    </w:p>
    <w:p w14:paraId="5CC5B3A1" w14:textId="77777777" w:rsidR="001F27D2" w:rsidRPr="002B2A7F" w:rsidRDefault="001F27D2" w:rsidP="001F27D2">
      <w:pPr>
        <w:rPr>
          <w:rFonts w:asciiTheme="minorHAnsi" w:hAnsiTheme="minorHAnsi" w:cs="Calibri"/>
          <w:b/>
          <w:color w:val="009999"/>
          <w:sz w:val="22"/>
          <w:shd w:val="clear" w:color="auto" w:fill="FFFFFF"/>
        </w:rPr>
      </w:pPr>
      <w:r w:rsidRPr="002B2A7F">
        <w:rPr>
          <w:rFonts w:asciiTheme="minorHAnsi" w:hAnsiTheme="minorHAnsi" w:cs="Calibri"/>
          <w:shd w:val="clear" w:color="auto" w:fill="FFFFFF"/>
        </w:rPr>
        <w:br w:type="page"/>
      </w:r>
    </w:p>
    <w:p w14:paraId="27890BD2" w14:textId="77777777" w:rsidR="001F27D2" w:rsidRPr="002B2A7F" w:rsidRDefault="001F27D2" w:rsidP="001F27D2">
      <w:pPr>
        <w:pStyle w:val="Figureheading0"/>
        <w:rPr>
          <w:rFonts w:asciiTheme="minorHAnsi" w:hAnsiTheme="minorHAnsi" w:cs="Calibri"/>
          <w:color w:val="FF0000"/>
          <w:highlight w:val="yellow"/>
          <w:shd w:val="clear" w:color="auto" w:fill="FFFFFF"/>
        </w:rPr>
      </w:pPr>
      <w:bookmarkStart w:id="365" w:name="_Toc524935621"/>
      <w:bookmarkStart w:id="366" w:name="_Toc532812528"/>
      <w:r w:rsidRPr="002B2A7F">
        <w:rPr>
          <w:rFonts w:asciiTheme="minorHAnsi" w:hAnsiTheme="minorHAnsi"/>
          <w:shd w:val="clear" w:color="auto" w:fill="FFFFFF"/>
        </w:rPr>
        <w:lastRenderedPageBreak/>
        <w:t>Figure 4.1</w:t>
      </w:r>
      <w:r w:rsidRPr="002B2A7F">
        <w:rPr>
          <w:rFonts w:asciiTheme="minorHAnsi" w:hAnsiTheme="minorHAnsi"/>
          <w:shd w:val="clear" w:color="auto" w:fill="FFFFFF"/>
        </w:rPr>
        <w:tab/>
        <w:t>Dwelling completions compared with the annual Core Strategy target</w:t>
      </w:r>
      <w:bookmarkEnd w:id="364"/>
      <w:bookmarkEnd w:id="365"/>
      <w:bookmarkEnd w:id="366"/>
    </w:p>
    <w:p w14:paraId="4F973315" w14:textId="77777777" w:rsidR="001F27D2" w:rsidRPr="002B2A7F" w:rsidRDefault="001F27D2" w:rsidP="001F27D2">
      <w:pPr>
        <w:rPr>
          <w:rFonts w:asciiTheme="minorHAnsi" w:hAnsiTheme="minorHAnsi" w:cs="Calibri"/>
          <w:sz w:val="20"/>
          <w:szCs w:val="20"/>
          <w:shd w:val="clear" w:color="auto" w:fill="FFFFFF"/>
        </w:rPr>
      </w:pPr>
      <w:r w:rsidRPr="002B2A7F">
        <w:rPr>
          <w:rFonts w:asciiTheme="minorHAnsi" w:hAnsiTheme="minorHAnsi"/>
          <w:noProof/>
          <w:lang w:eastAsia="en-GB"/>
        </w:rPr>
        <w:drawing>
          <wp:inline distT="0" distB="0" distL="0" distR="0" wp14:anchorId="360DFAB5" wp14:editId="5C704ECD">
            <wp:extent cx="5835650" cy="3383280"/>
            <wp:effectExtent l="0" t="0" r="12700" b="7620"/>
            <wp:docPr id="5" name="Chart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3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68F8484" w14:textId="77777777" w:rsidR="001F27D2" w:rsidRPr="002B2A7F" w:rsidRDefault="001F27D2" w:rsidP="001F27D2">
      <w:pPr>
        <w:rPr>
          <w:rFonts w:asciiTheme="minorHAnsi" w:hAnsiTheme="minorHAnsi" w:cs="Calibri"/>
          <w:sz w:val="20"/>
          <w:szCs w:val="20"/>
          <w:shd w:val="clear" w:color="auto" w:fill="FFFFFF"/>
        </w:rPr>
      </w:pPr>
      <w:r w:rsidRPr="002B2A7F">
        <w:rPr>
          <w:rFonts w:asciiTheme="minorHAnsi" w:hAnsiTheme="minorHAnsi" w:cs="Calibri"/>
          <w:sz w:val="20"/>
          <w:szCs w:val="20"/>
          <w:shd w:val="clear" w:color="auto" w:fill="FFFFFF"/>
        </w:rPr>
        <w:t>Source: Eden District Council</w:t>
      </w:r>
    </w:p>
    <w:p w14:paraId="7ADBBEA0" w14:textId="77777777" w:rsidR="001F27D2" w:rsidRPr="002B2A7F" w:rsidRDefault="001F27D2" w:rsidP="001F27D2">
      <w:pPr>
        <w:pStyle w:val="Reporttext"/>
        <w:numPr>
          <w:ilvl w:val="0"/>
          <w:numId w:val="0"/>
        </w:numPr>
        <w:rPr>
          <w:highlight w:val="yellow"/>
        </w:rPr>
      </w:pPr>
    </w:p>
    <w:p w14:paraId="5B2CF7EF" w14:textId="77777777" w:rsidR="001F27D2" w:rsidRPr="002B2A7F" w:rsidRDefault="001F27D2" w:rsidP="001F27D2">
      <w:pPr>
        <w:pStyle w:val="Heading2"/>
        <w:ind w:left="720" w:hanging="11"/>
        <w:rPr>
          <w:rFonts w:asciiTheme="minorHAnsi" w:hAnsiTheme="minorHAnsi" w:cs="Calibri"/>
          <w:highlight w:val="yellow"/>
        </w:rPr>
      </w:pPr>
      <w:bookmarkStart w:id="367" w:name="_Toc395193559"/>
      <w:bookmarkStart w:id="368" w:name="_Toc524935587"/>
      <w:bookmarkStart w:id="369" w:name="_Toc531122880"/>
      <w:bookmarkStart w:id="370" w:name="_Toc532812412"/>
      <w:bookmarkStart w:id="371" w:name="_Toc414279343"/>
      <w:r w:rsidRPr="002B2A7F">
        <w:rPr>
          <w:rFonts w:asciiTheme="minorHAnsi" w:hAnsiTheme="minorHAnsi" w:cs="Calibri"/>
        </w:rPr>
        <w:t>Concluding comments</w:t>
      </w:r>
      <w:bookmarkEnd w:id="367"/>
      <w:bookmarkEnd w:id="368"/>
      <w:bookmarkEnd w:id="369"/>
      <w:bookmarkEnd w:id="370"/>
    </w:p>
    <w:p w14:paraId="673076BF" w14:textId="202CD61A" w:rsidR="001F27D2" w:rsidRPr="002B2A7F" w:rsidRDefault="001F27D2" w:rsidP="001F27D2">
      <w:pPr>
        <w:pStyle w:val="Reporttext"/>
      </w:pPr>
      <w:r w:rsidRPr="002B2A7F">
        <w:t xml:space="preserve">The purpose of this chapter has been to explore the current housing market dynamics affecting and influencing the housing market within the </w:t>
      </w:r>
      <w:r w:rsidR="004F03B5">
        <w:t>D</w:t>
      </w:r>
      <w:r w:rsidRPr="002B2A7F">
        <w:t>istrict. This chapter has provided detail on the current profile of dwellings by type, tenure and size along with property condition and property prices.</w:t>
      </w:r>
    </w:p>
    <w:p w14:paraId="49485EF1" w14:textId="7AF65045" w:rsidR="001F27D2" w:rsidRPr="002B2A7F" w:rsidRDefault="001F27D2" w:rsidP="001F27D2">
      <w:pPr>
        <w:pStyle w:val="Reporttext"/>
      </w:pPr>
      <w:r w:rsidRPr="002B2A7F">
        <w:t>The</w:t>
      </w:r>
      <w:r w:rsidRPr="002B2A7F">
        <w:rPr>
          <w:vanish/>
        </w:rPr>
        <w:t xml:space="preserve"> </w:t>
      </w:r>
      <w:r w:rsidR="004F03B5">
        <w:t xml:space="preserve"> </w:t>
      </w:r>
      <w:r w:rsidRPr="002B2A7F">
        <w:t xml:space="preserve">majority of properties </w:t>
      </w:r>
      <w:r w:rsidRPr="002B2A7F">
        <w:rPr>
          <w:lang w:val="en-US"/>
        </w:rPr>
        <w:t xml:space="preserve">in the </w:t>
      </w:r>
      <w:r w:rsidR="004F03B5">
        <w:rPr>
          <w:lang w:val="en-US"/>
        </w:rPr>
        <w:t>D</w:t>
      </w:r>
      <w:r w:rsidRPr="002B2A7F">
        <w:rPr>
          <w:lang w:val="en-US"/>
        </w:rPr>
        <w:t>istrict</w:t>
      </w:r>
      <w:r w:rsidRPr="002B2A7F">
        <w:t xml:space="preserve"> are houses (74.5%), 15.2% are bungalows and 10.3% are flats/apartments/maisonettes. 32.6% of properties have one or two bedrooms, 45.6% of properties have three bedrooms and a further 21.8% have four or more bedrooms.  </w:t>
      </w:r>
    </w:p>
    <w:p w14:paraId="786F306B" w14:textId="3721DC1C" w:rsidR="001F27D2" w:rsidRPr="002B2A7F" w:rsidRDefault="001F27D2" w:rsidP="001F27D2">
      <w:pPr>
        <w:pStyle w:val="Reporttext"/>
      </w:pPr>
      <w:r w:rsidRPr="002B2A7F">
        <w:t xml:space="preserve">While 70.3% of households live in owner occupation and a further 18.6% in private rented accommodation, an analysis of house prices indicates that open market housing has become increasingly unaffordable in the </w:t>
      </w:r>
      <w:r w:rsidR="004F03B5">
        <w:t>D</w:t>
      </w:r>
      <w:r w:rsidRPr="002B2A7F">
        <w:t xml:space="preserve">istrict. Despite this, the 2018 </w:t>
      </w:r>
      <w:r w:rsidR="004F03B5">
        <w:t>h</w:t>
      </w:r>
      <w:r w:rsidRPr="002B2A7F">
        <w:t xml:space="preserve">ousehold </w:t>
      </w:r>
      <w:r w:rsidR="004F03B5">
        <w:t>s</w:t>
      </w:r>
      <w:r w:rsidRPr="002B2A7F">
        <w:t xml:space="preserve">urvey reveals that only 11.1% of the housing stock is affordable accommodation. </w:t>
      </w:r>
    </w:p>
    <w:p w14:paraId="5CA17626" w14:textId="629E5891" w:rsidR="001F27D2" w:rsidRPr="002B2A7F" w:rsidRDefault="001F27D2" w:rsidP="001F27D2">
      <w:pPr>
        <w:pStyle w:val="Reporttext"/>
      </w:pPr>
      <w:r w:rsidRPr="002B2A7F">
        <w:t xml:space="preserve">Within the </w:t>
      </w:r>
      <w:r w:rsidR="004F03B5">
        <w:t>D</w:t>
      </w:r>
      <w:r w:rsidRPr="002B2A7F">
        <w:t xml:space="preserve">istrict, the dwelling type and size profile in HMA 1B Penrith Urban differs from other areas. </w:t>
      </w:r>
    </w:p>
    <w:p w14:paraId="393E849E" w14:textId="134655BC" w:rsidR="003106AD" w:rsidRDefault="001F27D2" w:rsidP="001F27D2">
      <w:pPr>
        <w:pStyle w:val="Reporttext"/>
      </w:pPr>
      <w:r w:rsidRPr="002B2A7F">
        <w:t>The relative affordability of alternative tenures has been analysed and overall a household income of at least £20,200 is required for social rent (excluding housing benefit). In terms of open market options, an income of £22,896 is needed for entry-level market renting (lower quartile) and £34,714 for entry-level open market purchase (lower quartile).</w:t>
      </w:r>
    </w:p>
    <w:p w14:paraId="0C53D9F4" w14:textId="77777777" w:rsidR="003106AD" w:rsidRDefault="003106AD">
      <w:pPr>
        <w:spacing w:before="0" w:after="0"/>
        <w:jc w:val="left"/>
        <w:rPr>
          <w:rFonts w:asciiTheme="minorHAnsi" w:hAnsiTheme="minorHAnsi" w:cs="Calibri"/>
        </w:rPr>
      </w:pPr>
      <w:r>
        <w:br w:type="page"/>
      </w:r>
    </w:p>
    <w:p w14:paraId="2E72820F" w14:textId="0CCCC5B7" w:rsidR="001F27D2" w:rsidRPr="002B2A7F" w:rsidRDefault="001F27D2" w:rsidP="001F27D2">
      <w:pPr>
        <w:pStyle w:val="Heading1"/>
        <w:spacing w:before="0"/>
        <w:jc w:val="left"/>
        <w:rPr>
          <w:rFonts w:asciiTheme="minorHAnsi" w:hAnsiTheme="minorHAnsi"/>
        </w:rPr>
      </w:pPr>
      <w:bookmarkStart w:id="372" w:name="_Toc395193560"/>
      <w:bookmarkStart w:id="373" w:name="_Toc524935588"/>
      <w:bookmarkStart w:id="374" w:name="_Toc531122881"/>
      <w:bookmarkStart w:id="375" w:name="_Toc532812413"/>
      <w:bookmarkEnd w:id="371"/>
      <w:r w:rsidRPr="002B2A7F">
        <w:rPr>
          <w:rFonts w:asciiTheme="minorHAnsi" w:hAnsiTheme="minorHAnsi"/>
        </w:rPr>
        <w:lastRenderedPageBreak/>
        <w:t xml:space="preserve">Affordable housing need </w:t>
      </w:r>
      <w:bookmarkEnd w:id="372"/>
      <w:r w:rsidRPr="002B2A7F">
        <w:rPr>
          <w:rFonts w:asciiTheme="minorHAnsi" w:hAnsiTheme="minorHAnsi"/>
        </w:rPr>
        <w:t>and the needs of different groups</w:t>
      </w:r>
      <w:bookmarkEnd w:id="373"/>
      <w:bookmarkEnd w:id="374"/>
      <w:bookmarkEnd w:id="375"/>
    </w:p>
    <w:p w14:paraId="293DFCD2" w14:textId="77777777" w:rsidR="001F27D2" w:rsidRPr="002B2A7F" w:rsidRDefault="001F27D2" w:rsidP="001F27D2">
      <w:pPr>
        <w:pStyle w:val="Heading2"/>
        <w:rPr>
          <w:rFonts w:asciiTheme="minorHAnsi" w:hAnsiTheme="minorHAnsi" w:cs="Calibri"/>
        </w:rPr>
      </w:pPr>
      <w:bookmarkStart w:id="376" w:name="_Toc531122882"/>
      <w:bookmarkStart w:id="377" w:name="_Toc532812414"/>
      <w:bookmarkStart w:id="378" w:name="_Toc524935589"/>
      <w:r w:rsidRPr="002B2A7F">
        <w:rPr>
          <w:rFonts w:asciiTheme="minorHAnsi" w:hAnsiTheme="minorHAnsi"/>
        </w:rPr>
        <w:t>Introduction</w:t>
      </w:r>
      <w:bookmarkEnd w:id="376"/>
      <w:bookmarkEnd w:id="377"/>
    </w:p>
    <w:p w14:paraId="4A18CE3E" w14:textId="77777777" w:rsidR="001F27D2" w:rsidRPr="002B2A7F" w:rsidRDefault="001F27D2" w:rsidP="001F27D2">
      <w:pPr>
        <w:pStyle w:val="Reporttext"/>
      </w:pPr>
      <w:r w:rsidRPr="002B2A7F">
        <w:t>The 2018 NPPF (Paragraph 61) requires that the size, type and tenure of housing needed for different groups in the community should be assessed and reflected in planning policy. It sets out that these should include, but not be limited to, those who require affordable housing, families with children, older people, students, people with disabilities, service families, travellers, people who rent their homes and people wishing to commission or build their own homes.</w:t>
      </w:r>
    </w:p>
    <w:p w14:paraId="34AD0514" w14:textId="77777777" w:rsidR="001F27D2" w:rsidRPr="002B2A7F" w:rsidRDefault="001F27D2" w:rsidP="001F27D2">
      <w:pPr>
        <w:pStyle w:val="Reporttext"/>
      </w:pPr>
      <w:r w:rsidRPr="002B2A7F">
        <w:t>The 2018 NPPF (Paragraph 62) also states that where a need for affordable housing is identified, planning policies should specify the type of affordable housing required.</w:t>
      </w:r>
    </w:p>
    <w:p w14:paraId="6CA8A0F6" w14:textId="77777777" w:rsidR="001F27D2" w:rsidRPr="002B2A7F" w:rsidRDefault="001F27D2" w:rsidP="001F27D2">
      <w:pPr>
        <w:pStyle w:val="Reporttext"/>
      </w:pPr>
      <w:r w:rsidRPr="002B2A7F">
        <w:t>The 2018 PPG considers how the housing need of particular groups relates to overall housing need calculated using the standard model:</w:t>
      </w:r>
    </w:p>
    <w:p w14:paraId="1C33EF43" w14:textId="77777777" w:rsidR="001F27D2" w:rsidRPr="002B2A7F" w:rsidRDefault="001F27D2" w:rsidP="001F27D2">
      <w:pPr>
        <w:pStyle w:val="Reporttext"/>
        <w:numPr>
          <w:ilvl w:val="0"/>
          <w:numId w:val="0"/>
        </w:numPr>
        <w:ind w:left="709"/>
      </w:pPr>
      <w:r w:rsidRPr="002B2A7F">
        <w:t>‘The need for housing for particular groups of people may well exceed, or be proportionally high in relation to, the overall housing need figure calculated using the standard method. This is on the basis that the needs of particular groups will often be calculated having consideration to the whole population of an area as a baseline as opposed to the projected new households which form the baseline for the standard method.</w:t>
      </w:r>
    </w:p>
    <w:p w14:paraId="0F6E946A" w14:textId="77777777" w:rsidR="001F27D2" w:rsidRPr="002B2A7F" w:rsidRDefault="001F27D2" w:rsidP="001F27D2">
      <w:pPr>
        <w:pStyle w:val="Reporttext"/>
        <w:numPr>
          <w:ilvl w:val="0"/>
          <w:numId w:val="0"/>
        </w:numPr>
        <w:ind w:left="709"/>
      </w:pPr>
      <w:r w:rsidRPr="002B2A7F">
        <w:t>When producing policies to address the need of specific groups strategic policy-making authorities will need to consider how the needs of individual groups can be addressed within the constraint of the overall need established.</w:t>
      </w:r>
    </w:p>
    <w:p w14:paraId="20406D64" w14:textId="40A72CAE" w:rsidR="001F27D2" w:rsidRPr="002B2A7F" w:rsidRDefault="001F27D2" w:rsidP="001F27D2">
      <w:pPr>
        <w:pStyle w:val="Reporttext"/>
        <w:numPr>
          <w:ilvl w:val="0"/>
          <w:numId w:val="0"/>
        </w:numPr>
        <w:ind w:left="709"/>
        <w:rPr>
          <w:shd w:val="clear" w:color="auto" w:fill="FFFFFF"/>
        </w:rPr>
      </w:pPr>
      <w:r w:rsidRPr="002B2A7F">
        <w:rPr>
          <w:shd w:val="clear" w:color="auto" w:fill="FFFFFF"/>
        </w:rPr>
        <w:t>The standard method for assessing housing need does not breakdown the overall figure into different types of housing. Therefore</w:t>
      </w:r>
      <w:r w:rsidR="00396227">
        <w:rPr>
          <w:shd w:val="clear" w:color="auto" w:fill="FFFFFF"/>
        </w:rPr>
        <w:t>,</w:t>
      </w:r>
      <w:r w:rsidRPr="002B2A7F">
        <w:rPr>
          <w:shd w:val="clear" w:color="auto" w:fill="FFFFFF"/>
        </w:rPr>
        <w:t xml:space="preserve"> the need for particular sizes, types and tenures of homes as well as the housing needs of particular groups should be considered separately.</w:t>
      </w:r>
    </w:p>
    <w:p w14:paraId="62B168B9" w14:textId="3FDD175C" w:rsidR="001F27D2" w:rsidRPr="002B2A7F" w:rsidRDefault="001F27D2" w:rsidP="001F27D2">
      <w:pPr>
        <w:pStyle w:val="Reporttext"/>
        <w:numPr>
          <w:ilvl w:val="0"/>
          <w:numId w:val="0"/>
        </w:numPr>
        <w:ind w:left="709"/>
      </w:pPr>
      <w:r w:rsidRPr="002B2A7F">
        <w:rPr>
          <w:shd w:val="clear" w:color="auto" w:fill="FFFFFF"/>
        </w:rPr>
        <w:t>The household projections that form the baseline of the standard method are inclusive of all households including Gypsies and Travellers as defined with</w:t>
      </w:r>
      <w:r w:rsidR="000C4687">
        <w:rPr>
          <w:shd w:val="clear" w:color="auto" w:fill="FFFFFF"/>
        </w:rPr>
        <w:t>in</w:t>
      </w:r>
      <w:r w:rsidRPr="002B2A7F">
        <w:rPr>
          <w:shd w:val="clear" w:color="auto" w:fill="FFFFFF"/>
        </w:rPr>
        <w:t xml:space="preserve"> Planning Policy for Traveller Sites’</w:t>
      </w:r>
      <w:r w:rsidRPr="002B2A7F">
        <w:rPr>
          <w:rStyle w:val="FootnoteReference"/>
          <w:i/>
          <w:color w:val="0B0C0C"/>
          <w:shd w:val="clear" w:color="auto" w:fill="FFFFFF"/>
        </w:rPr>
        <w:footnoteReference w:id="14"/>
      </w:r>
    </w:p>
    <w:p w14:paraId="4B0B616A" w14:textId="77777777" w:rsidR="001F27D2" w:rsidRPr="002B2A7F" w:rsidRDefault="001F27D2" w:rsidP="001F27D2">
      <w:pPr>
        <w:pStyle w:val="Reporttext"/>
      </w:pPr>
      <w:r w:rsidRPr="002B2A7F">
        <w:t>In considering the need for different types of housing, the 2018 PPG makes specific reference to: affordable housing, housing for older people, housing for people with disabilities, the private rented sector, self-build and custom housebuilding and student housing.</w:t>
      </w:r>
    </w:p>
    <w:p w14:paraId="0EA5020B" w14:textId="4118D52A" w:rsidR="001F27D2" w:rsidRPr="002B2A7F" w:rsidRDefault="001F27D2" w:rsidP="001F27D2">
      <w:pPr>
        <w:pStyle w:val="Reporttext"/>
      </w:pPr>
      <w:r w:rsidRPr="002B2A7F">
        <w:t xml:space="preserve">This chapter uses evidence from secondary data sources and the household survey to assess affordable housing requirements in the </w:t>
      </w:r>
      <w:r w:rsidR="00396227">
        <w:t>D</w:t>
      </w:r>
      <w:r w:rsidRPr="002B2A7F">
        <w:t>istrict.</w:t>
      </w:r>
      <w:r w:rsidRPr="002B2A7F">
        <w:rPr>
          <w:lang w:val="en-US"/>
        </w:rPr>
        <w:t xml:space="preserve"> Chapter 6 then</w:t>
      </w:r>
      <w:r w:rsidRPr="002B2A7F">
        <w:t xml:space="preserve"> considers the needs of particular groups through primary and secondary data analysis and through discussions with key stakeholders. The evidence presented will assist the Council and its strategic partners in making policy decisions regarding future housing development. </w:t>
      </w:r>
    </w:p>
    <w:p w14:paraId="6B4C0E00" w14:textId="77777777" w:rsidR="001F27D2" w:rsidRPr="002B2A7F" w:rsidRDefault="001F27D2" w:rsidP="001F27D2">
      <w:pPr>
        <w:pStyle w:val="Reporttext"/>
        <w:numPr>
          <w:ilvl w:val="0"/>
          <w:numId w:val="0"/>
        </w:numPr>
        <w:ind w:left="709"/>
      </w:pPr>
    </w:p>
    <w:p w14:paraId="5FC20411" w14:textId="77777777" w:rsidR="001F27D2" w:rsidRPr="002B2A7F" w:rsidRDefault="001F27D2" w:rsidP="001F27D2">
      <w:pPr>
        <w:pStyle w:val="Heading2"/>
        <w:ind w:left="720" w:hanging="11"/>
        <w:rPr>
          <w:rFonts w:asciiTheme="minorHAnsi" w:hAnsiTheme="minorHAnsi"/>
        </w:rPr>
      </w:pPr>
      <w:bookmarkStart w:id="379" w:name="_Toc397250564"/>
      <w:bookmarkStart w:id="380" w:name="_Toc524947338"/>
      <w:bookmarkStart w:id="381" w:name="_Toc529651996"/>
      <w:bookmarkStart w:id="382" w:name="_Toc529780759"/>
      <w:bookmarkStart w:id="383" w:name="_Toc531122883"/>
      <w:bookmarkStart w:id="384" w:name="_Toc532812415"/>
      <w:r w:rsidRPr="002B2A7F">
        <w:rPr>
          <w:rFonts w:asciiTheme="minorHAnsi" w:hAnsiTheme="minorHAnsi"/>
        </w:rPr>
        <w:lastRenderedPageBreak/>
        <w:t>Affordable Housing Needs Assessment</w:t>
      </w:r>
      <w:bookmarkEnd w:id="379"/>
      <w:bookmarkEnd w:id="380"/>
      <w:bookmarkEnd w:id="381"/>
      <w:bookmarkEnd w:id="382"/>
      <w:bookmarkEnd w:id="383"/>
      <w:bookmarkEnd w:id="384"/>
    </w:p>
    <w:p w14:paraId="3122F9EF" w14:textId="77777777" w:rsidR="001F27D2" w:rsidRPr="002B2A7F" w:rsidRDefault="001F27D2" w:rsidP="001F27D2">
      <w:pPr>
        <w:pStyle w:val="Reporttext"/>
      </w:pPr>
      <w:r w:rsidRPr="002B2A7F">
        <w:t>As set out in the 2018 NPPF, a robust and defensible assessment of affordable housing need is essential for the development of housing policies.</w:t>
      </w:r>
    </w:p>
    <w:p w14:paraId="25DB2609" w14:textId="77777777" w:rsidR="001F27D2" w:rsidRPr="002B2A7F" w:rsidRDefault="001F27D2" w:rsidP="001F27D2">
      <w:pPr>
        <w:pStyle w:val="Reporttext"/>
      </w:pPr>
      <w:r w:rsidRPr="002B2A7F">
        <w:t>The 2018 NPPF defines affordable housing as follows:</w:t>
      </w:r>
    </w:p>
    <w:p w14:paraId="634EE36F" w14:textId="77777777" w:rsidR="001F27D2" w:rsidRPr="002B2A7F" w:rsidRDefault="001F27D2" w:rsidP="001F27D2">
      <w:pPr>
        <w:pStyle w:val="Reporttext"/>
        <w:numPr>
          <w:ilvl w:val="0"/>
          <w:numId w:val="0"/>
        </w:numPr>
        <w:ind w:left="709"/>
      </w:pPr>
      <w:r w:rsidRPr="002B2A7F">
        <w:t>‘housing for sale or rent, for those whose needs are not met by the market (including housing that provides a subsidised route to home ownership and/or is for essential local workers)…’ (Annex 2).</w:t>
      </w:r>
    </w:p>
    <w:p w14:paraId="6478140E" w14:textId="77777777" w:rsidR="001F27D2" w:rsidRPr="002B2A7F" w:rsidRDefault="001F27D2" w:rsidP="001F27D2">
      <w:pPr>
        <w:pStyle w:val="Reporttext"/>
      </w:pPr>
      <w:r w:rsidRPr="002B2A7F">
        <w:t>The 2018 NPPF provides detailed definitions of different forms of affordable housing. These definitions are set out in Chapter 1 of this report.</w:t>
      </w:r>
    </w:p>
    <w:p w14:paraId="6DA64B27" w14:textId="77777777" w:rsidR="001F27D2" w:rsidRPr="002B2A7F" w:rsidRDefault="001F27D2" w:rsidP="001F27D2">
      <w:pPr>
        <w:pStyle w:val="Reporttext"/>
      </w:pPr>
      <w:r w:rsidRPr="002B2A7F">
        <w:t xml:space="preserve">This section considers affordable housing need for those households who cannot afford to meet their needs in the open market through home ownership or private rental. </w:t>
      </w:r>
    </w:p>
    <w:p w14:paraId="1F9E10DB" w14:textId="77777777" w:rsidR="001F27D2" w:rsidRPr="002B2A7F" w:rsidRDefault="001F27D2" w:rsidP="001F27D2">
      <w:pPr>
        <w:pStyle w:val="Reporttext"/>
      </w:pPr>
      <w:r w:rsidRPr="002B2A7F">
        <w:t>PPG 2018 states ‘all households whose needs are not met by the market can be considered (to be) in affordable housing need’</w:t>
      </w:r>
      <w:r w:rsidRPr="002B2A7F">
        <w:rPr>
          <w:rStyle w:val="FootnoteReference"/>
        </w:rPr>
        <w:footnoteReference w:id="15"/>
      </w:r>
      <w:r w:rsidRPr="002B2A7F">
        <w:t>.</w:t>
      </w:r>
    </w:p>
    <w:p w14:paraId="0DF95470" w14:textId="77777777" w:rsidR="001F27D2" w:rsidRPr="002B2A7F" w:rsidRDefault="001F27D2" w:rsidP="001F27D2">
      <w:pPr>
        <w:pStyle w:val="Reporttext"/>
      </w:pPr>
      <w:r w:rsidRPr="002B2A7F">
        <w:t xml:space="preserve">A detailed analysis of the following factors determines the extent to which there is a shortfall of affordable housing: </w:t>
      </w:r>
    </w:p>
    <w:p w14:paraId="31290CFA" w14:textId="77777777" w:rsidR="001F27D2" w:rsidRPr="002B2A7F" w:rsidRDefault="001F27D2" w:rsidP="001F27D2">
      <w:pPr>
        <w:pStyle w:val="bullet"/>
        <w:spacing w:before="0"/>
        <w:jc w:val="left"/>
        <w:rPr>
          <w:rFonts w:asciiTheme="minorHAnsi" w:eastAsia="Arial" w:hAnsiTheme="minorHAnsi"/>
        </w:rPr>
      </w:pPr>
      <w:r w:rsidRPr="002B2A7F">
        <w:rPr>
          <w:rFonts w:asciiTheme="minorHAnsi" w:eastAsia="Arial" w:hAnsiTheme="minorHAnsi"/>
        </w:rPr>
        <w:t>households currently in housing which is unsuitable for their use and who are unable to afford to buy or rent in the market (backlog need); and those who can afford private rent but cannot afford to buy;</w:t>
      </w:r>
    </w:p>
    <w:p w14:paraId="0EE3A6D1" w14:textId="77777777" w:rsidR="001F27D2" w:rsidRPr="002B2A7F" w:rsidRDefault="001F27D2" w:rsidP="001F27D2">
      <w:pPr>
        <w:pStyle w:val="bullet"/>
        <w:spacing w:before="0"/>
        <w:jc w:val="left"/>
        <w:rPr>
          <w:rFonts w:asciiTheme="minorHAnsi" w:eastAsia="Arial" w:hAnsiTheme="minorHAnsi"/>
        </w:rPr>
      </w:pPr>
      <w:r w:rsidRPr="002B2A7F">
        <w:rPr>
          <w:rFonts w:asciiTheme="minorHAnsi" w:eastAsia="Arial" w:hAnsiTheme="minorHAnsi"/>
        </w:rPr>
        <w:t>new households forming who cannot afford to buy or rent in the market;</w:t>
      </w:r>
    </w:p>
    <w:p w14:paraId="4E836B27" w14:textId="77777777" w:rsidR="001F27D2" w:rsidRPr="002B2A7F" w:rsidRDefault="001F27D2" w:rsidP="001F27D2">
      <w:pPr>
        <w:pStyle w:val="bullet"/>
        <w:spacing w:before="0"/>
        <w:jc w:val="left"/>
        <w:rPr>
          <w:rFonts w:asciiTheme="minorHAnsi" w:eastAsia="Arial" w:hAnsiTheme="minorHAnsi"/>
        </w:rPr>
      </w:pPr>
      <w:r w:rsidRPr="002B2A7F">
        <w:rPr>
          <w:rFonts w:asciiTheme="minorHAnsi" w:eastAsia="Arial" w:hAnsiTheme="minorHAnsi"/>
        </w:rPr>
        <w:t>existing households expected to fall into need; and</w:t>
      </w:r>
    </w:p>
    <w:p w14:paraId="22B29F18" w14:textId="77777777" w:rsidR="001F27D2" w:rsidRPr="002B2A7F" w:rsidRDefault="001F27D2" w:rsidP="001F27D2">
      <w:pPr>
        <w:pStyle w:val="bullet"/>
        <w:spacing w:before="0"/>
        <w:jc w:val="left"/>
        <w:rPr>
          <w:rFonts w:asciiTheme="minorHAnsi" w:eastAsia="Arial" w:hAnsiTheme="minorHAnsi"/>
        </w:rPr>
      </w:pPr>
      <w:r w:rsidRPr="002B2A7F">
        <w:rPr>
          <w:rFonts w:asciiTheme="minorHAnsi" w:eastAsia="Arial" w:hAnsiTheme="minorHAnsi"/>
        </w:rPr>
        <w:t>the supply of affordable housing through social/affordable renting and intermediate tenure stock.</w:t>
      </w:r>
    </w:p>
    <w:p w14:paraId="398E3316" w14:textId="09C53224" w:rsidR="001F27D2" w:rsidRPr="002B2A7F" w:rsidRDefault="001F27D2" w:rsidP="001F27D2">
      <w:pPr>
        <w:pStyle w:val="Reporttext"/>
      </w:pPr>
      <w:r w:rsidRPr="002B2A7F">
        <w:rPr>
          <w:lang w:val="en-US"/>
        </w:rPr>
        <w:t xml:space="preserve">Two sources of evidence have been considered in the assessment of affordable housing need: firstly, analysis based on </w:t>
      </w:r>
      <w:r w:rsidR="00396227">
        <w:rPr>
          <w:lang w:val="en-US"/>
        </w:rPr>
        <w:t>h</w:t>
      </w:r>
      <w:r w:rsidRPr="002B2A7F">
        <w:rPr>
          <w:lang w:val="en-US"/>
        </w:rPr>
        <w:t xml:space="preserve">ousehold </w:t>
      </w:r>
      <w:r w:rsidR="00396227">
        <w:rPr>
          <w:lang w:val="en-US"/>
        </w:rPr>
        <w:t>s</w:t>
      </w:r>
      <w:r w:rsidRPr="002B2A7F">
        <w:rPr>
          <w:lang w:val="en-US"/>
        </w:rPr>
        <w:t>urvey evidence and relevant secondary data; and secondly analysis based on the Council’s housing register.</w:t>
      </w:r>
    </w:p>
    <w:p w14:paraId="1F4AA4E4" w14:textId="77777777" w:rsidR="001F27D2" w:rsidRPr="002B2A7F" w:rsidRDefault="001F27D2" w:rsidP="001F27D2">
      <w:pPr>
        <w:pStyle w:val="Reporttext"/>
        <w:numPr>
          <w:ilvl w:val="0"/>
          <w:numId w:val="0"/>
        </w:numPr>
        <w:ind w:left="709"/>
      </w:pPr>
    </w:p>
    <w:p w14:paraId="0DA486C3" w14:textId="4BFF459C" w:rsidR="001F27D2" w:rsidRPr="002B2A7F" w:rsidRDefault="001F27D2" w:rsidP="001F27D2">
      <w:pPr>
        <w:pStyle w:val="Heading3"/>
        <w:rPr>
          <w:rFonts w:asciiTheme="minorHAnsi" w:hAnsiTheme="minorHAnsi"/>
        </w:rPr>
      </w:pPr>
      <w:r w:rsidRPr="002B2A7F">
        <w:rPr>
          <w:rFonts w:asciiTheme="minorHAnsi" w:hAnsiTheme="minorHAnsi"/>
        </w:rPr>
        <w:t xml:space="preserve">Assessing affordable housing need using the 2018 </w:t>
      </w:r>
      <w:r w:rsidR="00396227">
        <w:rPr>
          <w:rFonts w:asciiTheme="minorHAnsi" w:hAnsiTheme="minorHAnsi"/>
        </w:rPr>
        <w:t>h</w:t>
      </w:r>
      <w:r w:rsidRPr="002B2A7F">
        <w:rPr>
          <w:rFonts w:asciiTheme="minorHAnsi" w:hAnsiTheme="minorHAnsi"/>
        </w:rPr>
        <w:t xml:space="preserve">ousehold </w:t>
      </w:r>
      <w:r w:rsidR="00396227">
        <w:rPr>
          <w:rFonts w:asciiTheme="minorHAnsi" w:hAnsiTheme="minorHAnsi"/>
        </w:rPr>
        <w:t>s</w:t>
      </w:r>
      <w:r w:rsidRPr="002B2A7F">
        <w:rPr>
          <w:rFonts w:asciiTheme="minorHAnsi" w:hAnsiTheme="minorHAnsi"/>
        </w:rPr>
        <w:t>urvey</w:t>
      </w:r>
    </w:p>
    <w:p w14:paraId="7BD2A8B3" w14:textId="4B180D39" w:rsidR="001F27D2" w:rsidRPr="002B2A7F" w:rsidRDefault="001F27D2" w:rsidP="001F27D2">
      <w:pPr>
        <w:pStyle w:val="Reporttext"/>
      </w:pPr>
      <w:r w:rsidRPr="002B2A7F">
        <w:rPr>
          <w:lang w:val="en-US"/>
        </w:rPr>
        <w:t xml:space="preserve">The 2018 </w:t>
      </w:r>
      <w:r w:rsidR="00396227">
        <w:rPr>
          <w:lang w:val="en-US"/>
        </w:rPr>
        <w:t>h</w:t>
      </w:r>
      <w:r w:rsidRPr="002B2A7F">
        <w:rPr>
          <w:lang w:val="en-US"/>
        </w:rPr>
        <w:t xml:space="preserve">ousehold </w:t>
      </w:r>
      <w:r w:rsidR="00396227">
        <w:rPr>
          <w:lang w:val="en-US"/>
        </w:rPr>
        <w:t>s</w:t>
      </w:r>
      <w:r w:rsidRPr="002B2A7F">
        <w:rPr>
          <w:lang w:val="en-US"/>
        </w:rPr>
        <w:t xml:space="preserve">urvey provided a range of evidence on the scale and range of need within communities across the </w:t>
      </w:r>
      <w:r w:rsidR="00396227">
        <w:rPr>
          <w:lang w:val="en-US"/>
        </w:rPr>
        <w:t>D</w:t>
      </w:r>
      <w:r w:rsidRPr="002B2A7F">
        <w:rPr>
          <w:lang w:val="en-US"/>
        </w:rPr>
        <w:t>istrict. Detailed analysis is presented</w:t>
      </w:r>
      <w:r w:rsidRPr="002B2A7F">
        <w:t xml:space="preserve"> </w:t>
      </w:r>
      <w:r w:rsidR="00552F21">
        <w:t xml:space="preserve">at </w:t>
      </w:r>
      <w:r w:rsidRPr="002B2A7F">
        <w:t xml:space="preserve">Appendix C of this report and follows PPG. </w:t>
      </w:r>
    </w:p>
    <w:p w14:paraId="5B9ECE44" w14:textId="6C778360" w:rsidR="001F27D2" w:rsidRPr="002B2A7F" w:rsidRDefault="001F27D2" w:rsidP="001F27D2">
      <w:pPr>
        <w:pStyle w:val="Reporttext"/>
      </w:pPr>
      <w:r w:rsidRPr="002B2A7F">
        <w:t xml:space="preserve">Table 5.1 sets out housing need across the </w:t>
      </w:r>
      <w:r w:rsidR="00396227">
        <w:t>D</w:t>
      </w:r>
      <w:r w:rsidRPr="002B2A7F">
        <w:t xml:space="preserve">istrict based on the </w:t>
      </w:r>
      <w:r w:rsidR="00396227">
        <w:t>h</w:t>
      </w:r>
      <w:r w:rsidRPr="002B2A7F">
        <w:t xml:space="preserve">ousehold </w:t>
      </w:r>
      <w:r w:rsidR="00396227">
        <w:t>s</w:t>
      </w:r>
      <w:r w:rsidRPr="002B2A7F">
        <w:t>urvey and reasons for household need. This shows that there are 2,6</w:t>
      </w:r>
      <w:r w:rsidR="00156DE0">
        <w:t>2</w:t>
      </w:r>
      <w:r w:rsidRPr="002B2A7F">
        <w:t>9 existing households in need, which represents 11.1% of all households.</w:t>
      </w:r>
    </w:p>
    <w:p w14:paraId="765BEEA0" w14:textId="00E55122" w:rsidR="001F27D2" w:rsidRDefault="001F27D2" w:rsidP="001F27D2">
      <w:pPr>
        <w:pStyle w:val="Reporttext"/>
        <w:numPr>
          <w:ilvl w:val="0"/>
          <w:numId w:val="0"/>
        </w:numPr>
        <w:ind w:left="709"/>
      </w:pPr>
    </w:p>
    <w:p w14:paraId="78663D52" w14:textId="5B8BE5B0" w:rsidR="00156DE0" w:rsidRDefault="00156DE0" w:rsidP="001F27D2">
      <w:pPr>
        <w:pStyle w:val="Reporttext"/>
        <w:numPr>
          <w:ilvl w:val="0"/>
          <w:numId w:val="0"/>
        </w:numPr>
        <w:ind w:left="709"/>
      </w:pPr>
    </w:p>
    <w:p w14:paraId="20F77B43" w14:textId="7207B618" w:rsidR="003106AD" w:rsidRDefault="003106AD">
      <w:pPr>
        <w:spacing w:before="0" w:after="0"/>
        <w:jc w:val="left"/>
        <w:rPr>
          <w:rFonts w:asciiTheme="minorHAnsi" w:hAnsiTheme="minorHAnsi" w:cs="Calibri"/>
        </w:rPr>
      </w:pPr>
      <w:r>
        <w:br w:type="page"/>
      </w: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338"/>
        <w:gridCol w:w="3982"/>
        <w:gridCol w:w="2860"/>
      </w:tblGrid>
      <w:tr w:rsidR="001F27D2" w:rsidRPr="00046CEC" w14:paraId="53293C9B" w14:textId="77777777" w:rsidTr="001F27D2">
        <w:trPr>
          <w:trHeight w:val="285"/>
        </w:trPr>
        <w:tc>
          <w:tcPr>
            <w:tcW w:w="5000" w:type="pct"/>
            <w:gridSpan w:val="3"/>
            <w:shd w:val="clear" w:color="auto" w:fill="009999"/>
            <w:vAlign w:val="bottom"/>
          </w:tcPr>
          <w:p w14:paraId="3FDE6DDB" w14:textId="77777777" w:rsidR="001F27D2" w:rsidRPr="00046CEC" w:rsidRDefault="001F27D2" w:rsidP="001F27D2">
            <w:pPr>
              <w:pStyle w:val="Tableheading1"/>
              <w:rPr>
                <w:rFonts w:cs="Calibri"/>
                <w:color w:val="FFFFFF"/>
                <w:lang w:eastAsia="en-GB"/>
              </w:rPr>
            </w:pPr>
            <w:bookmarkStart w:id="385" w:name="_Toc531122947"/>
            <w:bookmarkStart w:id="386" w:name="_Toc532812482"/>
            <w:r w:rsidRPr="00046CEC">
              <w:rPr>
                <w:rFonts w:cs="Calibri"/>
              </w:rPr>
              <w:lastRenderedPageBreak/>
              <w:t>Table 5.1</w:t>
            </w:r>
            <w:r w:rsidRPr="00046CEC">
              <w:rPr>
                <w:rFonts w:cs="Calibri"/>
              </w:rPr>
              <w:tab/>
              <w:t>Housing need in Eden District</w:t>
            </w:r>
            <w:bookmarkEnd w:id="385"/>
            <w:bookmarkEnd w:id="386"/>
          </w:p>
        </w:tc>
      </w:tr>
      <w:tr w:rsidR="001F27D2" w:rsidRPr="00046CEC" w14:paraId="10DA6B0F" w14:textId="77777777" w:rsidTr="001F27D2">
        <w:trPr>
          <w:trHeight w:val="285"/>
        </w:trPr>
        <w:tc>
          <w:tcPr>
            <w:tcW w:w="1273" w:type="pct"/>
            <w:shd w:val="clear" w:color="auto" w:fill="009999"/>
            <w:vAlign w:val="bottom"/>
            <w:hideMark/>
          </w:tcPr>
          <w:p w14:paraId="7006DC2C" w14:textId="77777777" w:rsidR="001F27D2" w:rsidRPr="00046CEC" w:rsidRDefault="001F27D2" w:rsidP="00046CEC">
            <w:pPr>
              <w:spacing w:beforeLines="30" w:before="72" w:afterLines="30" w:after="72"/>
              <w:rPr>
                <w:rFonts w:cs="Calibri"/>
                <w:b/>
                <w:bCs/>
                <w:color w:val="FFFFFF"/>
                <w:sz w:val="22"/>
                <w:szCs w:val="22"/>
                <w:lang w:eastAsia="en-GB"/>
              </w:rPr>
            </w:pPr>
            <w:r w:rsidRPr="00046CEC">
              <w:rPr>
                <w:rFonts w:cs="Calibri"/>
                <w:b/>
                <w:bCs/>
                <w:color w:val="FFFFFF"/>
                <w:sz w:val="22"/>
                <w:szCs w:val="22"/>
                <w:lang w:eastAsia="en-GB"/>
              </w:rPr>
              <w:t>Category</w:t>
            </w:r>
          </w:p>
        </w:tc>
        <w:tc>
          <w:tcPr>
            <w:tcW w:w="2169" w:type="pct"/>
            <w:shd w:val="clear" w:color="auto" w:fill="009999"/>
            <w:vAlign w:val="bottom"/>
            <w:hideMark/>
          </w:tcPr>
          <w:p w14:paraId="52398A54" w14:textId="77777777" w:rsidR="001F27D2" w:rsidRPr="00046CEC" w:rsidRDefault="001F27D2" w:rsidP="00046CEC">
            <w:pPr>
              <w:spacing w:beforeLines="30" w:before="72" w:afterLines="30" w:after="72"/>
              <w:rPr>
                <w:rFonts w:cs="Calibri"/>
                <w:b/>
                <w:bCs/>
                <w:color w:val="FFFFFF"/>
                <w:sz w:val="22"/>
                <w:szCs w:val="22"/>
                <w:lang w:eastAsia="en-GB"/>
              </w:rPr>
            </w:pPr>
            <w:r w:rsidRPr="00046CEC">
              <w:rPr>
                <w:rFonts w:cs="Calibri"/>
                <w:b/>
                <w:bCs/>
                <w:color w:val="FFFFFF"/>
                <w:sz w:val="22"/>
                <w:szCs w:val="22"/>
                <w:lang w:eastAsia="en-GB"/>
              </w:rPr>
              <w:t>Factor</w:t>
            </w:r>
          </w:p>
        </w:tc>
        <w:tc>
          <w:tcPr>
            <w:tcW w:w="1558" w:type="pct"/>
            <w:shd w:val="clear" w:color="auto" w:fill="009999"/>
            <w:noWrap/>
            <w:vAlign w:val="bottom"/>
            <w:hideMark/>
          </w:tcPr>
          <w:p w14:paraId="047CAC95" w14:textId="77777777" w:rsidR="001F27D2" w:rsidRPr="00046CEC" w:rsidRDefault="001F27D2" w:rsidP="00046CEC">
            <w:pPr>
              <w:spacing w:beforeLines="30" w:before="72" w:afterLines="30" w:after="72"/>
              <w:jc w:val="center"/>
              <w:rPr>
                <w:rFonts w:cs="Calibri"/>
                <w:b/>
                <w:bCs/>
                <w:color w:val="FFFFFF"/>
                <w:sz w:val="22"/>
                <w:szCs w:val="22"/>
                <w:lang w:eastAsia="en-GB"/>
              </w:rPr>
            </w:pPr>
            <w:r w:rsidRPr="00046CEC">
              <w:rPr>
                <w:rFonts w:cs="Calibri"/>
                <w:b/>
                <w:bCs/>
                <w:color w:val="FFFFFF"/>
                <w:sz w:val="22"/>
                <w:szCs w:val="22"/>
                <w:lang w:eastAsia="en-GB"/>
              </w:rPr>
              <w:t>Eden District</w:t>
            </w:r>
          </w:p>
          <w:p w14:paraId="3DF59178" w14:textId="77777777" w:rsidR="001F27D2" w:rsidRPr="00046CEC" w:rsidRDefault="001F27D2" w:rsidP="00046CEC">
            <w:pPr>
              <w:spacing w:beforeLines="30" w:before="72" w:afterLines="30" w:after="72"/>
              <w:jc w:val="center"/>
              <w:rPr>
                <w:rFonts w:cs="Calibri"/>
                <w:b/>
                <w:bCs/>
                <w:color w:val="FFFFFF"/>
                <w:sz w:val="22"/>
                <w:szCs w:val="22"/>
                <w:lang w:eastAsia="en-GB"/>
              </w:rPr>
            </w:pPr>
            <w:r w:rsidRPr="00046CEC">
              <w:rPr>
                <w:rFonts w:cs="Calibri"/>
                <w:b/>
                <w:bCs/>
                <w:color w:val="FFFFFF"/>
                <w:sz w:val="22"/>
                <w:szCs w:val="22"/>
                <w:lang w:eastAsia="en-GB"/>
              </w:rPr>
              <w:t>Total</w:t>
            </w:r>
          </w:p>
        </w:tc>
      </w:tr>
      <w:tr w:rsidR="001F27D2" w:rsidRPr="00046CEC" w14:paraId="268CF932" w14:textId="77777777" w:rsidTr="001F27D2">
        <w:trPr>
          <w:trHeight w:val="596"/>
        </w:trPr>
        <w:tc>
          <w:tcPr>
            <w:tcW w:w="1273" w:type="pct"/>
            <w:vMerge w:val="restart"/>
            <w:shd w:val="clear" w:color="auto" w:fill="auto"/>
            <w:hideMark/>
          </w:tcPr>
          <w:p w14:paraId="2649D659" w14:textId="77777777" w:rsidR="001F27D2" w:rsidRPr="00046CEC" w:rsidRDefault="001F27D2" w:rsidP="00046CEC">
            <w:pPr>
              <w:spacing w:beforeLines="30" w:before="72" w:afterLines="30" w:after="72"/>
              <w:rPr>
                <w:rFonts w:cs="Calibri"/>
                <w:color w:val="000000"/>
                <w:sz w:val="22"/>
                <w:szCs w:val="22"/>
                <w:lang w:eastAsia="en-GB"/>
              </w:rPr>
            </w:pPr>
            <w:r w:rsidRPr="00046CEC">
              <w:rPr>
                <w:rFonts w:cs="Calibri"/>
                <w:color w:val="000000"/>
                <w:sz w:val="22"/>
                <w:szCs w:val="22"/>
                <w:lang w:eastAsia="en-GB"/>
              </w:rPr>
              <w:t>Homeless households or with insecure tenure</w:t>
            </w:r>
          </w:p>
        </w:tc>
        <w:tc>
          <w:tcPr>
            <w:tcW w:w="2169" w:type="pct"/>
            <w:shd w:val="clear" w:color="auto" w:fill="auto"/>
            <w:hideMark/>
          </w:tcPr>
          <w:p w14:paraId="79B0DB23" w14:textId="77777777" w:rsidR="001F27D2" w:rsidRPr="00046CEC" w:rsidRDefault="001F27D2" w:rsidP="00046CEC">
            <w:pPr>
              <w:spacing w:beforeLines="30" w:before="72" w:afterLines="30" w:after="72"/>
              <w:rPr>
                <w:rFonts w:cs="Calibri"/>
                <w:color w:val="000000"/>
                <w:sz w:val="22"/>
                <w:szCs w:val="22"/>
                <w:lang w:eastAsia="en-GB"/>
              </w:rPr>
            </w:pPr>
            <w:r w:rsidRPr="00046CEC">
              <w:rPr>
                <w:rFonts w:cs="Calibri"/>
                <w:color w:val="000000"/>
                <w:sz w:val="22"/>
                <w:szCs w:val="22"/>
                <w:lang w:eastAsia="en-GB"/>
              </w:rPr>
              <w:t>N1 Under notice, real threat of notice or lease coming to an end</w:t>
            </w:r>
          </w:p>
        </w:tc>
        <w:tc>
          <w:tcPr>
            <w:tcW w:w="1558" w:type="pct"/>
            <w:shd w:val="clear" w:color="auto" w:fill="auto"/>
            <w:vAlign w:val="center"/>
          </w:tcPr>
          <w:p w14:paraId="10D3C082" w14:textId="77777777" w:rsidR="001F27D2" w:rsidRPr="00046CEC" w:rsidRDefault="001F27D2" w:rsidP="00046CEC">
            <w:pPr>
              <w:spacing w:beforeLines="30" w:before="72" w:afterLines="30" w:after="72"/>
              <w:jc w:val="center"/>
              <w:rPr>
                <w:rFonts w:cs="Calibri"/>
                <w:color w:val="000000"/>
                <w:sz w:val="22"/>
                <w:szCs w:val="22"/>
                <w:lang w:eastAsia="en-GB"/>
              </w:rPr>
            </w:pPr>
            <w:r w:rsidRPr="00046CEC">
              <w:rPr>
                <w:rFonts w:cs="Calibri"/>
                <w:color w:val="000000"/>
                <w:sz w:val="22"/>
                <w:szCs w:val="22"/>
                <w:lang w:eastAsia="en-GB"/>
              </w:rPr>
              <w:t>181</w:t>
            </w:r>
          </w:p>
        </w:tc>
      </w:tr>
      <w:tr w:rsidR="001F27D2" w:rsidRPr="00046CEC" w14:paraId="7DE3634F" w14:textId="77777777" w:rsidTr="001F27D2">
        <w:trPr>
          <w:trHeight w:val="804"/>
        </w:trPr>
        <w:tc>
          <w:tcPr>
            <w:tcW w:w="1273" w:type="pct"/>
            <w:vMerge/>
            <w:vAlign w:val="center"/>
            <w:hideMark/>
          </w:tcPr>
          <w:p w14:paraId="0940AEF6" w14:textId="77777777" w:rsidR="001F27D2" w:rsidRPr="00046CEC" w:rsidRDefault="001F27D2" w:rsidP="00046CEC">
            <w:pPr>
              <w:spacing w:beforeLines="30" w:before="72" w:afterLines="30" w:after="72"/>
              <w:rPr>
                <w:rFonts w:cs="Calibri"/>
                <w:color w:val="000000"/>
                <w:sz w:val="22"/>
                <w:szCs w:val="22"/>
                <w:lang w:eastAsia="en-GB"/>
              </w:rPr>
            </w:pPr>
          </w:p>
        </w:tc>
        <w:tc>
          <w:tcPr>
            <w:tcW w:w="2169" w:type="pct"/>
            <w:shd w:val="clear" w:color="auto" w:fill="auto"/>
            <w:hideMark/>
          </w:tcPr>
          <w:p w14:paraId="1184C4E6" w14:textId="77777777" w:rsidR="001F27D2" w:rsidRPr="00046CEC" w:rsidRDefault="001F27D2" w:rsidP="00046CEC">
            <w:pPr>
              <w:spacing w:beforeLines="30" w:before="72" w:afterLines="30" w:after="72"/>
              <w:rPr>
                <w:rFonts w:cs="Calibri"/>
                <w:color w:val="000000"/>
                <w:sz w:val="22"/>
                <w:szCs w:val="22"/>
                <w:lang w:eastAsia="en-GB"/>
              </w:rPr>
            </w:pPr>
            <w:r w:rsidRPr="00046CEC">
              <w:rPr>
                <w:rFonts w:cs="Calibri"/>
                <w:color w:val="000000"/>
                <w:sz w:val="22"/>
                <w:szCs w:val="22"/>
                <w:lang w:eastAsia="en-GB"/>
              </w:rPr>
              <w:t>N2 Too expensive, and in receipt of housing benefit or in arrears due to expense</w:t>
            </w:r>
          </w:p>
        </w:tc>
        <w:tc>
          <w:tcPr>
            <w:tcW w:w="1558" w:type="pct"/>
            <w:shd w:val="clear" w:color="auto" w:fill="auto"/>
            <w:vAlign w:val="center"/>
          </w:tcPr>
          <w:p w14:paraId="2D826181" w14:textId="77777777" w:rsidR="001F27D2" w:rsidRPr="00046CEC" w:rsidRDefault="001F27D2" w:rsidP="00046CEC">
            <w:pPr>
              <w:spacing w:beforeLines="30" w:before="72" w:afterLines="30" w:after="72"/>
              <w:jc w:val="center"/>
              <w:rPr>
                <w:rFonts w:cs="Calibri"/>
                <w:color w:val="000000"/>
                <w:sz w:val="22"/>
                <w:szCs w:val="22"/>
                <w:lang w:eastAsia="en-GB"/>
              </w:rPr>
            </w:pPr>
            <w:r w:rsidRPr="00046CEC">
              <w:rPr>
                <w:rFonts w:cs="Calibri"/>
                <w:color w:val="000000"/>
                <w:sz w:val="22"/>
                <w:szCs w:val="22"/>
                <w:lang w:eastAsia="en-GB"/>
              </w:rPr>
              <w:t>534</w:t>
            </w:r>
          </w:p>
        </w:tc>
      </w:tr>
      <w:tr w:rsidR="001F27D2" w:rsidRPr="00046CEC" w14:paraId="0E03431C" w14:textId="77777777" w:rsidTr="001F27D2">
        <w:trPr>
          <w:trHeight w:val="621"/>
        </w:trPr>
        <w:tc>
          <w:tcPr>
            <w:tcW w:w="1273" w:type="pct"/>
            <w:vMerge w:val="restart"/>
            <w:shd w:val="clear" w:color="auto" w:fill="auto"/>
            <w:hideMark/>
          </w:tcPr>
          <w:p w14:paraId="1765B88D" w14:textId="77777777" w:rsidR="001F27D2" w:rsidRPr="00046CEC" w:rsidRDefault="001F27D2" w:rsidP="00046CEC">
            <w:pPr>
              <w:spacing w:beforeLines="30" w:before="72" w:afterLines="30" w:after="72"/>
              <w:rPr>
                <w:rFonts w:cs="Calibri"/>
                <w:color w:val="000000"/>
                <w:sz w:val="22"/>
                <w:szCs w:val="22"/>
                <w:lang w:eastAsia="en-GB"/>
              </w:rPr>
            </w:pPr>
            <w:r w:rsidRPr="00046CEC">
              <w:rPr>
                <w:rFonts w:cs="Calibri"/>
                <w:color w:val="000000"/>
                <w:sz w:val="22"/>
                <w:szCs w:val="22"/>
                <w:lang w:eastAsia="en-GB"/>
              </w:rPr>
              <w:t>Mismatch of housing need and dwellings</w:t>
            </w:r>
          </w:p>
        </w:tc>
        <w:tc>
          <w:tcPr>
            <w:tcW w:w="2169" w:type="pct"/>
            <w:shd w:val="clear" w:color="auto" w:fill="auto"/>
            <w:hideMark/>
          </w:tcPr>
          <w:p w14:paraId="3465AD99" w14:textId="77777777" w:rsidR="001F27D2" w:rsidRPr="00046CEC" w:rsidRDefault="001F27D2" w:rsidP="00046CEC">
            <w:pPr>
              <w:spacing w:beforeLines="30" w:before="72" w:afterLines="30" w:after="72"/>
              <w:rPr>
                <w:rFonts w:cs="Calibri"/>
                <w:color w:val="000000"/>
                <w:sz w:val="22"/>
                <w:szCs w:val="22"/>
                <w:lang w:eastAsia="en-GB"/>
              </w:rPr>
            </w:pPr>
            <w:r w:rsidRPr="00046CEC">
              <w:rPr>
                <w:rFonts w:cs="Calibri"/>
                <w:color w:val="000000"/>
                <w:sz w:val="22"/>
                <w:szCs w:val="22"/>
                <w:lang w:eastAsia="en-GB"/>
              </w:rPr>
              <w:t>N3 Overcrowded according to the 'bedroom standard' model</w:t>
            </w:r>
          </w:p>
        </w:tc>
        <w:tc>
          <w:tcPr>
            <w:tcW w:w="1558" w:type="pct"/>
            <w:shd w:val="clear" w:color="auto" w:fill="auto"/>
            <w:vAlign w:val="center"/>
          </w:tcPr>
          <w:p w14:paraId="3BC19F26" w14:textId="77777777" w:rsidR="001F27D2" w:rsidRPr="00046CEC" w:rsidRDefault="001F27D2" w:rsidP="00046CEC">
            <w:pPr>
              <w:spacing w:beforeLines="30" w:before="72" w:afterLines="30" w:after="72"/>
              <w:jc w:val="center"/>
              <w:rPr>
                <w:rFonts w:cs="Calibri"/>
                <w:color w:val="000000"/>
                <w:sz w:val="22"/>
                <w:szCs w:val="22"/>
                <w:lang w:eastAsia="en-GB"/>
              </w:rPr>
            </w:pPr>
            <w:r w:rsidRPr="00046CEC">
              <w:rPr>
                <w:rFonts w:cs="Calibri"/>
                <w:color w:val="000000"/>
                <w:sz w:val="22"/>
                <w:szCs w:val="22"/>
                <w:lang w:eastAsia="en-GB"/>
              </w:rPr>
              <w:t>629</w:t>
            </w:r>
          </w:p>
        </w:tc>
      </w:tr>
      <w:tr w:rsidR="001F27D2" w:rsidRPr="00046CEC" w14:paraId="080A5795" w14:textId="77777777" w:rsidTr="001F27D2">
        <w:trPr>
          <w:trHeight w:val="369"/>
        </w:trPr>
        <w:tc>
          <w:tcPr>
            <w:tcW w:w="1273" w:type="pct"/>
            <w:vMerge/>
            <w:vAlign w:val="center"/>
            <w:hideMark/>
          </w:tcPr>
          <w:p w14:paraId="2E323588" w14:textId="77777777" w:rsidR="001F27D2" w:rsidRPr="00046CEC" w:rsidRDefault="001F27D2" w:rsidP="00046CEC">
            <w:pPr>
              <w:spacing w:beforeLines="30" w:before="72" w:afterLines="30" w:after="72"/>
              <w:rPr>
                <w:rFonts w:cs="Calibri"/>
                <w:color w:val="000000"/>
                <w:sz w:val="22"/>
                <w:szCs w:val="22"/>
                <w:lang w:eastAsia="en-GB"/>
              </w:rPr>
            </w:pPr>
          </w:p>
        </w:tc>
        <w:tc>
          <w:tcPr>
            <w:tcW w:w="2169" w:type="pct"/>
            <w:shd w:val="clear" w:color="auto" w:fill="auto"/>
            <w:hideMark/>
          </w:tcPr>
          <w:p w14:paraId="573C6A43" w14:textId="77777777" w:rsidR="001F27D2" w:rsidRPr="00046CEC" w:rsidRDefault="001F27D2" w:rsidP="00046CEC">
            <w:pPr>
              <w:spacing w:beforeLines="30" w:before="72" w:afterLines="30" w:after="72"/>
              <w:rPr>
                <w:rFonts w:cs="Calibri"/>
                <w:color w:val="000000"/>
                <w:sz w:val="22"/>
                <w:szCs w:val="22"/>
                <w:lang w:eastAsia="en-GB"/>
              </w:rPr>
            </w:pPr>
            <w:r w:rsidRPr="00046CEC">
              <w:rPr>
                <w:rFonts w:cs="Calibri"/>
                <w:color w:val="000000"/>
                <w:sz w:val="22"/>
                <w:szCs w:val="22"/>
                <w:lang w:eastAsia="en-GB"/>
              </w:rPr>
              <w:t>N4 Too difficult to maintain</w:t>
            </w:r>
          </w:p>
        </w:tc>
        <w:tc>
          <w:tcPr>
            <w:tcW w:w="1558" w:type="pct"/>
            <w:shd w:val="clear" w:color="auto" w:fill="auto"/>
            <w:vAlign w:val="center"/>
          </w:tcPr>
          <w:p w14:paraId="43C56D99" w14:textId="77777777" w:rsidR="001F27D2" w:rsidRPr="00046CEC" w:rsidRDefault="001F27D2" w:rsidP="00046CEC">
            <w:pPr>
              <w:spacing w:beforeLines="30" w:before="72" w:afterLines="30" w:after="72"/>
              <w:jc w:val="center"/>
              <w:rPr>
                <w:rFonts w:cs="Calibri"/>
                <w:color w:val="000000"/>
                <w:sz w:val="22"/>
                <w:szCs w:val="22"/>
                <w:lang w:eastAsia="en-GB"/>
              </w:rPr>
            </w:pPr>
            <w:r w:rsidRPr="00046CEC">
              <w:rPr>
                <w:rFonts w:cs="Calibri"/>
                <w:color w:val="000000"/>
                <w:sz w:val="22"/>
                <w:szCs w:val="22"/>
                <w:lang w:eastAsia="en-GB"/>
              </w:rPr>
              <w:t>1,222</w:t>
            </w:r>
          </w:p>
        </w:tc>
      </w:tr>
      <w:tr w:rsidR="001F27D2" w:rsidRPr="00046CEC" w14:paraId="32F53554" w14:textId="77777777" w:rsidTr="001F27D2">
        <w:trPr>
          <w:trHeight w:val="998"/>
        </w:trPr>
        <w:tc>
          <w:tcPr>
            <w:tcW w:w="1273" w:type="pct"/>
            <w:vMerge/>
            <w:vAlign w:val="center"/>
            <w:hideMark/>
          </w:tcPr>
          <w:p w14:paraId="0FCEB02C" w14:textId="77777777" w:rsidR="001F27D2" w:rsidRPr="00046CEC" w:rsidRDefault="001F27D2" w:rsidP="00046CEC">
            <w:pPr>
              <w:spacing w:beforeLines="30" w:before="72" w:afterLines="30" w:after="72"/>
              <w:rPr>
                <w:rFonts w:cs="Calibri"/>
                <w:color w:val="000000"/>
                <w:sz w:val="22"/>
                <w:szCs w:val="22"/>
                <w:lang w:eastAsia="en-GB"/>
              </w:rPr>
            </w:pPr>
          </w:p>
        </w:tc>
        <w:tc>
          <w:tcPr>
            <w:tcW w:w="2169" w:type="pct"/>
            <w:shd w:val="clear" w:color="auto" w:fill="auto"/>
            <w:hideMark/>
          </w:tcPr>
          <w:p w14:paraId="07492E94" w14:textId="77777777" w:rsidR="001F27D2" w:rsidRPr="00046CEC" w:rsidRDefault="001F27D2" w:rsidP="00046CEC">
            <w:pPr>
              <w:spacing w:beforeLines="30" w:before="72" w:afterLines="30" w:after="72"/>
              <w:rPr>
                <w:rFonts w:cs="Calibri"/>
                <w:color w:val="000000"/>
                <w:sz w:val="22"/>
                <w:szCs w:val="22"/>
                <w:lang w:eastAsia="en-GB"/>
              </w:rPr>
            </w:pPr>
            <w:r w:rsidRPr="00046CEC">
              <w:rPr>
                <w:rFonts w:cs="Calibri"/>
                <w:color w:val="000000"/>
                <w:sz w:val="22"/>
                <w:szCs w:val="22"/>
                <w:lang w:eastAsia="en-GB"/>
              </w:rPr>
              <w:t>N5 Couples, people with children and single adults over 25 sharing a kitchen, bathroom or WC with another household</w:t>
            </w:r>
          </w:p>
        </w:tc>
        <w:tc>
          <w:tcPr>
            <w:tcW w:w="1558" w:type="pct"/>
            <w:shd w:val="clear" w:color="auto" w:fill="auto"/>
            <w:vAlign w:val="center"/>
          </w:tcPr>
          <w:p w14:paraId="1D8C85C9" w14:textId="77777777" w:rsidR="001F27D2" w:rsidRPr="00046CEC" w:rsidRDefault="001F27D2" w:rsidP="00046CEC">
            <w:pPr>
              <w:spacing w:beforeLines="30" w:before="72" w:afterLines="30" w:after="72"/>
              <w:jc w:val="center"/>
              <w:rPr>
                <w:rFonts w:cs="Calibri"/>
                <w:color w:val="000000"/>
                <w:sz w:val="22"/>
                <w:szCs w:val="22"/>
                <w:lang w:eastAsia="en-GB"/>
              </w:rPr>
            </w:pPr>
            <w:r w:rsidRPr="00046CEC">
              <w:rPr>
                <w:rFonts w:cs="Calibri"/>
                <w:color w:val="000000"/>
                <w:sz w:val="22"/>
                <w:szCs w:val="22"/>
                <w:lang w:eastAsia="en-GB"/>
              </w:rPr>
              <w:t>0</w:t>
            </w:r>
          </w:p>
        </w:tc>
      </w:tr>
      <w:tr w:rsidR="001F27D2" w:rsidRPr="00046CEC" w14:paraId="1CA69C34" w14:textId="77777777" w:rsidTr="001F27D2">
        <w:trPr>
          <w:trHeight w:val="978"/>
        </w:trPr>
        <w:tc>
          <w:tcPr>
            <w:tcW w:w="1273" w:type="pct"/>
            <w:vMerge/>
            <w:vAlign w:val="center"/>
            <w:hideMark/>
          </w:tcPr>
          <w:p w14:paraId="040BB208" w14:textId="77777777" w:rsidR="001F27D2" w:rsidRPr="00046CEC" w:rsidRDefault="001F27D2" w:rsidP="00046CEC">
            <w:pPr>
              <w:spacing w:beforeLines="30" w:before="72" w:afterLines="30" w:after="72"/>
              <w:rPr>
                <w:rFonts w:cs="Calibri"/>
                <w:color w:val="000000"/>
                <w:sz w:val="22"/>
                <w:szCs w:val="22"/>
                <w:lang w:eastAsia="en-GB"/>
              </w:rPr>
            </w:pPr>
          </w:p>
        </w:tc>
        <w:tc>
          <w:tcPr>
            <w:tcW w:w="2169" w:type="pct"/>
            <w:shd w:val="clear" w:color="auto" w:fill="auto"/>
            <w:hideMark/>
          </w:tcPr>
          <w:p w14:paraId="4FB9A091" w14:textId="77777777" w:rsidR="001F27D2" w:rsidRPr="00046CEC" w:rsidRDefault="001F27D2" w:rsidP="00046CEC">
            <w:pPr>
              <w:spacing w:beforeLines="30" w:before="72" w:afterLines="30" w:after="72"/>
              <w:rPr>
                <w:rFonts w:cs="Calibri"/>
                <w:color w:val="000000"/>
                <w:sz w:val="22"/>
                <w:szCs w:val="22"/>
                <w:lang w:eastAsia="en-GB"/>
              </w:rPr>
            </w:pPr>
            <w:r w:rsidRPr="00046CEC">
              <w:rPr>
                <w:rFonts w:cs="Calibri"/>
                <w:color w:val="000000"/>
                <w:sz w:val="22"/>
                <w:szCs w:val="22"/>
                <w:lang w:eastAsia="en-GB"/>
              </w:rPr>
              <w:t>N6 Household containing people with mobility impairment or other special needs living in unsuitable accommodation</w:t>
            </w:r>
          </w:p>
        </w:tc>
        <w:tc>
          <w:tcPr>
            <w:tcW w:w="1558" w:type="pct"/>
            <w:shd w:val="clear" w:color="auto" w:fill="auto"/>
            <w:vAlign w:val="center"/>
          </w:tcPr>
          <w:p w14:paraId="1F51B557" w14:textId="77777777" w:rsidR="001F27D2" w:rsidRPr="00046CEC" w:rsidRDefault="001F27D2" w:rsidP="00046CEC">
            <w:pPr>
              <w:spacing w:beforeLines="30" w:before="72" w:afterLines="30" w:after="72"/>
              <w:jc w:val="center"/>
              <w:rPr>
                <w:rFonts w:cs="Calibri"/>
                <w:color w:val="000000"/>
                <w:sz w:val="22"/>
                <w:szCs w:val="22"/>
                <w:lang w:eastAsia="en-GB"/>
              </w:rPr>
            </w:pPr>
            <w:r w:rsidRPr="00046CEC">
              <w:rPr>
                <w:rFonts w:cs="Calibri"/>
                <w:color w:val="000000"/>
                <w:sz w:val="22"/>
                <w:szCs w:val="22"/>
                <w:lang w:eastAsia="en-GB"/>
              </w:rPr>
              <w:t>572</w:t>
            </w:r>
          </w:p>
        </w:tc>
      </w:tr>
      <w:tr w:rsidR="001F27D2" w:rsidRPr="00046CEC" w14:paraId="2EADE32E" w14:textId="77777777" w:rsidTr="001F27D2">
        <w:trPr>
          <w:trHeight w:val="843"/>
        </w:trPr>
        <w:tc>
          <w:tcPr>
            <w:tcW w:w="1273" w:type="pct"/>
            <w:vMerge w:val="restart"/>
            <w:shd w:val="clear" w:color="auto" w:fill="auto"/>
            <w:hideMark/>
          </w:tcPr>
          <w:p w14:paraId="3EC34950" w14:textId="77777777" w:rsidR="001F27D2" w:rsidRPr="00046CEC" w:rsidRDefault="001F27D2" w:rsidP="00046CEC">
            <w:pPr>
              <w:spacing w:beforeLines="30" w:before="72" w:afterLines="30" w:after="72"/>
              <w:rPr>
                <w:rFonts w:cs="Calibri"/>
                <w:color w:val="000000"/>
                <w:sz w:val="22"/>
                <w:szCs w:val="22"/>
                <w:lang w:eastAsia="en-GB"/>
              </w:rPr>
            </w:pPr>
            <w:r w:rsidRPr="00046CEC">
              <w:rPr>
                <w:rFonts w:cs="Calibri"/>
                <w:color w:val="000000"/>
                <w:sz w:val="22"/>
                <w:szCs w:val="22"/>
                <w:lang w:eastAsia="en-GB"/>
              </w:rPr>
              <w:t>Dwelling amenities and condition</w:t>
            </w:r>
          </w:p>
        </w:tc>
        <w:tc>
          <w:tcPr>
            <w:tcW w:w="2169" w:type="pct"/>
            <w:shd w:val="clear" w:color="auto" w:fill="auto"/>
            <w:hideMark/>
          </w:tcPr>
          <w:p w14:paraId="64E05468" w14:textId="77777777" w:rsidR="001F27D2" w:rsidRPr="00046CEC" w:rsidRDefault="001F27D2" w:rsidP="00046CEC">
            <w:pPr>
              <w:spacing w:beforeLines="30" w:before="72" w:afterLines="30" w:after="72"/>
              <w:rPr>
                <w:rFonts w:cs="Calibri"/>
                <w:color w:val="000000"/>
                <w:sz w:val="22"/>
                <w:szCs w:val="22"/>
                <w:lang w:eastAsia="en-GB"/>
              </w:rPr>
            </w:pPr>
            <w:r w:rsidRPr="00046CEC">
              <w:rPr>
                <w:rFonts w:cs="Calibri"/>
                <w:color w:val="000000"/>
                <w:sz w:val="22"/>
                <w:szCs w:val="22"/>
                <w:lang w:eastAsia="en-GB"/>
              </w:rPr>
              <w:t>N7 Lacks a bathroom, kitchen or inside WC and household does not have resource to make fit</w:t>
            </w:r>
          </w:p>
        </w:tc>
        <w:tc>
          <w:tcPr>
            <w:tcW w:w="1558" w:type="pct"/>
            <w:shd w:val="clear" w:color="auto" w:fill="auto"/>
            <w:vAlign w:val="center"/>
          </w:tcPr>
          <w:p w14:paraId="0D130B87" w14:textId="77777777" w:rsidR="001F27D2" w:rsidRPr="00046CEC" w:rsidRDefault="001F27D2" w:rsidP="00046CEC">
            <w:pPr>
              <w:spacing w:beforeLines="30" w:before="72" w:afterLines="30" w:after="72"/>
              <w:jc w:val="center"/>
              <w:rPr>
                <w:rFonts w:cs="Calibri"/>
                <w:color w:val="000000"/>
                <w:sz w:val="22"/>
                <w:szCs w:val="22"/>
                <w:lang w:eastAsia="en-GB"/>
              </w:rPr>
            </w:pPr>
            <w:r w:rsidRPr="00046CEC">
              <w:rPr>
                <w:rFonts w:cs="Calibri"/>
                <w:color w:val="000000"/>
                <w:sz w:val="22"/>
                <w:szCs w:val="22"/>
                <w:lang w:eastAsia="en-GB"/>
              </w:rPr>
              <w:t>41</w:t>
            </w:r>
          </w:p>
        </w:tc>
      </w:tr>
      <w:tr w:rsidR="001F27D2" w:rsidRPr="00046CEC" w14:paraId="0F4FA25D" w14:textId="77777777" w:rsidTr="001F27D2">
        <w:trPr>
          <w:trHeight w:val="840"/>
        </w:trPr>
        <w:tc>
          <w:tcPr>
            <w:tcW w:w="1273" w:type="pct"/>
            <w:vMerge/>
            <w:vAlign w:val="center"/>
            <w:hideMark/>
          </w:tcPr>
          <w:p w14:paraId="5FF12AD5" w14:textId="77777777" w:rsidR="001F27D2" w:rsidRPr="00046CEC" w:rsidRDefault="001F27D2" w:rsidP="00046CEC">
            <w:pPr>
              <w:spacing w:beforeLines="30" w:before="72" w:afterLines="30" w:after="72"/>
              <w:rPr>
                <w:rFonts w:cs="Calibri"/>
                <w:color w:val="000000"/>
                <w:sz w:val="22"/>
                <w:szCs w:val="22"/>
                <w:lang w:eastAsia="en-GB"/>
              </w:rPr>
            </w:pPr>
          </w:p>
        </w:tc>
        <w:tc>
          <w:tcPr>
            <w:tcW w:w="2169" w:type="pct"/>
            <w:shd w:val="clear" w:color="auto" w:fill="auto"/>
            <w:hideMark/>
          </w:tcPr>
          <w:p w14:paraId="42052663" w14:textId="77777777" w:rsidR="001F27D2" w:rsidRPr="00046CEC" w:rsidRDefault="001F27D2" w:rsidP="00046CEC">
            <w:pPr>
              <w:spacing w:beforeLines="30" w:before="72" w:afterLines="30" w:after="72"/>
              <w:rPr>
                <w:rFonts w:cs="Calibri"/>
                <w:color w:val="000000"/>
                <w:sz w:val="22"/>
                <w:szCs w:val="22"/>
                <w:lang w:eastAsia="en-GB"/>
              </w:rPr>
            </w:pPr>
            <w:r w:rsidRPr="00046CEC">
              <w:rPr>
                <w:rFonts w:cs="Calibri"/>
                <w:color w:val="000000"/>
                <w:sz w:val="22"/>
                <w:szCs w:val="22"/>
                <w:lang w:eastAsia="en-GB"/>
              </w:rPr>
              <w:t>N8 Subject to major disrepair or unfitness and household does not have resource to make fit</w:t>
            </w:r>
          </w:p>
        </w:tc>
        <w:tc>
          <w:tcPr>
            <w:tcW w:w="1558" w:type="pct"/>
            <w:shd w:val="clear" w:color="auto" w:fill="auto"/>
            <w:vAlign w:val="center"/>
          </w:tcPr>
          <w:p w14:paraId="5A9E8B37" w14:textId="77777777" w:rsidR="001F27D2" w:rsidRPr="00046CEC" w:rsidRDefault="001F27D2" w:rsidP="00046CEC">
            <w:pPr>
              <w:spacing w:beforeLines="30" w:before="72" w:afterLines="30" w:after="72"/>
              <w:jc w:val="center"/>
              <w:rPr>
                <w:rFonts w:cs="Calibri"/>
                <w:color w:val="000000"/>
                <w:sz w:val="22"/>
                <w:szCs w:val="22"/>
                <w:lang w:eastAsia="en-GB"/>
              </w:rPr>
            </w:pPr>
            <w:r w:rsidRPr="00046CEC">
              <w:rPr>
                <w:rFonts w:cs="Calibri"/>
                <w:color w:val="000000"/>
                <w:sz w:val="22"/>
                <w:szCs w:val="22"/>
                <w:lang w:eastAsia="en-GB"/>
              </w:rPr>
              <w:t>170</w:t>
            </w:r>
          </w:p>
        </w:tc>
      </w:tr>
      <w:tr w:rsidR="001F27D2" w:rsidRPr="00046CEC" w14:paraId="16015CD8" w14:textId="77777777" w:rsidTr="001F27D2">
        <w:trPr>
          <w:trHeight w:val="970"/>
        </w:trPr>
        <w:tc>
          <w:tcPr>
            <w:tcW w:w="1273" w:type="pct"/>
            <w:shd w:val="clear" w:color="auto" w:fill="auto"/>
            <w:hideMark/>
          </w:tcPr>
          <w:p w14:paraId="7D14740B" w14:textId="77777777" w:rsidR="001F27D2" w:rsidRPr="00046CEC" w:rsidRDefault="001F27D2" w:rsidP="00046CEC">
            <w:pPr>
              <w:spacing w:beforeLines="30" w:before="72" w:afterLines="30" w:after="72"/>
              <w:rPr>
                <w:rFonts w:cs="Calibri"/>
                <w:color w:val="000000"/>
                <w:sz w:val="22"/>
                <w:szCs w:val="22"/>
                <w:lang w:eastAsia="en-GB"/>
              </w:rPr>
            </w:pPr>
            <w:r w:rsidRPr="00046CEC">
              <w:rPr>
                <w:rFonts w:cs="Calibri"/>
                <w:color w:val="000000"/>
                <w:sz w:val="22"/>
                <w:szCs w:val="22"/>
                <w:lang w:eastAsia="en-GB"/>
              </w:rPr>
              <w:t>Social needs</w:t>
            </w:r>
          </w:p>
        </w:tc>
        <w:tc>
          <w:tcPr>
            <w:tcW w:w="2169" w:type="pct"/>
            <w:shd w:val="clear" w:color="auto" w:fill="auto"/>
            <w:hideMark/>
          </w:tcPr>
          <w:p w14:paraId="14B4B4EC" w14:textId="77777777" w:rsidR="001F27D2" w:rsidRPr="00046CEC" w:rsidRDefault="001F27D2" w:rsidP="00046CEC">
            <w:pPr>
              <w:spacing w:beforeLines="30" w:before="72" w:afterLines="30" w:after="72"/>
              <w:rPr>
                <w:rFonts w:cs="Calibri"/>
                <w:color w:val="000000"/>
                <w:sz w:val="22"/>
                <w:szCs w:val="22"/>
                <w:lang w:eastAsia="en-GB"/>
              </w:rPr>
            </w:pPr>
            <w:r w:rsidRPr="00046CEC">
              <w:rPr>
                <w:rFonts w:cs="Calibri"/>
                <w:color w:val="000000"/>
                <w:sz w:val="22"/>
                <w:szCs w:val="22"/>
                <w:lang w:eastAsia="en-GB"/>
              </w:rPr>
              <w:t>N9 Harassment or threats of harassment from neighbours or others living in the vicinity which cannot be resolved except through a move</w:t>
            </w:r>
          </w:p>
        </w:tc>
        <w:tc>
          <w:tcPr>
            <w:tcW w:w="1558" w:type="pct"/>
            <w:shd w:val="clear" w:color="auto" w:fill="auto"/>
            <w:vAlign w:val="center"/>
          </w:tcPr>
          <w:p w14:paraId="738D7D00" w14:textId="77777777" w:rsidR="001F27D2" w:rsidRPr="00046CEC" w:rsidRDefault="001F27D2" w:rsidP="00046CEC">
            <w:pPr>
              <w:spacing w:beforeLines="30" w:before="72" w:afterLines="30" w:after="72"/>
              <w:jc w:val="center"/>
              <w:rPr>
                <w:rFonts w:cs="Calibri"/>
                <w:color w:val="000000"/>
                <w:sz w:val="22"/>
                <w:szCs w:val="22"/>
                <w:lang w:eastAsia="en-GB"/>
              </w:rPr>
            </w:pPr>
            <w:r w:rsidRPr="00046CEC">
              <w:rPr>
                <w:rFonts w:cs="Calibri"/>
                <w:color w:val="000000"/>
                <w:sz w:val="22"/>
                <w:szCs w:val="22"/>
                <w:lang w:eastAsia="en-GB"/>
              </w:rPr>
              <w:t>279</w:t>
            </w:r>
          </w:p>
        </w:tc>
      </w:tr>
      <w:tr w:rsidR="001F27D2" w:rsidRPr="00046CEC" w14:paraId="409E0BF1" w14:textId="77777777" w:rsidTr="001F27D2">
        <w:trPr>
          <w:trHeight w:val="285"/>
        </w:trPr>
        <w:tc>
          <w:tcPr>
            <w:tcW w:w="3442" w:type="pct"/>
            <w:gridSpan w:val="2"/>
            <w:shd w:val="clear" w:color="auto" w:fill="auto"/>
            <w:noWrap/>
            <w:vAlign w:val="bottom"/>
            <w:hideMark/>
          </w:tcPr>
          <w:p w14:paraId="4D53770D" w14:textId="77777777" w:rsidR="001F27D2" w:rsidRPr="00046CEC" w:rsidRDefault="001F27D2" w:rsidP="00046CEC">
            <w:pPr>
              <w:spacing w:beforeLines="30" w:before="72" w:afterLines="30" w:after="72"/>
              <w:rPr>
                <w:rFonts w:cs="Calibri"/>
                <w:b/>
                <w:bCs/>
                <w:color w:val="000000"/>
                <w:sz w:val="22"/>
                <w:szCs w:val="22"/>
                <w:lang w:eastAsia="en-GB"/>
              </w:rPr>
            </w:pPr>
            <w:r w:rsidRPr="00046CEC">
              <w:rPr>
                <w:rFonts w:cs="Calibri"/>
                <w:b/>
                <w:bCs/>
                <w:color w:val="000000"/>
                <w:sz w:val="22"/>
                <w:szCs w:val="22"/>
                <w:lang w:eastAsia="en-GB"/>
              </w:rPr>
              <w:t>Total no. households in need (with one or more housing needs)</w:t>
            </w:r>
          </w:p>
        </w:tc>
        <w:tc>
          <w:tcPr>
            <w:tcW w:w="1558" w:type="pct"/>
            <w:shd w:val="clear" w:color="auto" w:fill="auto"/>
            <w:vAlign w:val="center"/>
          </w:tcPr>
          <w:p w14:paraId="160B0A7D" w14:textId="3FF7F488" w:rsidR="001F27D2" w:rsidRPr="00046CEC" w:rsidRDefault="001F27D2" w:rsidP="00046CEC">
            <w:pPr>
              <w:spacing w:beforeLines="30" w:before="72" w:afterLines="30" w:after="72"/>
              <w:jc w:val="center"/>
              <w:rPr>
                <w:rFonts w:cs="Calibri"/>
                <w:b/>
                <w:bCs/>
                <w:color w:val="000000"/>
                <w:sz w:val="22"/>
                <w:szCs w:val="22"/>
                <w:lang w:eastAsia="en-GB"/>
              </w:rPr>
            </w:pPr>
            <w:r w:rsidRPr="00046CEC">
              <w:rPr>
                <w:rFonts w:cs="Calibri"/>
                <w:b/>
                <w:bCs/>
                <w:color w:val="000000"/>
                <w:sz w:val="22"/>
                <w:szCs w:val="22"/>
                <w:lang w:eastAsia="en-GB"/>
              </w:rPr>
              <w:t>2,6</w:t>
            </w:r>
            <w:r w:rsidR="00156DE0">
              <w:rPr>
                <w:rFonts w:cs="Calibri"/>
                <w:b/>
                <w:bCs/>
                <w:color w:val="000000"/>
                <w:sz w:val="22"/>
                <w:szCs w:val="22"/>
                <w:lang w:eastAsia="en-GB"/>
              </w:rPr>
              <w:t>2</w:t>
            </w:r>
            <w:r w:rsidRPr="00046CEC">
              <w:rPr>
                <w:rFonts w:cs="Calibri"/>
                <w:b/>
                <w:bCs/>
                <w:color w:val="000000"/>
                <w:sz w:val="22"/>
                <w:szCs w:val="22"/>
                <w:lang w:eastAsia="en-GB"/>
              </w:rPr>
              <w:t>9</w:t>
            </w:r>
          </w:p>
        </w:tc>
      </w:tr>
      <w:tr w:rsidR="001F27D2" w:rsidRPr="00046CEC" w14:paraId="4BE13AA7" w14:textId="77777777" w:rsidTr="001F27D2">
        <w:trPr>
          <w:trHeight w:val="285"/>
        </w:trPr>
        <w:tc>
          <w:tcPr>
            <w:tcW w:w="3442" w:type="pct"/>
            <w:gridSpan w:val="2"/>
            <w:shd w:val="clear" w:color="auto" w:fill="auto"/>
            <w:noWrap/>
            <w:vAlign w:val="bottom"/>
            <w:hideMark/>
          </w:tcPr>
          <w:p w14:paraId="0A3CEEAD" w14:textId="77777777" w:rsidR="001F27D2" w:rsidRPr="00046CEC" w:rsidRDefault="001F27D2" w:rsidP="00046CEC">
            <w:pPr>
              <w:spacing w:beforeLines="30" w:before="72" w:afterLines="30" w:after="72"/>
              <w:rPr>
                <w:rFonts w:cs="Calibri"/>
                <w:color w:val="000000"/>
                <w:sz w:val="22"/>
                <w:szCs w:val="22"/>
                <w:lang w:eastAsia="en-GB"/>
              </w:rPr>
            </w:pPr>
            <w:r w:rsidRPr="00046CEC">
              <w:rPr>
                <w:rFonts w:cs="Calibri"/>
                <w:color w:val="000000"/>
                <w:sz w:val="22"/>
                <w:szCs w:val="22"/>
                <w:lang w:eastAsia="en-GB"/>
              </w:rPr>
              <w:t>Total Households</w:t>
            </w:r>
          </w:p>
        </w:tc>
        <w:tc>
          <w:tcPr>
            <w:tcW w:w="1558" w:type="pct"/>
            <w:shd w:val="clear" w:color="auto" w:fill="auto"/>
            <w:vAlign w:val="center"/>
          </w:tcPr>
          <w:p w14:paraId="5E9D1952" w14:textId="77777777" w:rsidR="001F27D2" w:rsidRPr="00046CEC" w:rsidRDefault="001F27D2" w:rsidP="00046CEC">
            <w:pPr>
              <w:spacing w:beforeLines="30" w:before="72" w:afterLines="30" w:after="72"/>
              <w:jc w:val="center"/>
              <w:rPr>
                <w:rFonts w:cs="Calibri"/>
                <w:color w:val="000000"/>
                <w:sz w:val="22"/>
                <w:szCs w:val="22"/>
                <w:lang w:eastAsia="en-GB"/>
              </w:rPr>
            </w:pPr>
            <w:r w:rsidRPr="00046CEC">
              <w:rPr>
                <w:rFonts w:cs="Calibri"/>
                <w:color w:val="000000"/>
                <w:sz w:val="22"/>
                <w:szCs w:val="22"/>
                <w:lang w:eastAsia="en-GB"/>
              </w:rPr>
              <w:t>23,763</w:t>
            </w:r>
          </w:p>
        </w:tc>
      </w:tr>
      <w:tr w:rsidR="001F27D2" w:rsidRPr="00046CEC" w14:paraId="57909438" w14:textId="77777777" w:rsidTr="001F27D2">
        <w:trPr>
          <w:trHeight w:val="285"/>
        </w:trPr>
        <w:tc>
          <w:tcPr>
            <w:tcW w:w="3442" w:type="pct"/>
            <w:gridSpan w:val="2"/>
            <w:shd w:val="clear" w:color="auto" w:fill="auto"/>
            <w:noWrap/>
            <w:vAlign w:val="bottom"/>
            <w:hideMark/>
          </w:tcPr>
          <w:p w14:paraId="1A93E6AC" w14:textId="77777777" w:rsidR="001F27D2" w:rsidRPr="00046CEC" w:rsidRDefault="001F27D2" w:rsidP="00046CEC">
            <w:pPr>
              <w:spacing w:beforeLines="30" w:before="72" w:afterLines="30" w:after="72"/>
              <w:rPr>
                <w:rFonts w:cs="Calibri"/>
                <w:b/>
                <w:bCs/>
                <w:color w:val="000000"/>
                <w:sz w:val="22"/>
                <w:szCs w:val="22"/>
                <w:lang w:eastAsia="en-GB"/>
              </w:rPr>
            </w:pPr>
            <w:r w:rsidRPr="00046CEC">
              <w:rPr>
                <w:rFonts w:cs="Calibri"/>
                <w:b/>
                <w:bCs/>
                <w:color w:val="000000"/>
                <w:sz w:val="22"/>
                <w:szCs w:val="22"/>
                <w:lang w:eastAsia="en-GB"/>
              </w:rPr>
              <w:t>% households in need</w:t>
            </w:r>
          </w:p>
        </w:tc>
        <w:tc>
          <w:tcPr>
            <w:tcW w:w="1558" w:type="pct"/>
            <w:shd w:val="clear" w:color="auto" w:fill="auto"/>
            <w:vAlign w:val="center"/>
          </w:tcPr>
          <w:p w14:paraId="37050B55" w14:textId="77777777" w:rsidR="001F27D2" w:rsidRPr="00046CEC" w:rsidRDefault="001F27D2" w:rsidP="00046CEC">
            <w:pPr>
              <w:spacing w:beforeLines="30" w:before="72" w:afterLines="30" w:after="72"/>
              <w:jc w:val="center"/>
              <w:rPr>
                <w:rFonts w:cs="Calibri"/>
                <w:b/>
                <w:bCs/>
                <w:color w:val="000000"/>
                <w:sz w:val="22"/>
                <w:szCs w:val="22"/>
                <w:lang w:eastAsia="en-GB"/>
              </w:rPr>
            </w:pPr>
            <w:r w:rsidRPr="00046CEC">
              <w:rPr>
                <w:rFonts w:cs="Calibri"/>
                <w:b/>
                <w:bCs/>
                <w:color w:val="000000"/>
                <w:sz w:val="22"/>
                <w:szCs w:val="22"/>
                <w:lang w:eastAsia="en-GB"/>
              </w:rPr>
              <w:t>11.1%</w:t>
            </w:r>
          </w:p>
        </w:tc>
      </w:tr>
    </w:tbl>
    <w:p w14:paraId="6093081A" w14:textId="46E5AEC3" w:rsidR="001F27D2" w:rsidRPr="002B2A7F" w:rsidRDefault="001F27D2" w:rsidP="001F27D2">
      <w:pPr>
        <w:rPr>
          <w:rFonts w:asciiTheme="minorHAnsi" w:hAnsiTheme="minorHAnsi" w:cs="Calibri"/>
          <w:iCs/>
          <w:sz w:val="20"/>
          <w:szCs w:val="20"/>
        </w:rPr>
      </w:pPr>
      <w:r w:rsidRPr="002B2A7F">
        <w:rPr>
          <w:rFonts w:asciiTheme="minorHAnsi" w:hAnsiTheme="minorHAnsi" w:cs="Calibri"/>
          <w:b/>
          <w:iCs/>
          <w:sz w:val="20"/>
          <w:szCs w:val="20"/>
        </w:rPr>
        <w:t xml:space="preserve">Note: </w:t>
      </w:r>
      <w:r w:rsidRPr="002B2A7F">
        <w:rPr>
          <w:rFonts w:asciiTheme="minorHAnsi" w:hAnsiTheme="minorHAnsi" w:cs="Calibri"/>
          <w:iCs/>
          <w:sz w:val="20"/>
          <w:szCs w:val="20"/>
        </w:rPr>
        <w:t>A household may have more than one housing need</w:t>
      </w:r>
      <w:r w:rsidR="00156DE0">
        <w:rPr>
          <w:rFonts w:asciiTheme="minorHAnsi" w:hAnsiTheme="minorHAnsi" w:cs="Calibri"/>
          <w:iCs/>
          <w:sz w:val="20"/>
          <w:szCs w:val="20"/>
        </w:rPr>
        <w:t xml:space="preserve"> and so the total number of households in need (2,629) is not the sum of the figures relating to need factors 1 to 9</w:t>
      </w:r>
      <w:r w:rsidRPr="002B2A7F">
        <w:rPr>
          <w:rFonts w:asciiTheme="minorHAnsi" w:hAnsiTheme="minorHAnsi" w:cs="Calibri"/>
          <w:iCs/>
          <w:sz w:val="20"/>
          <w:szCs w:val="20"/>
        </w:rPr>
        <w:t>.</w:t>
      </w:r>
    </w:p>
    <w:p w14:paraId="03AAAC89" w14:textId="77777777" w:rsidR="001F27D2" w:rsidRPr="002B2A7F" w:rsidRDefault="001F27D2" w:rsidP="001F27D2">
      <w:pPr>
        <w:tabs>
          <w:tab w:val="center" w:pos="4596"/>
        </w:tabs>
        <w:rPr>
          <w:rFonts w:asciiTheme="minorHAnsi" w:hAnsiTheme="minorHAnsi" w:cs="Calibri"/>
          <w:sz w:val="20"/>
          <w:szCs w:val="20"/>
        </w:rPr>
      </w:pPr>
      <w:r w:rsidRPr="002B2A7F">
        <w:rPr>
          <w:rFonts w:asciiTheme="minorHAnsi" w:hAnsiTheme="minorHAnsi" w:cs="Calibri"/>
          <w:sz w:val="20"/>
          <w:szCs w:val="20"/>
        </w:rPr>
        <w:t>Source: 2018 Household Survey</w:t>
      </w:r>
    </w:p>
    <w:p w14:paraId="180ABE8A" w14:textId="77777777" w:rsidR="001F27D2" w:rsidRPr="002B2A7F" w:rsidRDefault="001F27D2" w:rsidP="001F27D2">
      <w:pPr>
        <w:rPr>
          <w:rFonts w:asciiTheme="minorHAnsi" w:hAnsiTheme="minorHAnsi" w:cs="Calibri"/>
          <w:lang w:val="x-none"/>
        </w:rPr>
      </w:pPr>
      <w:r w:rsidRPr="002B2A7F">
        <w:rPr>
          <w:rFonts w:asciiTheme="minorHAnsi" w:hAnsiTheme="minorHAnsi" w:cs="Calibri"/>
        </w:rPr>
        <w:br w:type="page"/>
      </w:r>
    </w:p>
    <w:p w14:paraId="7D90241F" w14:textId="15944352" w:rsidR="001F27D2" w:rsidRPr="002B2A7F" w:rsidRDefault="001F27D2" w:rsidP="001F27D2">
      <w:pPr>
        <w:pStyle w:val="Reporttext"/>
      </w:pPr>
      <w:r w:rsidRPr="002B2A7F">
        <w:lastRenderedPageBreak/>
        <w:t xml:space="preserve">Table 5.2 summarises overall housing need (before further analysis to test the extent to which households can afford open market provision to offset their need) by HMA and the extent to which housing need varies across the </w:t>
      </w:r>
      <w:r w:rsidR="00396227">
        <w:t>D</w:t>
      </w:r>
      <w:r w:rsidRPr="002B2A7F">
        <w:t>istrict. The proportion of households in need does not vary across most of the HMAs, although is lowest in HMA5 West of M6</w:t>
      </w:r>
      <w:r w:rsidR="00396227">
        <w:t>.</w:t>
      </w:r>
    </w:p>
    <w:p w14:paraId="1DC6BB1D" w14:textId="77777777" w:rsidR="001F27D2" w:rsidRPr="002B2A7F" w:rsidRDefault="001F27D2" w:rsidP="001F27D2">
      <w:pPr>
        <w:pStyle w:val="Reporttext"/>
        <w:numPr>
          <w:ilvl w:val="0"/>
          <w:numId w:val="0"/>
        </w:numPr>
      </w:pPr>
    </w:p>
    <w:tbl>
      <w:tblPr>
        <w:tblW w:w="4573" w:type="pct"/>
        <w:tblInd w:w="720"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2309"/>
        <w:gridCol w:w="1938"/>
        <w:gridCol w:w="1936"/>
        <w:gridCol w:w="2213"/>
      </w:tblGrid>
      <w:tr w:rsidR="001F27D2" w:rsidRPr="00046CEC" w14:paraId="1AA1FFC6" w14:textId="77777777" w:rsidTr="00046CEC">
        <w:trPr>
          <w:trHeight w:val="460"/>
        </w:trPr>
        <w:tc>
          <w:tcPr>
            <w:tcW w:w="5000" w:type="pct"/>
            <w:gridSpan w:val="4"/>
            <w:shd w:val="clear" w:color="000000" w:fill="009999"/>
          </w:tcPr>
          <w:p w14:paraId="6C051921" w14:textId="77777777" w:rsidR="001F27D2" w:rsidRPr="00046CEC" w:rsidRDefault="001F27D2" w:rsidP="00046CEC">
            <w:pPr>
              <w:pStyle w:val="Tableheading1"/>
              <w:rPr>
                <w:color w:val="FFFFFF"/>
              </w:rPr>
            </w:pPr>
            <w:bookmarkStart w:id="387" w:name="_Toc505293157"/>
            <w:bookmarkStart w:id="388" w:name="_Toc529652121"/>
            <w:bookmarkStart w:id="389" w:name="_Toc529739445"/>
            <w:bookmarkStart w:id="390" w:name="_Toc531122948"/>
            <w:bookmarkStart w:id="391" w:name="_Toc532812483"/>
            <w:r w:rsidRPr="00046CEC">
              <w:t>Table 5.2</w:t>
            </w:r>
            <w:r w:rsidRPr="00046CEC">
              <w:tab/>
              <w:t xml:space="preserve">Households in need by </w:t>
            </w:r>
            <w:bookmarkEnd w:id="387"/>
            <w:bookmarkEnd w:id="388"/>
            <w:bookmarkEnd w:id="389"/>
            <w:r w:rsidRPr="00046CEC">
              <w:t>HMA</w:t>
            </w:r>
            <w:bookmarkEnd w:id="390"/>
            <w:bookmarkEnd w:id="391"/>
          </w:p>
        </w:tc>
      </w:tr>
      <w:tr w:rsidR="001F27D2" w:rsidRPr="00046CEC" w14:paraId="1AEC3CBE" w14:textId="77777777" w:rsidTr="00046CEC">
        <w:trPr>
          <w:trHeight w:val="324"/>
        </w:trPr>
        <w:tc>
          <w:tcPr>
            <w:tcW w:w="1375" w:type="pct"/>
            <w:shd w:val="clear" w:color="000000" w:fill="009999"/>
            <w:noWrap/>
            <w:vAlign w:val="bottom"/>
            <w:hideMark/>
          </w:tcPr>
          <w:p w14:paraId="53DE2146" w14:textId="77777777" w:rsidR="001F27D2" w:rsidRPr="00046CEC" w:rsidRDefault="001F27D2" w:rsidP="00046CEC">
            <w:pPr>
              <w:spacing w:before="0" w:after="0"/>
              <w:rPr>
                <w:rFonts w:cs="Calibri"/>
                <w:b/>
                <w:bCs/>
                <w:color w:val="FFFFFF"/>
                <w:sz w:val="22"/>
                <w:szCs w:val="22"/>
              </w:rPr>
            </w:pPr>
            <w:r w:rsidRPr="00046CEC">
              <w:rPr>
                <w:rFonts w:cs="Calibri"/>
                <w:b/>
                <w:bCs/>
                <w:color w:val="FFFFFF"/>
                <w:sz w:val="22"/>
                <w:szCs w:val="22"/>
              </w:rPr>
              <w:t>Ward</w:t>
            </w:r>
          </w:p>
        </w:tc>
        <w:tc>
          <w:tcPr>
            <w:tcW w:w="1154" w:type="pct"/>
            <w:shd w:val="clear" w:color="000000" w:fill="009999"/>
            <w:noWrap/>
            <w:tcMar>
              <w:left w:w="0" w:type="dxa"/>
              <w:right w:w="0" w:type="dxa"/>
            </w:tcMar>
            <w:vAlign w:val="bottom"/>
          </w:tcPr>
          <w:p w14:paraId="0BAF6C2D" w14:textId="77777777" w:rsidR="001F27D2" w:rsidRPr="00046CEC" w:rsidRDefault="001F27D2" w:rsidP="00046CEC">
            <w:pPr>
              <w:spacing w:before="0" w:after="0"/>
              <w:jc w:val="center"/>
              <w:rPr>
                <w:rFonts w:cs="Calibri"/>
                <w:b/>
                <w:bCs/>
                <w:color w:val="FFFFFF"/>
                <w:sz w:val="22"/>
                <w:szCs w:val="22"/>
              </w:rPr>
            </w:pPr>
            <w:r w:rsidRPr="00046CEC">
              <w:rPr>
                <w:rFonts w:cs="Calibri"/>
                <w:b/>
                <w:bCs/>
                <w:color w:val="FFFFFF"/>
                <w:sz w:val="22"/>
                <w:szCs w:val="22"/>
              </w:rPr>
              <w:t>No. of households</w:t>
            </w:r>
          </w:p>
          <w:p w14:paraId="63D5A37B" w14:textId="77777777" w:rsidR="001F27D2" w:rsidRPr="00046CEC" w:rsidRDefault="001F27D2" w:rsidP="00046CEC">
            <w:pPr>
              <w:spacing w:before="0" w:after="0"/>
              <w:jc w:val="center"/>
              <w:rPr>
                <w:rFonts w:cs="Calibri"/>
                <w:b/>
                <w:bCs/>
                <w:color w:val="FFFFFF"/>
                <w:sz w:val="22"/>
                <w:szCs w:val="22"/>
              </w:rPr>
            </w:pPr>
            <w:r w:rsidRPr="00046CEC">
              <w:rPr>
                <w:rFonts w:cs="Calibri"/>
                <w:b/>
                <w:bCs/>
                <w:color w:val="FFFFFF"/>
                <w:sz w:val="22"/>
                <w:szCs w:val="22"/>
              </w:rPr>
              <w:t>in need</w:t>
            </w:r>
          </w:p>
        </w:tc>
        <w:tc>
          <w:tcPr>
            <w:tcW w:w="1153" w:type="pct"/>
            <w:shd w:val="clear" w:color="000000" w:fill="009999"/>
            <w:noWrap/>
            <w:tcMar>
              <w:left w:w="0" w:type="dxa"/>
              <w:right w:w="0" w:type="dxa"/>
            </w:tcMar>
            <w:vAlign w:val="bottom"/>
          </w:tcPr>
          <w:p w14:paraId="15ED9B2D" w14:textId="77777777" w:rsidR="001F27D2" w:rsidRPr="00046CEC" w:rsidRDefault="001F27D2" w:rsidP="00046CEC">
            <w:pPr>
              <w:spacing w:before="0" w:after="0"/>
              <w:jc w:val="center"/>
              <w:rPr>
                <w:rFonts w:cs="Calibri"/>
                <w:b/>
                <w:bCs/>
                <w:color w:val="FFFFFF"/>
                <w:sz w:val="22"/>
                <w:szCs w:val="22"/>
              </w:rPr>
            </w:pPr>
            <w:r w:rsidRPr="00046CEC">
              <w:rPr>
                <w:rFonts w:cs="Calibri"/>
                <w:b/>
                <w:bCs/>
                <w:color w:val="FFFFFF"/>
                <w:sz w:val="22"/>
                <w:szCs w:val="22"/>
              </w:rPr>
              <w:t>Total no. households</w:t>
            </w:r>
          </w:p>
        </w:tc>
        <w:tc>
          <w:tcPr>
            <w:tcW w:w="1319" w:type="pct"/>
            <w:shd w:val="clear" w:color="000000" w:fill="009999"/>
            <w:tcMar>
              <w:left w:w="0" w:type="dxa"/>
              <w:right w:w="0" w:type="dxa"/>
            </w:tcMar>
            <w:vAlign w:val="bottom"/>
            <w:hideMark/>
          </w:tcPr>
          <w:p w14:paraId="5766B9A1" w14:textId="77777777" w:rsidR="001F27D2" w:rsidRPr="00046CEC" w:rsidRDefault="001F27D2" w:rsidP="00046CEC">
            <w:pPr>
              <w:spacing w:before="0" w:after="0"/>
              <w:jc w:val="center"/>
              <w:rPr>
                <w:rFonts w:cs="Calibri"/>
                <w:b/>
                <w:bCs/>
                <w:color w:val="FFFFFF"/>
                <w:sz w:val="22"/>
                <w:szCs w:val="22"/>
              </w:rPr>
            </w:pPr>
            <w:r w:rsidRPr="00046CEC">
              <w:rPr>
                <w:rFonts w:cs="Calibri"/>
                <w:b/>
                <w:bCs/>
                <w:color w:val="FFFFFF"/>
                <w:sz w:val="22"/>
                <w:szCs w:val="22"/>
              </w:rPr>
              <w:t>% of households in need</w:t>
            </w:r>
          </w:p>
        </w:tc>
      </w:tr>
      <w:tr w:rsidR="001F27D2" w:rsidRPr="00046CEC" w14:paraId="5B5E3E06" w14:textId="77777777" w:rsidTr="00046CEC">
        <w:trPr>
          <w:trHeight w:val="320"/>
        </w:trPr>
        <w:tc>
          <w:tcPr>
            <w:tcW w:w="1375" w:type="pct"/>
            <w:shd w:val="clear" w:color="auto" w:fill="auto"/>
            <w:noWrap/>
            <w:vAlign w:val="bottom"/>
          </w:tcPr>
          <w:p w14:paraId="73E30409" w14:textId="77777777" w:rsidR="001F27D2" w:rsidRPr="00046CEC" w:rsidRDefault="001F27D2" w:rsidP="00046CEC">
            <w:pPr>
              <w:spacing w:before="0" w:after="0"/>
              <w:rPr>
                <w:rFonts w:cs="Calibri"/>
                <w:color w:val="000000"/>
                <w:sz w:val="22"/>
                <w:szCs w:val="22"/>
              </w:rPr>
            </w:pPr>
            <w:r w:rsidRPr="00046CEC">
              <w:rPr>
                <w:rFonts w:cs="Calibri"/>
                <w:color w:val="000000"/>
                <w:sz w:val="22"/>
                <w:szCs w:val="22"/>
              </w:rPr>
              <w:t>HMA1A Penrith Urban</w:t>
            </w:r>
          </w:p>
        </w:tc>
        <w:tc>
          <w:tcPr>
            <w:tcW w:w="1154" w:type="pct"/>
            <w:shd w:val="clear" w:color="auto" w:fill="auto"/>
            <w:noWrap/>
            <w:vAlign w:val="bottom"/>
          </w:tcPr>
          <w:p w14:paraId="671EC441"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886</w:t>
            </w:r>
          </w:p>
        </w:tc>
        <w:tc>
          <w:tcPr>
            <w:tcW w:w="1153" w:type="pct"/>
            <w:shd w:val="clear" w:color="auto" w:fill="auto"/>
            <w:noWrap/>
            <w:vAlign w:val="bottom"/>
          </w:tcPr>
          <w:p w14:paraId="225BDC8A"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7,489</w:t>
            </w:r>
          </w:p>
        </w:tc>
        <w:tc>
          <w:tcPr>
            <w:tcW w:w="1319" w:type="pct"/>
            <w:shd w:val="clear" w:color="auto" w:fill="auto"/>
            <w:noWrap/>
            <w:vAlign w:val="bottom"/>
          </w:tcPr>
          <w:p w14:paraId="39285554"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11.8</w:t>
            </w:r>
          </w:p>
        </w:tc>
      </w:tr>
      <w:tr w:rsidR="001F27D2" w:rsidRPr="00046CEC" w14:paraId="2736AC64" w14:textId="77777777" w:rsidTr="00046CEC">
        <w:trPr>
          <w:trHeight w:val="320"/>
        </w:trPr>
        <w:tc>
          <w:tcPr>
            <w:tcW w:w="1375" w:type="pct"/>
            <w:shd w:val="clear" w:color="auto" w:fill="auto"/>
            <w:noWrap/>
            <w:vAlign w:val="bottom"/>
          </w:tcPr>
          <w:p w14:paraId="497E4319" w14:textId="77777777" w:rsidR="001F27D2" w:rsidRPr="00046CEC" w:rsidRDefault="001F27D2" w:rsidP="00046CEC">
            <w:pPr>
              <w:spacing w:before="0" w:after="0"/>
              <w:rPr>
                <w:rFonts w:cs="Calibri"/>
                <w:color w:val="000000"/>
                <w:sz w:val="22"/>
                <w:szCs w:val="22"/>
              </w:rPr>
            </w:pPr>
            <w:r w:rsidRPr="00046CEC">
              <w:rPr>
                <w:rFonts w:cs="Calibri"/>
                <w:color w:val="000000"/>
                <w:sz w:val="22"/>
                <w:szCs w:val="22"/>
              </w:rPr>
              <w:t>HMA1B Penrith Rural</w:t>
            </w:r>
          </w:p>
        </w:tc>
        <w:tc>
          <w:tcPr>
            <w:tcW w:w="1154" w:type="pct"/>
            <w:shd w:val="clear" w:color="auto" w:fill="auto"/>
            <w:noWrap/>
            <w:vAlign w:val="bottom"/>
          </w:tcPr>
          <w:p w14:paraId="0BE0E489"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604</w:t>
            </w:r>
          </w:p>
        </w:tc>
        <w:tc>
          <w:tcPr>
            <w:tcW w:w="1153" w:type="pct"/>
            <w:shd w:val="clear" w:color="auto" w:fill="auto"/>
            <w:noWrap/>
            <w:vAlign w:val="bottom"/>
          </w:tcPr>
          <w:p w14:paraId="4DAC1610"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4,939</w:t>
            </w:r>
          </w:p>
        </w:tc>
        <w:tc>
          <w:tcPr>
            <w:tcW w:w="1319" w:type="pct"/>
            <w:shd w:val="clear" w:color="auto" w:fill="auto"/>
            <w:noWrap/>
            <w:vAlign w:val="bottom"/>
          </w:tcPr>
          <w:p w14:paraId="5DD749CA"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12.2</w:t>
            </w:r>
          </w:p>
        </w:tc>
      </w:tr>
      <w:tr w:rsidR="001F27D2" w:rsidRPr="00046CEC" w14:paraId="13612A5C" w14:textId="77777777" w:rsidTr="00046CEC">
        <w:trPr>
          <w:trHeight w:val="320"/>
        </w:trPr>
        <w:tc>
          <w:tcPr>
            <w:tcW w:w="1375" w:type="pct"/>
            <w:shd w:val="clear" w:color="auto" w:fill="auto"/>
            <w:noWrap/>
            <w:vAlign w:val="bottom"/>
          </w:tcPr>
          <w:p w14:paraId="77804247" w14:textId="77777777" w:rsidR="001F27D2" w:rsidRPr="00046CEC" w:rsidRDefault="001F27D2" w:rsidP="00046CEC">
            <w:pPr>
              <w:spacing w:before="0" w:after="0"/>
              <w:rPr>
                <w:rFonts w:cs="Calibri"/>
                <w:color w:val="000000"/>
                <w:sz w:val="22"/>
                <w:szCs w:val="22"/>
              </w:rPr>
            </w:pPr>
            <w:r w:rsidRPr="00046CEC">
              <w:rPr>
                <w:rFonts w:cs="Calibri"/>
                <w:color w:val="000000"/>
                <w:sz w:val="22"/>
                <w:szCs w:val="22"/>
              </w:rPr>
              <w:t>HMA2 Appleby</w:t>
            </w:r>
          </w:p>
        </w:tc>
        <w:tc>
          <w:tcPr>
            <w:tcW w:w="1154" w:type="pct"/>
            <w:shd w:val="clear" w:color="auto" w:fill="auto"/>
            <w:noWrap/>
            <w:vAlign w:val="bottom"/>
          </w:tcPr>
          <w:p w14:paraId="0E7BA8B7"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405</w:t>
            </w:r>
          </w:p>
        </w:tc>
        <w:tc>
          <w:tcPr>
            <w:tcW w:w="1153" w:type="pct"/>
            <w:shd w:val="clear" w:color="auto" w:fill="auto"/>
            <w:noWrap/>
            <w:vAlign w:val="bottom"/>
          </w:tcPr>
          <w:p w14:paraId="39041EF7"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4,105</w:t>
            </w:r>
          </w:p>
        </w:tc>
        <w:tc>
          <w:tcPr>
            <w:tcW w:w="1319" w:type="pct"/>
            <w:shd w:val="clear" w:color="auto" w:fill="auto"/>
            <w:noWrap/>
            <w:vAlign w:val="bottom"/>
          </w:tcPr>
          <w:p w14:paraId="6E24C331"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9.9</w:t>
            </w:r>
          </w:p>
        </w:tc>
      </w:tr>
      <w:tr w:rsidR="001F27D2" w:rsidRPr="00046CEC" w14:paraId="5E63D819" w14:textId="77777777" w:rsidTr="00046CEC">
        <w:trPr>
          <w:trHeight w:val="320"/>
        </w:trPr>
        <w:tc>
          <w:tcPr>
            <w:tcW w:w="1375" w:type="pct"/>
            <w:shd w:val="clear" w:color="auto" w:fill="auto"/>
            <w:noWrap/>
            <w:vAlign w:val="bottom"/>
          </w:tcPr>
          <w:p w14:paraId="11A2D322" w14:textId="77777777" w:rsidR="001F27D2" w:rsidRPr="00046CEC" w:rsidRDefault="001F27D2" w:rsidP="00046CEC">
            <w:pPr>
              <w:spacing w:before="0" w:after="0"/>
              <w:rPr>
                <w:rFonts w:cs="Calibri"/>
                <w:color w:val="000000"/>
                <w:sz w:val="22"/>
                <w:szCs w:val="22"/>
              </w:rPr>
            </w:pPr>
            <w:r w:rsidRPr="00046CEC">
              <w:rPr>
                <w:rFonts w:cs="Calibri"/>
                <w:color w:val="000000"/>
                <w:sz w:val="22"/>
                <w:szCs w:val="22"/>
              </w:rPr>
              <w:t>HMA3 Kirkby Stephen</w:t>
            </w:r>
          </w:p>
        </w:tc>
        <w:tc>
          <w:tcPr>
            <w:tcW w:w="1154" w:type="pct"/>
            <w:shd w:val="clear" w:color="auto" w:fill="auto"/>
            <w:noWrap/>
            <w:vAlign w:val="bottom"/>
          </w:tcPr>
          <w:p w14:paraId="2E8A6C4F"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347</w:t>
            </w:r>
          </w:p>
        </w:tc>
        <w:tc>
          <w:tcPr>
            <w:tcW w:w="1153" w:type="pct"/>
            <w:shd w:val="clear" w:color="auto" w:fill="auto"/>
            <w:noWrap/>
            <w:vAlign w:val="bottom"/>
          </w:tcPr>
          <w:p w14:paraId="0F69EBF1"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3,023</w:t>
            </w:r>
          </w:p>
        </w:tc>
        <w:tc>
          <w:tcPr>
            <w:tcW w:w="1319" w:type="pct"/>
            <w:shd w:val="clear" w:color="auto" w:fill="auto"/>
            <w:noWrap/>
            <w:vAlign w:val="bottom"/>
          </w:tcPr>
          <w:p w14:paraId="6D8D3CD6"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11.5</w:t>
            </w:r>
          </w:p>
        </w:tc>
      </w:tr>
      <w:tr w:rsidR="001F27D2" w:rsidRPr="00046CEC" w14:paraId="5AC29AB6" w14:textId="77777777" w:rsidTr="00046CEC">
        <w:trPr>
          <w:trHeight w:val="320"/>
        </w:trPr>
        <w:tc>
          <w:tcPr>
            <w:tcW w:w="1375" w:type="pct"/>
            <w:shd w:val="clear" w:color="auto" w:fill="auto"/>
            <w:noWrap/>
            <w:vAlign w:val="bottom"/>
          </w:tcPr>
          <w:p w14:paraId="376628C0" w14:textId="77777777" w:rsidR="001F27D2" w:rsidRPr="00046CEC" w:rsidRDefault="001F27D2" w:rsidP="00046CEC">
            <w:pPr>
              <w:spacing w:before="0" w:after="0"/>
              <w:rPr>
                <w:rFonts w:cs="Calibri"/>
                <w:color w:val="000000"/>
                <w:sz w:val="22"/>
                <w:szCs w:val="22"/>
              </w:rPr>
            </w:pPr>
            <w:r w:rsidRPr="00046CEC">
              <w:rPr>
                <w:rFonts w:cs="Calibri"/>
                <w:color w:val="000000"/>
                <w:sz w:val="22"/>
                <w:szCs w:val="22"/>
              </w:rPr>
              <w:t>HMA4 Alston</w:t>
            </w:r>
          </w:p>
        </w:tc>
        <w:tc>
          <w:tcPr>
            <w:tcW w:w="1154" w:type="pct"/>
            <w:shd w:val="clear" w:color="auto" w:fill="auto"/>
            <w:noWrap/>
            <w:vAlign w:val="bottom"/>
          </w:tcPr>
          <w:p w14:paraId="65361647"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196</w:t>
            </w:r>
          </w:p>
        </w:tc>
        <w:tc>
          <w:tcPr>
            <w:tcW w:w="1153" w:type="pct"/>
            <w:shd w:val="clear" w:color="auto" w:fill="auto"/>
            <w:noWrap/>
            <w:vAlign w:val="bottom"/>
          </w:tcPr>
          <w:p w14:paraId="67019B66"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1,626</w:t>
            </w:r>
          </w:p>
        </w:tc>
        <w:tc>
          <w:tcPr>
            <w:tcW w:w="1319" w:type="pct"/>
            <w:shd w:val="clear" w:color="auto" w:fill="auto"/>
            <w:noWrap/>
            <w:vAlign w:val="bottom"/>
          </w:tcPr>
          <w:p w14:paraId="43B390B0"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12.1</w:t>
            </w:r>
          </w:p>
        </w:tc>
      </w:tr>
      <w:tr w:rsidR="001F27D2" w:rsidRPr="00046CEC" w14:paraId="457320FB" w14:textId="77777777" w:rsidTr="00046CEC">
        <w:trPr>
          <w:trHeight w:val="320"/>
        </w:trPr>
        <w:tc>
          <w:tcPr>
            <w:tcW w:w="1375" w:type="pct"/>
            <w:shd w:val="clear" w:color="auto" w:fill="auto"/>
            <w:noWrap/>
            <w:vAlign w:val="bottom"/>
          </w:tcPr>
          <w:p w14:paraId="76B60BBC" w14:textId="77777777" w:rsidR="001F27D2" w:rsidRPr="00046CEC" w:rsidRDefault="001F27D2" w:rsidP="00046CEC">
            <w:pPr>
              <w:spacing w:before="0" w:after="0"/>
              <w:rPr>
                <w:rFonts w:cs="Calibri"/>
                <w:color w:val="000000"/>
                <w:sz w:val="22"/>
                <w:szCs w:val="22"/>
              </w:rPr>
            </w:pPr>
            <w:r w:rsidRPr="00046CEC">
              <w:rPr>
                <w:rFonts w:cs="Calibri"/>
                <w:color w:val="000000"/>
                <w:sz w:val="22"/>
                <w:szCs w:val="22"/>
              </w:rPr>
              <w:t>HMA5 West of M6</w:t>
            </w:r>
          </w:p>
        </w:tc>
        <w:tc>
          <w:tcPr>
            <w:tcW w:w="1154" w:type="pct"/>
            <w:shd w:val="clear" w:color="auto" w:fill="auto"/>
            <w:noWrap/>
            <w:vAlign w:val="bottom"/>
          </w:tcPr>
          <w:p w14:paraId="40ED2069"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193</w:t>
            </w:r>
          </w:p>
        </w:tc>
        <w:tc>
          <w:tcPr>
            <w:tcW w:w="1153" w:type="pct"/>
            <w:shd w:val="clear" w:color="auto" w:fill="auto"/>
            <w:noWrap/>
            <w:vAlign w:val="bottom"/>
          </w:tcPr>
          <w:p w14:paraId="64013263"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2,581</w:t>
            </w:r>
          </w:p>
        </w:tc>
        <w:tc>
          <w:tcPr>
            <w:tcW w:w="1319" w:type="pct"/>
            <w:shd w:val="clear" w:color="auto" w:fill="auto"/>
            <w:noWrap/>
            <w:vAlign w:val="bottom"/>
          </w:tcPr>
          <w:p w14:paraId="1CF6DC6E"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7.5</w:t>
            </w:r>
          </w:p>
        </w:tc>
      </w:tr>
      <w:tr w:rsidR="001F27D2" w:rsidRPr="00046CEC" w14:paraId="23085CD0" w14:textId="77777777" w:rsidTr="00046CEC">
        <w:trPr>
          <w:trHeight w:val="320"/>
        </w:trPr>
        <w:tc>
          <w:tcPr>
            <w:tcW w:w="1375" w:type="pct"/>
            <w:shd w:val="clear" w:color="auto" w:fill="auto"/>
            <w:noWrap/>
            <w:vAlign w:val="bottom"/>
          </w:tcPr>
          <w:p w14:paraId="6CC51FC9" w14:textId="77777777" w:rsidR="001F27D2" w:rsidRPr="00046CEC" w:rsidRDefault="001F27D2" w:rsidP="00046CEC">
            <w:pPr>
              <w:spacing w:before="0" w:after="0"/>
              <w:rPr>
                <w:rFonts w:cs="Calibri"/>
                <w:color w:val="000000"/>
                <w:sz w:val="22"/>
                <w:szCs w:val="22"/>
              </w:rPr>
            </w:pPr>
            <w:r w:rsidRPr="00046CEC">
              <w:rPr>
                <w:rFonts w:cs="Calibri"/>
                <w:color w:val="000000"/>
                <w:sz w:val="22"/>
                <w:szCs w:val="22"/>
              </w:rPr>
              <w:t>Total</w:t>
            </w:r>
          </w:p>
        </w:tc>
        <w:tc>
          <w:tcPr>
            <w:tcW w:w="1154" w:type="pct"/>
            <w:shd w:val="clear" w:color="auto" w:fill="auto"/>
            <w:noWrap/>
            <w:vAlign w:val="bottom"/>
          </w:tcPr>
          <w:p w14:paraId="616163B8"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2,629</w:t>
            </w:r>
          </w:p>
        </w:tc>
        <w:tc>
          <w:tcPr>
            <w:tcW w:w="1153" w:type="pct"/>
            <w:shd w:val="clear" w:color="auto" w:fill="auto"/>
            <w:noWrap/>
            <w:vAlign w:val="bottom"/>
          </w:tcPr>
          <w:p w14:paraId="703B73DD"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23,763</w:t>
            </w:r>
          </w:p>
        </w:tc>
        <w:tc>
          <w:tcPr>
            <w:tcW w:w="1319" w:type="pct"/>
            <w:shd w:val="clear" w:color="auto" w:fill="auto"/>
            <w:noWrap/>
            <w:vAlign w:val="bottom"/>
          </w:tcPr>
          <w:p w14:paraId="33D8E650"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11.1</w:t>
            </w:r>
          </w:p>
        </w:tc>
      </w:tr>
    </w:tbl>
    <w:p w14:paraId="12DD518F" w14:textId="4EC74558" w:rsidR="001F27D2" w:rsidRPr="00046CEC" w:rsidRDefault="001F27D2" w:rsidP="001F27D2">
      <w:pPr>
        <w:pStyle w:val="Reporttext"/>
        <w:numPr>
          <w:ilvl w:val="0"/>
          <w:numId w:val="0"/>
        </w:numPr>
        <w:ind w:left="709"/>
        <w:rPr>
          <w:sz w:val="20"/>
        </w:rPr>
      </w:pPr>
      <w:r w:rsidRPr="00046CEC">
        <w:rPr>
          <w:sz w:val="20"/>
        </w:rPr>
        <w:t>Source: 2018 Household Survey</w:t>
      </w:r>
      <w:r w:rsidR="001F1204">
        <w:rPr>
          <w:sz w:val="20"/>
        </w:rPr>
        <w:t xml:space="preserve"> Note: totals subject to rounding errors</w:t>
      </w:r>
    </w:p>
    <w:p w14:paraId="4F8EA50D" w14:textId="77777777" w:rsidR="001F27D2" w:rsidRPr="002B2A7F" w:rsidRDefault="001F27D2" w:rsidP="001F27D2">
      <w:pPr>
        <w:pStyle w:val="Reporttext"/>
        <w:numPr>
          <w:ilvl w:val="0"/>
          <w:numId w:val="0"/>
        </w:numPr>
        <w:ind w:left="709"/>
      </w:pPr>
    </w:p>
    <w:p w14:paraId="2E5ED637" w14:textId="0E44D31C" w:rsidR="001F27D2" w:rsidRPr="002B2A7F" w:rsidRDefault="001F27D2" w:rsidP="001F27D2">
      <w:pPr>
        <w:pStyle w:val="Reporttext"/>
        <w:rPr>
          <w:b/>
        </w:rPr>
      </w:pPr>
      <w:r w:rsidRPr="002B2A7F">
        <w:t xml:space="preserve">Table 5.3 shows how the proportion of households in housing need varies by tenure across the </w:t>
      </w:r>
      <w:r w:rsidR="00396227">
        <w:t>D</w:t>
      </w:r>
      <w:r w:rsidRPr="002B2A7F">
        <w:t>istrict. Private rented households are more likely to be in housing need (17.7%) followed by 16.2% of households in affordable housing and 8.5% of owner occupiers.</w:t>
      </w:r>
    </w:p>
    <w:p w14:paraId="074CC471" w14:textId="77777777" w:rsidR="001F27D2" w:rsidRPr="002B2A7F" w:rsidRDefault="001F27D2" w:rsidP="001F27D2">
      <w:pPr>
        <w:pStyle w:val="Reporttext"/>
        <w:numPr>
          <w:ilvl w:val="0"/>
          <w:numId w:val="0"/>
        </w:numPr>
      </w:pPr>
    </w:p>
    <w:tbl>
      <w:tblPr>
        <w:tblW w:w="4573" w:type="pct"/>
        <w:tblInd w:w="720"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2307"/>
        <w:gridCol w:w="1938"/>
        <w:gridCol w:w="1938"/>
        <w:gridCol w:w="2213"/>
      </w:tblGrid>
      <w:tr w:rsidR="001F27D2" w:rsidRPr="00046CEC" w14:paraId="7CE2821F" w14:textId="77777777" w:rsidTr="00046CEC">
        <w:tc>
          <w:tcPr>
            <w:tcW w:w="5000" w:type="pct"/>
            <w:gridSpan w:val="4"/>
            <w:shd w:val="clear" w:color="auto" w:fill="009999"/>
            <w:vAlign w:val="bottom"/>
          </w:tcPr>
          <w:p w14:paraId="2718C8F7" w14:textId="77777777" w:rsidR="001F27D2" w:rsidRPr="00046CEC" w:rsidRDefault="001F27D2" w:rsidP="00046CEC">
            <w:pPr>
              <w:pStyle w:val="Tableheading1"/>
              <w:rPr>
                <w:color w:val="FFFFFF"/>
                <w:lang w:eastAsia="en-GB"/>
              </w:rPr>
            </w:pPr>
            <w:bookmarkStart w:id="392" w:name="_Toc430782755"/>
            <w:bookmarkStart w:id="393" w:name="_Toc505293158"/>
            <w:bookmarkStart w:id="394" w:name="_Toc529652122"/>
            <w:bookmarkStart w:id="395" w:name="_Toc529739446"/>
            <w:bookmarkStart w:id="396" w:name="_Toc531122949"/>
            <w:bookmarkStart w:id="397" w:name="_Toc532812484"/>
            <w:r w:rsidRPr="00046CEC">
              <w:t>Table 5.3</w:t>
            </w:r>
            <w:r w:rsidRPr="00046CEC">
              <w:tab/>
              <w:t>Housing need by tenure</w:t>
            </w:r>
            <w:bookmarkEnd w:id="392"/>
            <w:bookmarkEnd w:id="393"/>
            <w:bookmarkEnd w:id="394"/>
            <w:bookmarkEnd w:id="395"/>
            <w:bookmarkEnd w:id="396"/>
            <w:bookmarkEnd w:id="397"/>
          </w:p>
        </w:tc>
      </w:tr>
      <w:tr w:rsidR="001F27D2" w:rsidRPr="00046CEC" w14:paraId="2E04CF79" w14:textId="77777777" w:rsidTr="00046CEC">
        <w:trPr>
          <w:trHeight w:val="690"/>
        </w:trPr>
        <w:tc>
          <w:tcPr>
            <w:tcW w:w="1374" w:type="pct"/>
            <w:shd w:val="clear" w:color="auto" w:fill="009999"/>
            <w:vAlign w:val="bottom"/>
            <w:hideMark/>
          </w:tcPr>
          <w:p w14:paraId="18A6C9AA" w14:textId="77777777" w:rsidR="001F27D2" w:rsidRPr="00046CEC" w:rsidRDefault="001F27D2" w:rsidP="00046CEC">
            <w:pPr>
              <w:spacing w:before="0" w:after="0"/>
              <w:rPr>
                <w:rFonts w:cs="Calibri"/>
                <w:b/>
                <w:bCs/>
                <w:color w:val="FFFFFF"/>
                <w:sz w:val="22"/>
                <w:szCs w:val="22"/>
                <w:lang w:eastAsia="en-GB"/>
              </w:rPr>
            </w:pPr>
            <w:r w:rsidRPr="00046CEC">
              <w:rPr>
                <w:rFonts w:cs="Calibri"/>
                <w:b/>
                <w:bCs/>
                <w:color w:val="FFFFFF"/>
                <w:sz w:val="22"/>
                <w:szCs w:val="22"/>
                <w:lang w:eastAsia="en-GB"/>
              </w:rPr>
              <w:t>Tenure</w:t>
            </w:r>
          </w:p>
        </w:tc>
        <w:tc>
          <w:tcPr>
            <w:tcW w:w="1154" w:type="pct"/>
            <w:shd w:val="clear" w:color="auto" w:fill="009999"/>
            <w:vAlign w:val="bottom"/>
            <w:hideMark/>
          </w:tcPr>
          <w:p w14:paraId="51932F89" w14:textId="77777777" w:rsidR="001F27D2" w:rsidRPr="00046CEC" w:rsidRDefault="001F27D2" w:rsidP="00046CEC">
            <w:pPr>
              <w:spacing w:before="0" w:after="0"/>
              <w:jc w:val="center"/>
              <w:rPr>
                <w:rFonts w:cs="Calibri"/>
                <w:b/>
                <w:bCs/>
                <w:color w:val="FFFFFF"/>
                <w:sz w:val="22"/>
                <w:szCs w:val="22"/>
                <w:lang w:eastAsia="en-GB"/>
              </w:rPr>
            </w:pPr>
            <w:r w:rsidRPr="00046CEC">
              <w:rPr>
                <w:rFonts w:cs="Calibri"/>
                <w:b/>
                <w:bCs/>
                <w:color w:val="FFFFFF"/>
                <w:sz w:val="22"/>
                <w:szCs w:val="22"/>
                <w:lang w:eastAsia="en-GB"/>
              </w:rPr>
              <w:t>No. H'holds in need</w:t>
            </w:r>
          </w:p>
        </w:tc>
        <w:tc>
          <w:tcPr>
            <w:tcW w:w="1154" w:type="pct"/>
            <w:shd w:val="clear" w:color="auto" w:fill="009999"/>
            <w:vAlign w:val="bottom"/>
            <w:hideMark/>
          </w:tcPr>
          <w:p w14:paraId="16937E21" w14:textId="77777777" w:rsidR="001F27D2" w:rsidRPr="00046CEC" w:rsidRDefault="001F27D2" w:rsidP="00046CEC">
            <w:pPr>
              <w:spacing w:before="0" w:after="0"/>
              <w:jc w:val="center"/>
              <w:rPr>
                <w:rFonts w:cs="Calibri"/>
                <w:b/>
                <w:bCs/>
                <w:color w:val="FFFFFF"/>
                <w:sz w:val="22"/>
                <w:szCs w:val="22"/>
                <w:lang w:eastAsia="en-GB"/>
              </w:rPr>
            </w:pPr>
            <w:r w:rsidRPr="00046CEC">
              <w:rPr>
                <w:rFonts w:cs="Calibri"/>
                <w:b/>
                <w:bCs/>
                <w:color w:val="FFFFFF"/>
                <w:sz w:val="22"/>
                <w:szCs w:val="22"/>
                <w:lang w:eastAsia="en-GB"/>
              </w:rPr>
              <w:t>Total no. households</w:t>
            </w:r>
          </w:p>
        </w:tc>
        <w:tc>
          <w:tcPr>
            <w:tcW w:w="1318" w:type="pct"/>
            <w:shd w:val="clear" w:color="auto" w:fill="009999"/>
            <w:vAlign w:val="bottom"/>
            <w:hideMark/>
          </w:tcPr>
          <w:p w14:paraId="335A65EC" w14:textId="77777777" w:rsidR="001F27D2" w:rsidRPr="00046CEC" w:rsidRDefault="001F27D2" w:rsidP="00046CEC">
            <w:pPr>
              <w:spacing w:before="0" w:after="0"/>
              <w:jc w:val="center"/>
              <w:rPr>
                <w:rFonts w:cs="Calibri"/>
                <w:b/>
                <w:bCs/>
                <w:color w:val="FFFFFF"/>
                <w:sz w:val="22"/>
                <w:szCs w:val="22"/>
                <w:lang w:eastAsia="en-GB"/>
              </w:rPr>
            </w:pPr>
            <w:r w:rsidRPr="00046CEC">
              <w:rPr>
                <w:rFonts w:cs="Calibri"/>
                <w:b/>
                <w:bCs/>
                <w:color w:val="FFFFFF"/>
                <w:sz w:val="22"/>
                <w:szCs w:val="22"/>
                <w:lang w:eastAsia="en-GB"/>
              </w:rPr>
              <w:t>% H'holds in need</w:t>
            </w:r>
          </w:p>
        </w:tc>
      </w:tr>
      <w:tr w:rsidR="001F27D2" w:rsidRPr="00046CEC" w14:paraId="3BCBAB70" w14:textId="77777777" w:rsidTr="00046CEC">
        <w:tc>
          <w:tcPr>
            <w:tcW w:w="1374" w:type="pct"/>
            <w:shd w:val="clear" w:color="auto" w:fill="auto"/>
            <w:noWrap/>
            <w:vAlign w:val="bottom"/>
            <w:hideMark/>
          </w:tcPr>
          <w:p w14:paraId="09982C67" w14:textId="77777777" w:rsidR="001F27D2" w:rsidRPr="00046CEC" w:rsidRDefault="001F27D2" w:rsidP="00046CEC">
            <w:pPr>
              <w:spacing w:before="0" w:after="0"/>
              <w:rPr>
                <w:rFonts w:cs="Calibri"/>
                <w:color w:val="000000"/>
                <w:sz w:val="22"/>
                <w:szCs w:val="22"/>
              </w:rPr>
            </w:pPr>
            <w:r w:rsidRPr="00046CEC">
              <w:rPr>
                <w:rFonts w:cs="Calibri"/>
                <w:color w:val="000000"/>
                <w:sz w:val="22"/>
                <w:szCs w:val="22"/>
              </w:rPr>
              <w:t>Owner Occupied</w:t>
            </w:r>
          </w:p>
        </w:tc>
        <w:tc>
          <w:tcPr>
            <w:tcW w:w="1154" w:type="pct"/>
            <w:shd w:val="clear" w:color="auto" w:fill="auto"/>
            <w:noWrap/>
            <w:vAlign w:val="bottom"/>
          </w:tcPr>
          <w:p w14:paraId="2DEC1DEC"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1,431</w:t>
            </w:r>
          </w:p>
        </w:tc>
        <w:tc>
          <w:tcPr>
            <w:tcW w:w="1154" w:type="pct"/>
            <w:shd w:val="clear" w:color="auto" w:fill="auto"/>
            <w:noWrap/>
            <w:vAlign w:val="bottom"/>
          </w:tcPr>
          <w:p w14:paraId="5644AA8B"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16,766</w:t>
            </w:r>
          </w:p>
        </w:tc>
        <w:tc>
          <w:tcPr>
            <w:tcW w:w="1318" w:type="pct"/>
            <w:shd w:val="clear" w:color="auto" w:fill="auto"/>
            <w:noWrap/>
            <w:vAlign w:val="bottom"/>
          </w:tcPr>
          <w:p w14:paraId="234F7F19"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8.5</w:t>
            </w:r>
          </w:p>
        </w:tc>
      </w:tr>
      <w:tr w:rsidR="001F27D2" w:rsidRPr="00046CEC" w14:paraId="4580BF12" w14:textId="77777777" w:rsidTr="00046CEC">
        <w:tc>
          <w:tcPr>
            <w:tcW w:w="1374" w:type="pct"/>
            <w:shd w:val="clear" w:color="auto" w:fill="auto"/>
            <w:noWrap/>
            <w:vAlign w:val="bottom"/>
            <w:hideMark/>
          </w:tcPr>
          <w:p w14:paraId="0F7CBADC" w14:textId="77777777" w:rsidR="001F27D2" w:rsidRPr="00046CEC" w:rsidRDefault="001F27D2" w:rsidP="00046CEC">
            <w:pPr>
              <w:spacing w:before="0" w:after="0"/>
              <w:rPr>
                <w:rFonts w:cs="Calibri"/>
                <w:color w:val="000000"/>
                <w:sz w:val="22"/>
                <w:szCs w:val="22"/>
              </w:rPr>
            </w:pPr>
            <w:r w:rsidRPr="00046CEC">
              <w:rPr>
                <w:rFonts w:cs="Calibri"/>
                <w:color w:val="000000"/>
                <w:sz w:val="22"/>
                <w:szCs w:val="22"/>
              </w:rPr>
              <w:t>Private Rented</w:t>
            </w:r>
          </w:p>
        </w:tc>
        <w:tc>
          <w:tcPr>
            <w:tcW w:w="1154" w:type="pct"/>
            <w:shd w:val="clear" w:color="auto" w:fill="auto"/>
            <w:noWrap/>
            <w:vAlign w:val="bottom"/>
          </w:tcPr>
          <w:p w14:paraId="3F19553A"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775</w:t>
            </w:r>
          </w:p>
        </w:tc>
        <w:tc>
          <w:tcPr>
            <w:tcW w:w="1154" w:type="pct"/>
            <w:shd w:val="clear" w:color="auto" w:fill="auto"/>
            <w:noWrap/>
            <w:vAlign w:val="bottom"/>
          </w:tcPr>
          <w:p w14:paraId="49E75A9A"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4,376</w:t>
            </w:r>
          </w:p>
        </w:tc>
        <w:tc>
          <w:tcPr>
            <w:tcW w:w="1318" w:type="pct"/>
            <w:shd w:val="clear" w:color="auto" w:fill="auto"/>
            <w:noWrap/>
            <w:vAlign w:val="bottom"/>
          </w:tcPr>
          <w:p w14:paraId="4B8B9931"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17.7</w:t>
            </w:r>
          </w:p>
        </w:tc>
      </w:tr>
      <w:tr w:rsidR="001F27D2" w:rsidRPr="00046CEC" w14:paraId="5E93E548" w14:textId="77777777" w:rsidTr="00046CEC">
        <w:tc>
          <w:tcPr>
            <w:tcW w:w="1374" w:type="pct"/>
            <w:shd w:val="clear" w:color="auto" w:fill="auto"/>
            <w:noWrap/>
            <w:vAlign w:val="bottom"/>
            <w:hideMark/>
          </w:tcPr>
          <w:p w14:paraId="772F004F" w14:textId="77777777" w:rsidR="001F27D2" w:rsidRPr="00046CEC" w:rsidRDefault="001F27D2" w:rsidP="00046CEC">
            <w:pPr>
              <w:spacing w:before="0" w:after="0"/>
              <w:rPr>
                <w:rFonts w:cs="Calibri"/>
                <w:color w:val="000000"/>
                <w:sz w:val="22"/>
                <w:szCs w:val="22"/>
              </w:rPr>
            </w:pPr>
            <w:r w:rsidRPr="00046CEC">
              <w:rPr>
                <w:rFonts w:cs="Calibri"/>
                <w:color w:val="000000"/>
                <w:sz w:val="22"/>
                <w:szCs w:val="22"/>
              </w:rPr>
              <w:t>Affordable</w:t>
            </w:r>
          </w:p>
        </w:tc>
        <w:tc>
          <w:tcPr>
            <w:tcW w:w="1154" w:type="pct"/>
            <w:shd w:val="clear" w:color="auto" w:fill="auto"/>
            <w:noWrap/>
            <w:vAlign w:val="bottom"/>
          </w:tcPr>
          <w:p w14:paraId="612BD0AE"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424</w:t>
            </w:r>
          </w:p>
        </w:tc>
        <w:tc>
          <w:tcPr>
            <w:tcW w:w="1154" w:type="pct"/>
            <w:shd w:val="clear" w:color="auto" w:fill="auto"/>
            <w:noWrap/>
            <w:vAlign w:val="bottom"/>
          </w:tcPr>
          <w:p w14:paraId="68F19852"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2,621</w:t>
            </w:r>
          </w:p>
        </w:tc>
        <w:tc>
          <w:tcPr>
            <w:tcW w:w="1318" w:type="pct"/>
            <w:shd w:val="clear" w:color="auto" w:fill="auto"/>
            <w:noWrap/>
            <w:vAlign w:val="bottom"/>
          </w:tcPr>
          <w:p w14:paraId="176D7E53"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16.2</w:t>
            </w:r>
          </w:p>
        </w:tc>
      </w:tr>
      <w:tr w:rsidR="001F27D2" w:rsidRPr="00046CEC" w14:paraId="3F66BC5F" w14:textId="77777777" w:rsidTr="00046CEC">
        <w:trPr>
          <w:trHeight w:val="233"/>
        </w:trPr>
        <w:tc>
          <w:tcPr>
            <w:tcW w:w="1374" w:type="pct"/>
            <w:shd w:val="clear" w:color="auto" w:fill="auto"/>
            <w:noWrap/>
            <w:vAlign w:val="bottom"/>
            <w:hideMark/>
          </w:tcPr>
          <w:p w14:paraId="6ACFDEA9" w14:textId="77777777" w:rsidR="001F27D2" w:rsidRPr="00046CEC" w:rsidRDefault="001F27D2" w:rsidP="00046CEC">
            <w:pPr>
              <w:spacing w:before="0" w:after="0"/>
              <w:rPr>
                <w:rFonts w:cs="Calibri"/>
                <w:color w:val="000000"/>
                <w:sz w:val="22"/>
                <w:szCs w:val="22"/>
              </w:rPr>
            </w:pPr>
            <w:r w:rsidRPr="00046CEC">
              <w:rPr>
                <w:rFonts w:cs="Calibri"/>
                <w:color w:val="000000"/>
                <w:sz w:val="22"/>
                <w:szCs w:val="22"/>
              </w:rPr>
              <w:t>Total</w:t>
            </w:r>
          </w:p>
        </w:tc>
        <w:tc>
          <w:tcPr>
            <w:tcW w:w="1154" w:type="pct"/>
            <w:shd w:val="clear" w:color="auto" w:fill="auto"/>
            <w:noWrap/>
            <w:vAlign w:val="bottom"/>
          </w:tcPr>
          <w:p w14:paraId="439DDBA0"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2,629</w:t>
            </w:r>
          </w:p>
        </w:tc>
        <w:tc>
          <w:tcPr>
            <w:tcW w:w="1154" w:type="pct"/>
            <w:shd w:val="clear" w:color="auto" w:fill="auto"/>
            <w:noWrap/>
            <w:vAlign w:val="bottom"/>
          </w:tcPr>
          <w:p w14:paraId="19FF6810"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23,763</w:t>
            </w:r>
          </w:p>
        </w:tc>
        <w:tc>
          <w:tcPr>
            <w:tcW w:w="1318" w:type="pct"/>
            <w:shd w:val="clear" w:color="auto" w:fill="auto"/>
            <w:noWrap/>
            <w:vAlign w:val="bottom"/>
          </w:tcPr>
          <w:p w14:paraId="7647E69B"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11.1</w:t>
            </w:r>
          </w:p>
        </w:tc>
      </w:tr>
    </w:tbl>
    <w:p w14:paraId="63557049" w14:textId="77777777" w:rsidR="001F27D2" w:rsidRPr="002B2A7F" w:rsidRDefault="001F27D2" w:rsidP="00046CEC">
      <w:pPr>
        <w:ind w:left="709"/>
        <w:rPr>
          <w:rFonts w:asciiTheme="minorHAnsi" w:hAnsiTheme="minorHAnsi" w:cs="Calibri"/>
          <w:sz w:val="20"/>
          <w:szCs w:val="20"/>
        </w:rPr>
      </w:pPr>
      <w:r w:rsidRPr="002B2A7F">
        <w:rPr>
          <w:rFonts w:asciiTheme="minorHAnsi" w:hAnsiTheme="minorHAnsi" w:cs="Calibri"/>
          <w:sz w:val="20"/>
          <w:szCs w:val="20"/>
        </w:rPr>
        <w:t>Source: 2018 Household Survey</w:t>
      </w:r>
    </w:p>
    <w:p w14:paraId="5FC19050" w14:textId="77777777" w:rsidR="001F27D2" w:rsidRPr="002B2A7F" w:rsidRDefault="001F27D2" w:rsidP="001F27D2">
      <w:pPr>
        <w:pStyle w:val="Reporttext"/>
        <w:numPr>
          <w:ilvl w:val="0"/>
          <w:numId w:val="0"/>
        </w:numPr>
      </w:pPr>
    </w:p>
    <w:p w14:paraId="1FCA2734" w14:textId="2B1E6E92" w:rsidR="001F27D2" w:rsidRDefault="001F27D2" w:rsidP="001F27D2">
      <w:pPr>
        <w:pStyle w:val="Reporttext"/>
      </w:pPr>
      <w:r w:rsidRPr="002B2A7F">
        <w:t>Table 5.4 sets out housing need by type of household. Highest proportions of need were identified in households comprising couples and 3+ children (24.7%), lone parents with child(ren) aged 18 + (33.1%) and other types of household (24.5%)</w:t>
      </w:r>
      <w:r w:rsidR="00815DFE">
        <w:t xml:space="preserve"> </w:t>
      </w:r>
      <w:r w:rsidRPr="002B2A7F">
        <w:t xml:space="preserve">which would include friends sharing and multi-generational households. </w:t>
      </w:r>
    </w:p>
    <w:p w14:paraId="4CB84ACF" w14:textId="0A7A91C1" w:rsidR="00046CEC" w:rsidRDefault="00046CEC">
      <w:pPr>
        <w:spacing w:before="0" w:after="0"/>
        <w:jc w:val="left"/>
        <w:rPr>
          <w:rFonts w:asciiTheme="minorHAnsi" w:hAnsiTheme="minorHAnsi"/>
        </w:rPr>
      </w:pPr>
      <w:r>
        <w:rPr>
          <w:rFonts w:asciiTheme="minorHAnsi" w:hAnsiTheme="minorHAnsi"/>
        </w:rPr>
        <w:br w:type="page"/>
      </w: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4815"/>
        <w:gridCol w:w="1513"/>
        <w:gridCol w:w="1170"/>
        <w:gridCol w:w="1682"/>
      </w:tblGrid>
      <w:tr w:rsidR="001F27D2" w:rsidRPr="00046CEC" w14:paraId="7CE85FC3" w14:textId="77777777" w:rsidTr="001F27D2">
        <w:tc>
          <w:tcPr>
            <w:tcW w:w="5000" w:type="pct"/>
            <w:gridSpan w:val="4"/>
            <w:shd w:val="clear" w:color="auto" w:fill="009999"/>
            <w:vAlign w:val="bottom"/>
          </w:tcPr>
          <w:p w14:paraId="551AB6EC" w14:textId="77777777" w:rsidR="001F27D2" w:rsidRPr="00046CEC" w:rsidRDefault="001F27D2" w:rsidP="00046CEC">
            <w:pPr>
              <w:pStyle w:val="Tableheading1"/>
            </w:pPr>
            <w:bookmarkStart w:id="398" w:name="_Toc505293159"/>
            <w:bookmarkStart w:id="399" w:name="_Toc529652123"/>
            <w:bookmarkStart w:id="400" w:name="_Toc529739447"/>
            <w:bookmarkStart w:id="401" w:name="_Toc531122950"/>
            <w:bookmarkStart w:id="402" w:name="_Toc532812485"/>
            <w:r w:rsidRPr="00046CEC">
              <w:lastRenderedPageBreak/>
              <w:t>Table 5.4</w:t>
            </w:r>
            <w:r w:rsidRPr="00046CEC">
              <w:tab/>
              <w:t>Housing need by household type</w:t>
            </w:r>
            <w:bookmarkEnd w:id="398"/>
            <w:bookmarkEnd w:id="399"/>
            <w:bookmarkEnd w:id="400"/>
            <w:bookmarkEnd w:id="401"/>
            <w:bookmarkEnd w:id="402"/>
          </w:p>
        </w:tc>
      </w:tr>
      <w:tr w:rsidR="001F27D2" w:rsidRPr="00046CEC" w14:paraId="0767B7D2" w14:textId="77777777" w:rsidTr="00156DE0">
        <w:tc>
          <w:tcPr>
            <w:tcW w:w="2623" w:type="pct"/>
            <w:shd w:val="clear" w:color="auto" w:fill="009999"/>
            <w:vAlign w:val="bottom"/>
            <w:hideMark/>
          </w:tcPr>
          <w:p w14:paraId="79AEA87C" w14:textId="77777777" w:rsidR="001F27D2" w:rsidRPr="00046CEC" w:rsidRDefault="001F27D2" w:rsidP="00046CEC">
            <w:pPr>
              <w:spacing w:before="0" w:after="0"/>
              <w:rPr>
                <w:rFonts w:cs="Calibri"/>
                <w:b/>
                <w:bCs/>
                <w:color w:val="FFFFFF"/>
                <w:sz w:val="22"/>
                <w:szCs w:val="22"/>
                <w:lang w:eastAsia="en-GB"/>
              </w:rPr>
            </w:pPr>
            <w:r w:rsidRPr="00046CEC">
              <w:rPr>
                <w:rFonts w:cs="Calibri"/>
                <w:b/>
                <w:bCs/>
                <w:color w:val="FFFFFF"/>
                <w:sz w:val="22"/>
                <w:szCs w:val="22"/>
                <w:lang w:eastAsia="en-GB"/>
              </w:rPr>
              <w:t>Household Type</w:t>
            </w:r>
          </w:p>
        </w:tc>
        <w:tc>
          <w:tcPr>
            <w:tcW w:w="824" w:type="pct"/>
            <w:shd w:val="clear" w:color="auto" w:fill="009999"/>
            <w:vAlign w:val="bottom"/>
            <w:hideMark/>
          </w:tcPr>
          <w:p w14:paraId="3C828593" w14:textId="77777777" w:rsidR="001F27D2" w:rsidRPr="00046CEC" w:rsidRDefault="001F27D2" w:rsidP="00046CEC">
            <w:pPr>
              <w:spacing w:before="0" w:after="0"/>
              <w:jc w:val="center"/>
              <w:rPr>
                <w:rFonts w:cs="Calibri"/>
                <w:b/>
                <w:bCs/>
                <w:color w:val="FFFFFF"/>
                <w:sz w:val="22"/>
                <w:szCs w:val="22"/>
                <w:lang w:eastAsia="en-GB"/>
              </w:rPr>
            </w:pPr>
            <w:r w:rsidRPr="00046CEC">
              <w:rPr>
                <w:rFonts w:cs="Calibri"/>
                <w:b/>
                <w:bCs/>
                <w:color w:val="FFFFFF"/>
                <w:sz w:val="22"/>
                <w:szCs w:val="22"/>
                <w:lang w:eastAsia="en-GB"/>
              </w:rPr>
              <w:t>No. H'holds in need</w:t>
            </w:r>
          </w:p>
        </w:tc>
        <w:tc>
          <w:tcPr>
            <w:tcW w:w="637" w:type="pct"/>
            <w:shd w:val="clear" w:color="auto" w:fill="009999"/>
            <w:vAlign w:val="bottom"/>
            <w:hideMark/>
          </w:tcPr>
          <w:p w14:paraId="764B1ADC" w14:textId="77777777" w:rsidR="001F27D2" w:rsidRPr="00046CEC" w:rsidRDefault="001F27D2" w:rsidP="00046CEC">
            <w:pPr>
              <w:spacing w:before="0" w:after="0"/>
              <w:jc w:val="center"/>
              <w:rPr>
                <w:rFonts w:cs="Calibri"/>
                <w:b/>
                <w:bCs/>
                <w:color w:val="FFFFFF"/>
                <w:sz w:val="22"/>
                <w:szCs w:val="22"/>
                <w:lang w:eastAsia="en-GB"/>
              </w:rPr>
            </w:pPr>
            <w:r w:rsidRPr="00046CEC">
              <w:rPr>
                <w:rFonts w:cs="Calibri"/>
                <w:b/>
                <w:bCs/>
                <w:color w:val="FFFFFF"/>
                <w:sz w:val="22"/>
                <w:szCs w:val="22"/>
                <w:lang w:eastAsia="en-GB"/>
              </w:rPr>
              <w:t>% H'holds in need</w:t>
            </w:r>
          </w:p>
        </w:tc>
        <w:tc>
          <w:tcPr>
            <w:tcW w:w="916" w:type="pct"/>
            <w:shd w:val="clear" w:color="auto" w:fill="009999"/>
            <w:vAlign w:val="bottom"/>
            <w:hideMark/>
          </w:tcPr>
          <w:p w14:paraId="3A526E8C" w14:textId="77777777" w:rsidR="001F27D2" w:rsidRPr="00046CEC" w:rsidRDefault="001F27D2" w:rsidP="00046CEC">
            <w:pPr>
              <w:spacing w:before="0" w:after="0"/>
              <w:jc w:val="center"/>
              <w:rPr>
                <w:rFonts w:cs="Calibri"/>
                <w:b/>
                <w:bCs/>
                <w:color w:val="FFFFFF"/>
                <w:sz w:val="22"/>
                <w:szCs w:val="22"/>
                <w:lang w:eastAsia="en-GB"/>
              </w:rPr>
            </w:pPr>
            <w:r w:rsidRPr="00046CEC">
              <w:rPr>
                <w:rFonts w:cs="Calibri"/>
                <w:b/>
                <w:bCs/>
                <w:color w:val="FFFFFF"/>
                <w:sz w:val="22"/>
                <w:szCs w:val="22"/>
                <w:lang w:eastAsia="en-GB"/>
              </w:rPr>
              <w:t>Total no. households</w:t>
            </w:r>
          </w:p>
        </w:tc>
      </w:tr>
      <w:tr w:rsidR="00156DE0" w:rsidRPr="00046CEC" w14:paraId="654E344B" w14:textId="77777777" w:rsidTr="00156DE0">
        <w:tc>
          <w:tcPr>
            <w:tcW w:w="2623" w:type="pct"/>
            <w:shd w:val="clear" w:color="auto" w:fill="auto"/>
            <w:noWrap/>
            <w:vAlign w:val="bottom"/>
            <w:hideMark/>
          </w:tcPr>
          <w:p w14:paraId="3103A74A" w14:textId="77777777" w:rsidR="00156DE0" w:rsidRPr="00046CEC" w:rsidRDefault="00156DE0" w:rsidP="00156DE0">
            <w:pPr>
              <w:spacing w:before="0" w:after="0"/>
              <w:rPr>
                <w:rFonts w:cs="Calibri"/>
                <w:color w:val="000000"/>
                <w:sz w:val="22"/>
                <w:szCs w:val="22"/>
              </w:rPr>
            </w:pPr>
            <w:r w:rsidRPr="00046CEC">
              <w:rPr>
                <w:rFonts w:cs="Calibri"/>
                <w:color w:val="000000"/>
                <w:sz w:val="22"/>
                <w:szCs w:val="22"/>
              </w:rPr>
              <w:t>Single Adult (under 65)</w:t>
            </w:r>
          </w:p>
        </w:tc>
        <w:tc>
          <w:tcPr>
            <w:tcW w:w="824" w:type="pct"/>
            <w:shd w:val="clear" w:color="auto" w:fill="auto"/>
            <w:noWrap/>
            <w:vAlign w:val="bottom"/>
          </w:tcPr>
          <w:p w14:paraId="74359DF8" w14:textId="266CEC96" w:rsidR="00156DE0" w:rsidRPr="00046CEC" w:rsidRDefault="00156DE0" w:rsidP="00156DE0">
            <w:pPr>
              <w:spacing w:before="0" w:after="0"/>
              <w:jc w:val="center"/>
              <w:rPr>
                <w:rFonts w:cs="Calibri"/>
                <w:color w:val="000000"/>
                <w:sz w:val="22"/>
                <w:szCs w:val="22"/>
              </w:rPr>
            </w:pPr>
            <w:r w:rsidRPr="00046CEC">
              <w:rPr>
                <w:rFonts w:cs="Calibri"/>
                <w:color w:val="000000"/>
                <w:sz w:val="22"/>
                <w:szCs w:val="22"/>
              </w:rPr>
              <w:t>326</w:t>
            </w:r>
          </w:p>
        </w:tc>
        <w:tc>
          <w:tcPr>
            <w:tcW w:w="637" w:type="pct"/>
            <w:shd w:val="clear" w:color="auto" w:fill="auto"/>
            <w:noWrap/>
            <w:vAlign w:val="bottom"/>
          </w:tcPr>
          <w:p w14:paraId="47FA1600" w14:textId="3BBCEE8A" w:rsidR="00156DE0" w:rsidRPr="00046CEC" w:rsidRDefault="00156DE0" w:rsidP="00156DE0">
            <w:pPr>
              <w:spacing w:before="0" w:after="0"/>
              <w:jc w:val="center"/>
              <w:rPr>
                <w:rFonts w:cs="Calibri"/>
                <w:color w:val="000000"/>
                <w:sz w:val="22"/>
                <w:szCs w:val="22"/>
              </w:rPr>
            </w:pPr>
            <w:r w:rsidRPr="00046CEC">
              <w:rPr>
                <w:rFonts w:cs="Calibri"/>
                <w:color w:val="000000"/>
                <w:sz w:val="22"/>
                <w:szCs w:val="22"/>
              </w:rPr>
              <w:t>9.1</w:t>
            </w:r>
          </w:p>
        </w:tc>
        <w:tc>
          <w:tcPr>
            <w:tcW w:w="916" w:type="pct"/>
            <w:shd w:val="clear" w:color="auto" w:fill="auto"/>
            <w:noWrap/>
            <w:vAlign w:val="bottom"/>
          </w:tcPr>
          <w:p w14:paraId="602ACED9" w14:textId="5A17F8E0" w:rsidR="00156DE0" w:rsidRPr="00046CEC" w:rsidRDefault="00156DE0" w:rsidP="00156DE0">
            <w:pPr>
              <w:spacing w:before="0" w:after="0"/>
              <w:jc w:val="center"/>
              <w:rPr>
                <w:rFonts w:cs="Calibri"/>
                <w:color w:val="000000"/>
                <w:sz w:val="22"/>
                <w:szCs w:val="22"/>
              </w:rPr>
            </w:pPr>
            <w:r w:rsidRPr="00046CEC">
              <w:rPr>
                <w:rFonts w:cs="Calibri"/>
                <w:color w:val="000000"/>
                <w:sz w:val="22"/>
                <w:szCs w:val="22"/>
              </w:rPr>
              <w:t>3,602</w:t>
            </w:r>
          </w:p>
        </w:tc>
      </w:tr>
      <w:tr w:rsidR="00156DE0" w:rsidRPr="00046CEC" w14:paraId="2459B9B5" w14:textId="77777777" w:rsidTr="00156DE0">
        <w:tc>
          <w:tcPr>
            <w:tcW w:w="2623" w:type="pct"/>
            <w:shd w:val="clear" w:color="auto" w:fill="auto"/>
            <w:noWrap/>
            <w:vAlign w:val="bottom"/>
            <w:hideMark/>
          </w:tcPr>
          <w:p w14:paraId="04391CCF" w14:textId="77777777" w:rsidR="00156DE0" w:rsidRPr="00046CEC" w:rsidRDefault="00156DE0" w:rsidP="00156DE0">
            <w:pPr>
              <w:spacing w:before="0" w:after="0"/>
              <w:rPr>
                <w:rFonts w:cs="Calibri"/>
                <w:color w:val="000000"/>
                <w:sz w:val="22"/>
                <w:szCs w:val="22"/>
              </w:rPr>
            </w:pPr>
            <w:r w:rsidRPr="00046CEC">
              <w:rPr>
                <w:rFonts w:cs="Calibri"/>
                <w:color w:val="000000"/>
                <w:sz w:val="22"/>
                <w:szCs w:val="22"/>
              </w:rPr>
              <w:t>Single Adult (65 or over)</w:t>
            </w:r>
          </w:p>
        </w:tc>
        <w:tc>
          <w:tcPr>
            <w:tcW w:w="824" w:type="pct"/>
            <w:shd w:val="clear" w:color="auto" w:fill="auto"/>
            <w:noWrap/>
            <w:vAlign w:val="bottom"/>
          </w:tcPr>
          <w:p w14:paraId="1E12D278" w14:textId="64B393EC" w:rsidR="00156DE0" w:rsidRPr="00046CEC" w:rsidRDefault="00156DE0" w:rsidP="00156DE0">
            <w:pPr>
              <w:spacing w:before="0" w:after="0"/>
              <w:jc w:val="center"/>
              <w:rPr>
                <w:rFonts w:cs="Calibri"/>
                <w:color w:val="000000"/>
                <w:sz w:val="22"/>
                <w:szCs w:val="22"/>
              </w:rPr>
            </w:pPr>
            <w:r w:rsidRPr="00046CEC">
              <w:rPr>
                <w:rFonts w:cs="Calibri"/>
                <w:color w:val="000000"/>
                <w:sz w:val="22"/>
                <w:szCs w:val="22"/>
              </w:rPr>
              <w:t>262</w:t>
            </w:r>
          </w:p>
        </w:tc>
        <w:tc>
          <w:tcPr>
            <w:tcW w:w="637" w:type="pct"/>
            <w:shd w:val="clear" w:color="auto" w:fill="auto"/>
            <w:noWrap/>
            <w:vAlign w:val="bottom"/>
          </w:tcPr>
          <w:p w14:paraId="532111F2" w14:textId="583EA9D0" w:rsidR="00156DE0" w:rsidRPr="00046CEC" w:rsidRDefault="00156DE0" w:rsidP="00156DE0">
            <w:pPr>
              <w:spacing w:before="0" w:after="0"/>
              <w:jc w:val="center"/>
              <w:rPr>
                <w:rFonts w:cs="Calibri"/>
                <w:color w:val="000000"/>
                <w:sz w:val="22"/>
                <w:szCs w:val="22"/>
              </w:rPr>
            </w:pPr>
            <w:r w:rsidRPr="00046CEC">
              <w:rPr>
                <w:rFonts w:cs="Calibri"/>
                <w:color w:val="000000"/>
                <w:sz w:val="22"/>
                <w:szCs w:val="22"/>
              </w:rPr>
              <w:t>10.1</w:t>
            </w:r>
          </w:p>
        </w:tc>
        <w:tc>
          <w:tcPr>
            <w:tcW w:w="916" w:type="pct"/>
            <w:shd w:val="clear" w:color="auto" w:fill="auto"/>
            <w:noWrap/>
            <w:vAlign w:val="bottom"/>
          </w:tcPr>
          <w:p w14:paraId="36BA4E47" w14:textId="77056BAC" w:rsidR="00156DE0" w:rsidRPr="00046CEC" w:rsidRDefault="00156DE0" w:rsidP="00156DE0">
            <w:pPr>
              <w:spacing w:before="0" w:after="0"/>
              <w:jc w:val="center"/>
              <w:rPr>
                <w:rFonts w:cs="Calibri"/>
                <w:color w:val="000000"/>
                <w:sz w:val="22"/>
                <w:szCs w:val="22"/>
              </w:rPr>
            </w:pPr>
            <w:r w:rsidRPr="00046CEC">
              <w:rPr>
                <w:rFonts w:cs="Calibri"/>
                <w:color w:val="000000"/>
                <w:sz w:val="22"/>
                <w:szCs w:val="22"/>
              </w:rPr>
              <w:t>2,586</w:t>
            </w:r>
          </w:p>
        </w:tc>
      </w:tr>
      <w:tr w:rsidR="00156DE0" w:rsidRPr="00046CEC" w14:paraId="1BD56C5B" w14:textId="77777777" w:rsidTr="00156DE0">
        <w:tc>
          <w:tcPr>
            <w:tcW w:w="2623" w:type="pct"/>
            <w:shd w:val="clear" w:color="auto" w:fill="auto"/>
            <w:noWrap/>
            <w:vAlign w:val="bottom"/>
            <w:hideMark/>
          </w:tcPr>
          <w:p w14:paraId="21362C46" w14:textId="77777777" w:rsidR="00156DE0" w:rsidRPr="00046CEC" w:rsidRDefault="00156DE0" w:rsidP="00156DE0">
            <w:pPr>
              <w:spacing w:before="0" w:after="0"/>
              <w:rPr>
                <w:rFonts w:cs="Calibri"/>
                <w:color w:val="000000"/>
                <w:sz w:val="22"/>
                <w:szCs w:val="22"/>
              </w:rPr>
            </w:pPr>
            <w:r w:rsidRPr="00046CEC">
              <w:rPr>
                <w:rFonts w:cs="Calibri"/>
                <w:color w:val="000000"/>
                <w:sz w:val="22"/>
                <w:szCs w:val="22"/>
              </w:rPr>
              <w:t>Couple only (both under 65)</w:t>
            </w:r>
          </w:p>
        </w:tc>
        <w:tc>
          <w:tcPr>
            <w:tcW w:w="824" w:type="pct"/>
            <w:shd w:val="clear" w:color="auto" w:fill="auto"/>
            <w:noWrap/>
            <w:vAlign w:val="bottom"/>
          </w:tcPr>
          <w:p w14:paraId="364D32E7" w14:textId="2600A0E5" w:rsidR="00156DE0" w:rsidRPr="00046CEC" w:rsidRDefault="00156DE0" w:rsidP="00156DE0">
            <w:pPr>
              <w:spacing w:before="0" w:after="0"/>
              <w:jc w:val="center"/>
              <w:rPr>
                <w:rFonts w:cs="Calibri"/>
                <w:color w:val="000000"/>
                <w:sz w:val="22"/>
                <w:szCs w:val="22"/>
              </w:rPr>
            </w:pPr>
            <w:r w:rsidRPr="00046CEC">
              <w:rPr>
                <w:rFonts w:cs="Calibri"/>
                <w:color w:val="000000"/>
                <w:sz w:val="22"/>
                <w:szCs w:val="22"/>
              </w:rPr>
              <w:t>425</w:t>
            </w:r>
          </w:p>
        </w:tc>
        <w:tc>
          <w:tcPr>
            <w:tcW w:w="637" w:type="pct"/>
            <w:shd w:val="clear" w:color="auto" w:fill="auto"/>
            <w:noWrap/>
            <w:vAlign w:val="bottom"/>
          </w:tcPr>
          <w:p w14:paraId="4AA6879B" w14:textId="01292AF7" w:rsidR="00156DE0" w:rsidRPr="00046CEC" w:rsidRDefault="00156DE0" w:rsidP="00156DE0">
            <w:pPr>
              <w:spacing w:before="0" w:after="0"/>
              <w:jc w:val="center"/>
              <w:rPr>
                <w:rFonts w:cs="Calibri"/>
                <w:color w:val="000000"/>
                <w:sz w:val="22"/>
                <w:szCs w:val="22"/>
              </w:rPr>
            </w:pPr>
            <w:r w:rsidRPr="00046CEC">
              <w:rPr>
                <w:rFonts w:cs="Calibri"/>
                <w:color w:val="000000"/>
                <w:sz w:val="22"/>
                <w:szCs w:val="22"/>
              </w:rPr>
              <w:t>8.2</w:t>
            </w:r>
          </w:p>
        </w:tc>
        <w:tc>
          <w:tcPr>
            <w:tcW w:w="916" w:type="pct"/>
            <w:shd w:val="clear" w:color="auto" w:fill="auto"/>
            <w:noWrap/>
            <w:vAlign w:val="bottom"/>
          </w:tcPr>
          <w:p w14:paraId="71AD2E48" w14:textId="2361FAEE" w:rsidR="00156DE0" w:rsidRPr="00046CEC" w:rsidRDefault="00156DE0" w:rsidP="00156DE0">
            <w:pPr>
              <w:spacing w:before="0" w:after="0"/>
              <w:jc w:val="center"/>
              <w:rPr>
                <w:rFonts w:cs="Calibri"/>
                <w:color w:val="000000"/>
                <w:sz w:val="22"/>
                <w:szCs w:val="22"/>
              </w:rPr>
            </w:pPr>
            <w:r w:rsidRPr="00046CEC">
              <w:rPr>
                <w:rFonts w:cs="Calibri"/>
                <w:color w:val="000000"/>
                <w:sz w:val="22"/>
                <w:szCs w:val="22"/>
              </w:rPr>
              <w:t>5,206</w:t>
            </w:r>
          </w:p>
        </w:tc>
      </w:tr>
      <w:tr w:rsidR="00156DE0" w:rsidRPr="00046CEC" w14:paraId="04279229" w14:textId="77777777" w:rsidTr="00156DE0">
        <w:tc>
          <w:tcPr>
            <w:tcW w:w="2623" w:type="pct"/>
            <w:shd w:val="clear" w:color="auto" w:fill="auto"/>
            <w:noWrap/>
            <w:vAlign w:val="bottom"/>
            <w:hideMark/>
          </w:tcPr>
          <w:p w14:paraId="65AA9D9F" w14:textId="77777777" w:rsidR="00156DE0" w:rsidRPr="00046CEC" w:rsidRDefault="00156DE0" w:rsidP="00156DE0">
            <w:pPr>
              <w:spacing w:before="0" w:after="0"/>
              <w:rPr>
                <w:rFonts w:cs="Calibri"/>
                <w:color w:val="000000"/>
                <w:sz w:val="22"/>
                <w:szCs w:val="22"/>
              </w:rPr>
            </w:pPr>
            <w:r w:rsidRPr="00046CEC">
              <w:rPr>
                <w:rFonts w:cs="Calibri"/>
                <w:color w:val="000000"/>
                <w:sz w:val="22"/>
                <w:szCs w:val="22"/>
              </w:rPr>
              <w:t>Couple only (one or both over 65)</w:t>
            </w:r>
          </w:p>
        </w:tc>
        <w:tc>
          <w:tcPr>
            <w:tcW w:w="824" w:type="pct"/>
            <w:shd w:val="clear" w:color="auto" w:fill="auto"/>
            <w:noWrap/>
            <w:vAlign w:val="bottom"/>
          </w:tcPr>
          <w:p w14:paraId="5D6DD04D" w14:textId="00E454F5" w:rsidR="00156DE0" w:rsidRPr="00046CEC" w:rsidRDefault="00156DE0" w:rsidP="00156DE0">
            <w:pPr>
              <w:spacing w:before="0" w:after="0"/>
              <w:jc w:val="center"/>
              <w:rPr>
                <w:rFonts w:cs="Calibri"/>
                <w:color w:val="000000"/>
                <w:sz w:val="22"/>
                <w:szCs w:val="22"/>
              </w:rPr>
            </w:pPr>
            <w:r w:rsidRPr="00046CEC">
              <w:rPr>
                <w:rFonts w:cs="Calibri"/>
                <w:color w:val="000000"/>
                <w:sz w:val="22"/>
                <w:szCs w:val="22"/>
              </w:rPr>
              <w:t>425</w:t>
            </w:r>
          </w:p>
        </w:tc>
        <w:tc>
          <w:tcPr>
            <w:tcW w:w="637" w:type="pct"/>
            <w:shd w:val="clear" w:color="auto" w:fill="auto"/>
            <w:noWrap/>
            <w:vAlign w:val="bottom"/>
          </w:tcPr>
          <w:p w14:paraId="58DCF742" w14:textId="529BE779" w:rsidR="00156DE0" w:rsidRPr="00046CEC" w:rsidRDefault="00156DE0" w:rsidP="00156DE0">
            <w:pPr>
              <w:spacing w:before="0" w:after="0"/>
              <w:jc w:val="center"/>
              <w:rPr>
                <w:rFonts w:cs="Calibri"/>
                <w:color w:val="000000"/>
                <w:sz w:val="22"/>
                <w:szCs w:val="22"/>
              </w:rPr>
            </w:pPr>
            <w:r w:rsidRPr="00046CEC">
              <w:rPr>
                <w:rFonts w:cs="Calibri"/>
                <w:color w:val="000000"/>
                <w:sz w:val="22"/>
                <w:szCs w:val="22"/>
              </w:rPr>
              <w:t>8.8</w:t>
            </w:r>
          </w:p>
        </w:tc>
        <w:tc>
          <w:tcPr>
            <w:tcW w:w="916" w:type="pct"/>
            <w:shd w:val="clear" w:color="auto" w:fill="auto"/>
            <w:noWrap/>
            <w:vAlign w:val="bottom"/>
          </w:tcPr>
          <w:p w14:paraId="30067E49" w14:textId="420BF273" w:rsidR="00156DE0" w:rsidRPr="00046CEC" w:rsidRDefault="00156DE0" w:rsidP="00156DE0">
            <w:pPr>
              <w:spacing w:before="0" w:after="0"/>
              <w:jc w:val="center"/>
              <w:rPr>
                <w:rFonts w:cs="Calibri"/>
                <w:color w:val="000000"/>
                <w:sz w:val="22"/>
                <w:szCs w:val="22"/>
              </w:rPr>
            </w:pPr>
            <w:r w:rsidRPr="00046CEC">
              <w:rPr>
                <w:rFonts w:cs="Calibri"/>
                <w:color w:val="000000"/>
                <w:sz w:val="22"/>
                <w:szCs w:val="22"/>
              </w:rPr>
              <w:t>4,809</w:t>
            </w:r>
          </w:p>
        </w:tc>
      </w:tr>
      <w:tr w:rsidR="00156DE0" w:rsidRPr="00046CEC" w14:paraId="7664D9D2" w14:textId="77777777" w:rsidTr="00156DE0">
        <w:tc>
          <w:tcPr>
            <w:tcW w:w="2623" w:type="pct"/>
            <w:shd w:val="clear" w:color="auto" w:fill="auto"/>
            <w:noWrap/>
            <w:vAlign w:val="bottom"/>
            <w:hideMark/>
          </w:tcPr>
          <w:p w14:paraId="7D1EE7FD" w14:textId="77777777" w:rsidR="00156DE0" w:rsidRPr="00046CEC" w:rsidRDefault="00156DE0" w:rsidP="00156DE0">
            <w:pPr>
              <w:spacing w:before="0" w:after="0"/>
              <w:rPr>
                <w:rFonts w:cs="Calibri"/>
                <w:color w:val="000000"/>
                <w:sz w:val="22"/>
                <w:szCs w:val="22"/>
              </w:rPr>
            </w:pPr>
            <w:r w:rsidRPr="00046CEC">
              <w:rPr>
                <w:rFonts w:cs="Calibri"/>
                <w:color w:val="000000"/>
                <w:sz w:val="22"/>
                <w:szCs w:val="22"/>
              </w:rPr>
              <w:t>Couple with at least 1 or 2 child(ren) under 18</w:t>
            </w:r>
          </w:p>
        </w:tc>
        <w:tc>
          <w:tcPr>
            <w:tcW w:w="824" w:type="pct"/>
            <w:shd w:val="clear" w:color="auto" w:fill="auto"/>
            <w:noWrap/>
            <w:vAlign w:val="bottom"/>
          </w:tcPr>
          <w:p w14:paraId="25B6BE7C" w14:textId="2643ED32" w:rsidR="00156DE0" w:rsidRPr="00046CEC" w:rsidRDefault="00156DE0" w:rsidP="00156DE0">
            <w:pPr>
              <w:spacing w:before="0" w:after="0"/>
              <w:jc w:val="center"/>
              <w:rPr>
                <w:rFonts w:cs="Calibri"/>
                <w:color w:val="000000"/>
                <w:sz w:val="22"/>
                <w:szCs w:val="22"/>
              </w:rPr>
            </w:pPr>
            <w:r w:rsidRPr="00046CEC">
              <w:rPr>
                <w:rFonts w:cs="Calibri"/>
                <w:color w:val="000000"/>
                <w:sz w:val="22"/>
                <w:szCs w:val="22"/>
              </w:rPr>
              <w:t>448</w:t>
            </w:r>
          </w:p>
        </w:tc>
        <w:tc>
          <w:tcPr>
            <w:tcW w:w="637" w:type="pct"/>
            <w:shd w:val="clear" w:color="auto" w:fill="auto"/>
            <w:noWrap/>
            <w:vAlign w:val="bottom"/>
          </w:tcPr>
          <w:p w14:paraId="6EB67256" w14:textId="16EF5356" w:rsidR="00156DE0" w:rsidRPr="00046CEC" w:rsidRDefault="00156DE0" w:rsidP="00156DE0">
            <w:pPr>
              <w:spacing w:before="0" w:after="0"/>
              <w:jc w:val="center"/>
              <w:rPr>
                <w:rFonts w:cs="Calibri"/>
                <w:color w:val="000000"/>
                <w:sz w:val="22"/>
                <w:szCs w:val="22"/>
              </w:rPr>
            </w:pPr>
            <w:r w:rsidRPr="00046CEC">
              <w:rPr>
                <w:rFonts w:cs="Calibri"/>
                <w:color w:val="000000"/>
                <w:sz w:val="22"/>
                <w:szCs w:val="22"/>
              </w:rPr>
              <w:t>14.1</w:t>
            </w:r>
          </w:p>
        </w:tc>
        <w:tc>
          <w:tcPr>
            <w:tcW w:w="916" w:type="pct"/>
            <w:shd w:val="clear" w:color="auto" w:fill="auto"/>
            <w:noWrap/>
            <w:vAlign w:val="bottom"/>
          </w:tcPr>
          <w:p w14:paraId="684D3E88" w14:textId="765CB83F" w:rsidR="00156DE0" w:rsidRPr="00046CEC" w:rsidRDefault="00156DE0" w:rsidP="00156DE0">
            <w:pPr>
              <w:spacing w:before="0" w:after="0"/>
              <w:jc w:val="center"/>
              <w:rPr>
                <w:rFonts w:cs="Calibri"/>
                <w:color w:val="000000"/>
                <w:sz w:val="22"/>
                <w:szCs w:val="22"/>
              </w:rPr>
            </w:pPr>
            <w:r w:rsidRPr="00046CEC">
              <w:rPr>
                <w:rFonts w:cs="Calibri"/>
                <w:color w:val="000000"/>
                <w:sz w:val="22"/>
                <w:szCs w:val="22"/>
              </w:rPr>
              <w:t>3,179</w:t>
            </w:r>
          </w:p>
        </w:tc>
      </w:tr>
      <w:tr w:rsidR="00156DE0" w:rsidRPr="00046CEC" w14:paraId="17FD7A0D" w14:textId="77777777" w:rsidTr="00156DE0">
        <w:tc>
          <w:tcPr>
            <w:tcW w:w="2623" w:type="pct"/>
            <w:shd w:val="clear" w:color="auto" w:fill="auto"/>
            <w:noWrap/>
            <w:vAlign w:val="bottom"/>
            <w:hideMark/>
          </w:tcPr>
          <w:p w14:paraId="16053524" w14:textId="77777777" w:rsidR="00156DE0" w:rsidRPr="00046CEC" w:rsidRDefault="00156DE0" w:rsidP="00156DE0">
            <w:pPr>
              <w:spacing w:before="0" w:after="0"/>
              <w:rPr>
                <w:rFonts w:cs="Calibri"/>
                <w:color w:val="000000"/>
                <w:sz w:val="22"/>
                <w:szCs w:val="22"/>
              </w:rPr>
            </w:pPr>
            <w:r w:rsidRPr="00046CEC">
              <w:rPr>
                <w:rFonts w:cs="Calibri"/>
                <w:color w:val="000000"/>
                <w:sz w:val="22"/>
                <w:szCs w:val="22"/>
              </w:rPr>
              <w:t>Couple with 3 or more children under 18</w:t>
            </w:r>
          </w:p>
        </w:tc>
        <w:tc>
          <w:tcPr>
            <w:tcW w:w="824" w:type="pct"/>
            <w:shd w:val="clear" w:color="auto" w:fill="auto"/>
            <w:noWrap/>
            <w:vAlign w:val="bottom"/>
          </w:tcPr>
          <w:p w14:paraId="60D476A0" w14:textId="5E1536F4" w:rsidR="00156DE0" w:rsidRPr="00046CEC" w:rsidRDefault="00156DE0" w:rsidP="00156DE0">
            <w:pPr>
              <w:spacing w:before="0" w:after="0"/>
              <w:jc w:val="center"/>
              <w:rPr>
                <w:rFonts w:cs="Calibri"/>
                <w:color w:val="000000"/>
                <w:sz w:val="22"/>
                <w:szCs w:val="22"/>
              </w:rPr>
            </w:pPr>
            <w:r w:rsidRPr="00046CEC">
              <w:rPr>
                <w:rFonts w:cs="Calibri"/>
                <w:color w:val="000000"/>
                <w:sz w:val="22"/>
                <w:szCs w:val="22"/>
              </w:rPr>
              <w:t>148</w:t>
            </w:r>
          </w:p>
        </w:tc>
        <w:tc>
          <w:tcPr>
            <w:tcW w:w="637" w:type="pct"/>
            <w:shd w:val="clear" w:color="auto" w:fill="auto"/>
            <w:noWrap/>
            <w:vAlign w:val="bottom"/>
          </w:tcPr>
          <w:p w14:paraId="51D7BC14" w14:textId="6EEA2866" w:rsidR="00156DE0" w:rsidRPr="00046CEC" w:rsidRDefault="00156DE0" w:rsidP="00156DE0">
            <w:pPr>
              <w:spacing w:before="0" w:after="0"/>
              <w:jc w:val="center"/>
              <w:rPr>
                <w:rFonts w:cs="Calibri"/>
                <w:color w:val="000000"/>
                <w:sz w:val="22"/>
                <w:szCs w:val="22"/>
              </w:rPr>
            </w:pPr>
            <w:r w:rsidRPr="00046CEC">
              <w:rPr>
                <w:rFonts w:cs="Calibri"/>
                <w:color w:val="000000"/>
                <w:sz w:val="22"/>
                <w:szCs w:val="22"/>
              </w:rPr>
              <w:t>24.7</w:t>
            </w:r>
          </w:p>
        </w:tc>
        <w:tc>
          <w:tcPr>
            <w:tcW w:w="916" w:type="pct"/>
            <w:shd w:val="clear" w:color="auto" w:fill="auto"/>
            <w:noWrap/>
            <w:vAlign w:val="bottom"/>
          </w:tcPr>
          <w:p w14:paraId="5C5730F1" w14:textId="281CB144" w:rsidR="00156DE0" w:rsidRPr="00046CEC" w:rsidRDefault="00156DE0" w:rsidP="00156DE0">
            <w:pPr>
              <w:spacing w:before="0" w:after="0"/>
              <w:jc w:val="center"/>
              <w:rPr>
                <w:rFonts w:cs="Calibri"/>
                <w:color w:val="000000"/>
                <w:sz w:val="22"/>
                <w:szCs w:val="22"/>
              </w:rPr>
            </w:pPr>
            <w:r w:rsidRPr="00046CEC">
              <w:rPr>
                <w:rFonts w:cs="Calibri"/>
                <w:color w:val="000000"/>
                <w:sz w:val="22"/>
                <w:szCs w:val="22"/>
              </w:rPr>
              <w:t>600</w:t>
            </w:r>
          </w:p>
        </w:tc>
      </w:tr>
      <w:tr w:rsidR="00156DE0" w:rsidRPr="00046CEC" w14:paraId="1CDE0412" w14:textId="77777777" w:rsidTr="00156DE0">
        <w:tc>
          <w:tcPr>
            <w:tcW w:w="2623" w:type="pct"/>
            <w:shd w:val="clear" w:color="auto" w:fill="auto"/>
            <w:noWrap/>
            <w:vAlign w:val="bottom"/>
            <w:hideMark/>
          </w:tcPr>
          <w:p w14:paraId="723FF8CC" w14:textId="77777777" w:rsidR="00156DE0" w:rsidRPr="00046CEC" w:rsidRDefault="00156DE0" w:rsidP="00156DE0">
            <w:pPr>
              <w:spacing w:before="0" w:after="0"/>
              <w:rPr>
                <w:rFonts w:cs="Calibri"/>
                <w:color w:val="000000"/>
                <w:sz w:val="22"/>
                <w:szCs w:val="22"/>
              </w:rPr>
            </w:pPr>
            <w:r w:rsidRPr="00046CEC">
              <w:rPr>
                <w:rFonts w:cs="Calibri"/>
                <w:color w:val="000000"/>
                <w:sz w:val="22"/>
                <w:szCs w:val="22"/>
              </w:rPr>
              <w:t>Couple with child(ren) aged 18+</w:t>
            </w:r>
          </w:p>
        </w:tc>
        <w:tc>
          <w:tcPr>
            <w:tcW w:w="824" w:type="pct"/>
            <w:shd w:val="clear" w:color="auto" w:fill="auto"/>
            <w:noWrap/>
            <w:vAlign w:val="bottom"/>
          </w:tcPr>
          <w:p w14:paraId="1B388D2B" w14:textId="6FC939DE" w:rsidR="00156DE0" w:rsidRPr="00046CEC" w:rsidRDefault="00156DE0" w:rsidP="00156DE0">
            <w:pPr>
              <w:spacing w:before="0" w:after="0"/>
              <w:jc w:val="center"/>
              <w:rPr>
                <w:rFonts w:cs="Calibri"/>
                <w:color w:val="000000"/>
                <w:sz w:val="22"/>
                <w:szCs w:val="22"/>
              </w:rPr>
            </w:pPr>
            <w:r w:rsidRPr="00046CEC">
              <w:rPr>
                <w:rFonts w:cs="Calibri"/>
                <w:color w:val="000000"/>
                <w:sz w:val="22"/>
                <w:szCs w:val="22"/>
              </w:rPr>
              <w:t>157</w:t>
            </w:r>
          </w:p>
        </w:tc>
        <w:tc>
          <w:tcPr>
            <w:tcW w:w="637" w:type="pct"/>
            <w:shd w:val="clear" w:color="auto" w:fill="auto"/>
            <w:noWrap/>
            <w:vAlign w:val="bottom"/>
          </w:tcPr>
          <w:p w14:paraId="638C6331" w14:textId="15BDF462" w:rsidR="00156DE0" w:rsidRPr="00046CEC" w:rsidRDefault="00156DE0" w:rsidP="00156DE0">
            <w:pPr>
              <w:spacing w:before="0" w:after="0"/>
              <w:jc w:val="center"/>
              <w:rPr>
                <w:rFonts w:cs="Calibri"/>
                <w:color w:val="000000"/>
                <w:sz w:val="22"/>
                <w:szCs w:val="22"/>
              </w:rPr>
            </w:pPr>
            <w:r w:rsidRPr="00046CEC">
              <w:rPr>
                <w:rFonts w:cs="Calibri"/>
                <w:color w:val="000000"/>
                <w:sz w:val="22"/>
                <w:szCs w:val="22"/>
              </w:rPr>
              <w:t>7.8</w:t>
            </w:r>
          </w:p>
        </w:tc>
        <w:tc>
          <w:tcPr>
            <w:tcW w:w="916" w:type="pct"/>
            <w:shd w:val="clear" w:color="auto" w:fill="auto"/>
            <w:noWrap/>
            <w:vAlign w:val="bottom"/>
          </w:tcPr>
          <w:p w14:paraId="1BC62DF6" w14:textId="33551B75" w:rsidR="00156DE0" w:rsidRPr="00046CEC" w:rsidRDefault="00156DE0" w:rsidP="00156DE0">
            <w:pPr>
              <w:spacing w:before="0" w:after="0"/>
              <w:jc w:val="center"/>
              <w:rPr>
                <w:rFonts w:cs="Calibri"/>
                <w:color w:val="000000"/>
                <w:sz w:val="22"/>
                <w:szCs w:val="22"/>
              </w:rPr>
            </w:pPr>
            <w:r w:rsidRPr="00046CEC">
              <w:rPr>
                <w:rFonts w:cs="Calibri"/>
                <w:color w:val="000000"/>
                <w:sz w:val="22"/>
                <w:szCs w:val="22"/>
              </w:rPr>
              <w:t>2,019</w:t>
            </w:r>
          </w:p>
        </w:tc>
      </w:tr>
      <w:tr w:rsidR="00156DE0" w:rsidRPr="00046CEC" w14:paraId="53278B3A" w14:textId="77777777" w:rsidTr="00156DE0">
        <w:tc>
          <w:tcPr>
            <w:tcW w:w="2623" w:type="pct"/>
            <w:shd w:val="clear" w:color="auto" w:fill="auto"/>
            <w:noWrap/>
            <w:vAlign w:val="bottom"/>
            <w:hideMark/>
          </w:tcPr>
          <w:p w14:paraId="0C4EE7E1" w14:textId="77777777" w:rsidR="00156DE0" w:rsidRPr="00046CEC" w:rsidRDefault="00156DE0" w:rsidP="00156DE0">
            <w:pPr>
              <w:spacing w:before="0" w:after="0"/>
              <w:rPr>
                <w:rFonts w:cs="Calibri"/>
                <w:color w:val="000000"/>
                <w:sz w:val="22"/>
                <w:szCs w:val="22"/>
              </w:rPr>
            </w:pPr>
            <w:r w:rsidRPr="00046CEC">
              <w:rPr>
                <w:rFonts w:cs="Calibri"/>
                <w:color w:val="000000"/>
                <w:sz w:val="22"/>
                <w:szCs w:val="22"/>
              </w:rPr>
              <w:t xml:space="preserve">Lone Parent with child(ren)  </w:t>
            </w:r>
          </w:p>
        </w:tc>
        <w:tc>
          <w:tcPr>
            <w:tcW w:w="824" w:type="pct"/>
            <w:shd w:val="clear" w:color="auto" w:fill="auto"/>
            <w:noWrap/>
            <w:vAlign w:val="bottom"/>
          </w:tcPr>
          <w:p w14:paraId="4A226533" w14:textId="630B38C2" w:rsidR="00156DE0" w:rsidRPr="00046CEC" w:rsidRDefault="00156DE0" w:rsidP="00156DE0">
            <w:pPr>
              <w:spacing w:before="0" w:after="0"/>
              <w:jc w:val="center"/>
              <w:rPr>
                <w:rFonts w:cs="Calibri"/>
                <w:color w:val="000000"/>
                <w:sz w:val="22"/>
                <w:szCs w:val="22"/>
              </w:rPr>
            </w:pPr>
            <w:r w:rsidRPr="00046CEC">
              <w:rPr>
                <w:rFonts w:cs="Calibri"/>
                <w:color w:val="000000"/>
                <w:sz w:val="22"/>
                <w:szCs w:val="22"/>
              </w:rPr>
              <w:t>95</w:t>
            </w:r>
          </w:p>
        </w:tc>
        <w:tc>
          <w:tcPr>
            <w:tcW w:w="637" w:type="pct"/>
            <w:shd w:val="clear" w:color="auto" w:fill="auto"/>
            <w:noWrap/>
            <w:vAlign w:val="bottom"/>
          </w:tcPr>
          <w:p w14:paraId="249133CA" w14:textId="408D61D6" w:rsidR="00156DE0" w:rsidRPr="00046CEC" w:rsidRDefault="00156DE0" w:rsidP="00156DE0">
            <w:pPr>
              <w:spacing w:before="0" w:after="0"/>
              <w:jc w:val="center"/>
              <w:rPr>
                <w:rFonts w:cs="Calibri"/>
                <w:color w:val="000000"/>
                <w:sz w:val="22"/>
                <w:szCs w:val="22"/>
              </w:rPr>
            </w:pPr>
            <w:r w:rsidRPr="00046CEC">
              <w:rPr>
                <w:rFonts w:cs="Calibri"/>
                <w:color w:val="000000"/>
                <w:sz w:val="22"/>
                <w:szCs w:val="22"/>
              </w:rPr>
              <w:t>23.1</w:t>
            </w:r>
          </w:p>
        </w:tc>
        <w:tc>
          <w:tcPr>
            <w:tcW w:w="916" w:type="pct"/>
            <w:shd w:val="clear" w:color="auto" w:fill="auto"/>
            <w:noWrap/>
            <w:vAlign w:val="bottom"/>
          </w:tcPr>
          <w:p w14:paraId="717C9330" w14:textId="0AEF3626" w:rsidR="00156DE0" w:rsidRPr="00046CEC" w:rsidRDefault="00156DE0" w:rsidP="00156DE0">
            <w:pPr>
              <w:spacing w:before="0" w:after="0"/>
              <w:jc w:val="center"/>
              <w:rPr>
                <w:rFonts w:cs="Calibri"/>
                <w:color w:val="000000"/>
                <w:sz w:val="22"/>
                <w:szCs w:val="22"/>
              </w:rPr>
            </w:pPr>
            <w:r w:rsidRPr="00046CEC">
              <w:rPr>
                <w:rFonts w:cs="Calibri"/>
                <w:color w:val="000000"/>
                <w:sz w:val="22"/>
                <w:szCs w:val="22"/>
              </w:rPr>
              <w:t>411</w:t>
            </w:r>
          </w:p>
        </w:tc>
      </w:tr>
      <w:tr w:rsidR="00156DE0" w:rsidRPr="00046CEC" w14:paraId="3113EC95" w14:textId="77777777" w:rsidTr="00156DE0">
        <w:tc>
          <w:tcPr>
            <w:tcW w:w="2623" w:type="pct"/>
            <w:shd w:val="clear" w:color="auto" w:fill="auto"/>
            <w:noWrap/>
            <w:vAlign w:val="bottom"/>
            <w:hideMark/>
          </w:tcPr>
          <w:p w14:paraId="2F151467" w14:textId="77777777" w:rsidR="00156DE0" w:rsidRPr="00046CEC" w:rsidRDefault="00156DE0" w:rsidP="00156DE0">
            <w:pPr>
              <w:spacing w:before="0" w:after="0"/>
              <w:rPr>
                <w:rFonts w:cs="Calibri"/>
                <w:color w:val="000000"/>
                <w:sz w:val="22"/>
                <w:szCs w:val="22"/>
              </w:rPr>
            </w:pPr>
            <w:r w:rsidRPr="00046CEC">
              <w:rPr>
                <w:rFonts w:cs="Calibri"/>
                <w:color w:val="000000"/>
                <w:sz w:val="22"/>
                <w:szCs w:val="22"/>
              </w:rPr>
              <w:t>Lone parent with child(ren) aged 18+</w:t>
            </w:r>
          </w:p>
        </w:tc>
        <w:tc>
          <w:tcPr>
            <w:tcW w:w="824" w:type="pct"/>
            <w:shd w:val="clear" w:color="auto" w:fill="auto"/>
            <w:noWrap/>
            <w:vAlign w:val="bottom"/>
          </w:tcPr>
          <w:p w14:paraId="56BC6F36" w14:textId="15FCF665" w:rsidR="00156DE0" w:rsidRPr="00046CEC" w:rsidRDefault="00156DE0" w:rsidP="00156DE0">
            <w:pPr>
              <w:spacing w:before="0" w:after="0"/>
              <w:jc w:val="center"/>
              <w:rPr>
                <w:rFonts w:cs="Calibri"/>
                <w:color w:val="000000"/>
                <w:sz w:val="22"/>
                <w:szCs w:val="22"/>
              </w:rPr>
            </w:pPr>
            <w:r w:rsidRPr="00046CEC">
              <w:rPr>
                <w:rFonts w:cs="Calibri"/>
                <w:color w:val="000000"/>
                <w:sz w:val="22"/>
                <w:szCs w:val="22"/>
              </w:rPr>
              <w:t>221</w:t>
            </w:r>
          </w:p>
        </w:tc>
        <w:tc>
          <w:tcPr>
            <w:tcW w:w="637" w:type="pct"/>
            <w:shd w:val="clear" w:color="auto" w:fill="auto"/>
            <w:noWrap/>
            <w:vAlign w:val="bottom"/>
          </w:tcPr>
          <w:p w14:paraId="16034283" w14:textId="24854913" w:rsidR="00156DE0" w:rsidRPr="00046CEC" w:rsidRDefault="00156DE0" w:rsidP="00156DE0">
            <w:pPr>
              <w:spacing w:before="0" w:after="0"/>
              <w:jc w:val="center"/>
              <w:rPr>
                <w:rFonts w:cs="Calibri"/>
                <w:color w:val="000000"/>
                <w:sz w:val="22"/>
                <w:szCs w:val="22"/>
              </w:rPr>
            </w:pPr>
            <w:r w:rsidRPr="00046CEC">
              <w:rPr>
                <w:rFonts w:cs="Calibri"/>
                <w:color w:val="000000"/>
                <w:sz w:val="22"/>
                <w:szCs w:val="22"/>
              </w:rPr>
              <w:t>33.1</w:t>
            </w:r>
          </w:p>
        </w:tc>
        <w:tc>
          <w:tcPr>
            <w:tcW w:w="916" w:type="pct"/>
            <w:shd w:val="clear" w:color="auto" w:fill="auto"/>
            <w:noWrap/>
            <w:vAlign w:val="bottom"/>
          </w:tcPr>
          <w:p w14:paraId="161B518B" w14:textId="28512336" w:rsidR="00156DE0" w:rsidRPr="00046CEC" w:rsidRDefault="00156DE0" w:rsidP="00156DE0">
            <w:pPr>
              <w:spacing w:before="0" w:after="0"/>
              <w:jc w:val="center"/>
              <w:rPr>
                <w:rFonts w:cs="Calibri"/>
                <w:color w:val="000000"/>
                <w:sz w:val="22"/>
                <w:szCs w:val="22"/>
              </w:rPr>
            </w:pPr>
            <w:r w:rsidRPr="00046CEC">
              <w:rPr>
                <w:rFonts w:cs="Calibri"/>
                <w:color w:val="000000"/>
                <w:sz w:val="22"/>
                <w:szCs w:val="22"/>
              </w:rPr>
              <w:t>667</w:t>
            </w:r>
          </w:p>
        </w:tc>
      </w:tr>
      <w:tr w:rsidR="00156DE0" w:rsidRPr="00046CEC" w14:paraId="023D5602" w14:textId="77777777" w:rsidTr="00156DE0">
        <w:tc>
          <w:tcPr>
            <w:tcW w:w="2623" w:type="pct"/>
            <w:shd w:val="clear" w:color="auto" w:fill="auto"/>
            <w:noWrap/>
            <w:vAlign w:val="bottom"/>
            <w:hideMark/>
          </w:tcPr>
          <w:p w14:paraId="6467D49D" w14:textId="77777777" w:rsidR="00156DE0" w:rsidRPr="00046CEC" w:rsidRDefault="00156DE0" w:rsidP="00156DE0">
            <w:pPr>
              <w:spacing w:before="0" w:after="0"/>
              <w:rPr>
                <w:rFonts w:cs="Calibri"/>
                <w:color w:val="000000"/>
                <w:sz w:val="22"/>
                <w:szCs w:val="22"/>
              </w:rPr>
            </w:pPr>
            <w:r w:rsidRPr="00046CEC">
              <w:rPr>
                <w:rFonts w:cs="Calibri"/>
                <w:color w:val="000000"/>
                <w:sz w:val="22"/>
                <w:szCs w:val="22"/>
              </w:rPr>
              <w:t>Other type of household</w:t>
            </w:r>
          </w:p>
        </w:tc>
        <w:tc>
          <w:tcPr>
            <w:tcW w:w="824" w:type="pct"/>
            <w:shd w:val="clear" w:color="auto" w:fill="auto"/>
            <w:noWrap/>
            <w:vAlign w:val="bottom"/>
          </w:tcPr>
          <w:p w14:paraId="7E54659F" w14:textId="4BC0A921" w:rsidR="00156DE0" w:rsidRPr="00046CEC" w:rsidRDefault="00156DE0" w:rsidP="00156DE0">
            <w:pPr>
              <w:spacing w:before="0" w:after="0"/>
              <w:jc w:val="center"/>
              <w:rPr>
                <w:rFonts w:cs="Calibri"/>
                <w:color w:val="000000"/>
                <w:sz w:val="22"/>
                <w:szCs w:val="22"/>
              </w:rPr>
            </w:pPr>
            <w:r w:rsidRPr="00046CEC">
              <w:rPr>
                <w:rFonts w:cs="Calibri"/>
                <w:color w:val="000000"/>
                <w:sz w:val="22"/>
                <w:szCs w:val="22"/>
              </w:rPr>
              <w:t>115</w:t>
            </w:r>
          </w:p>
        </w:tc>
        <w:tc>
          <w:tcPr>
            <w:tcW w:w="637" w:type="pct"/>
            <w:shd w:val="clear" w:color="auto" w:fill="auto"/>
            <w:noWrap/>
            <w:vAlign w:val="bottom"/>
          </w:tcPr>
          <w:p w14:paraId="06CB75C2" w14:textId="39254103" w:rsidR="00156DE0" w:rsidRPr="00046CEC" w:rsidRDefault="00156DE0" w:rsidP="00156DE0">
            <w:pPr>
              <w:spacing w:before="0" w:after="0"/>
              <w:jc w:val="center"/>
              <w:rPr>
                <w:rFonts w:cs="Calibri"/>
                <w:color w:val="000000"/>
                <w:sz w:val="22"/>
                <w:szCs w:val="22"/>
              </w:rPr>
            </w:pPr>
            <w:r w:rsidRPr="00046CEC">
              <w:rPr>
                <w:rFonts w:cs="Calibri"/>
                <w:color w:val="000000"/>
                <w:sz w:val="22"/>
                <w:szCs w:val="22"/>
              </w:rPr>
              <w:t>24.5</w:t>
            </w:r>
          </w:p>
        </w:tc>
        <w:tc>
          <w:tcPr>
            <w:tcW w:w="916" w:type="pct"/>
            <w:shd w:val="clear" w:color="auto" w:fill="auto"/>
            <w:noWrap/>
            <w:vAlign w:val="bottom"/>
          </w:tcPr>
          <w:p w14:paraId="467143A8" w14:textId="653BEAC0" w:rsidR="00156DE0" w:rsidRPr="00046CEC" w:rsidRDefault="00156DE0" w:rsidP="00156DE0">
            <w:pPr>
              <w:spacing w:before="0" w:after="0"/>
              <w:jc w:val="center"/>
              <w:rPr>
                <w:rFonts w:cs="Calibri"/>
                <w:color w:val="000000"/>
                <w:sz w:val="22"/>
                <w:szCs w:val="22"/>
              </w:rPr>
            </w:pPr>
            <w:r w:rsidRPr="00046CEC">
              <w:rPr>
                <w:rFonts w:cs="Calibri"/>
                <w:color w:val="000000"/>
                <w:sz w:val="22"/>
                <w:szCs w:val="22"/>
              </w:rPr>
              <w:t>469</w:t>
            </w:r>
          </w:p>
        </w:tc>
      </w:tr>
      <w:tr w:rsidR="001F1204" w:rsidRPr="00046CEC" w14:paraId="19E24C97" w14:textId="77777777" w:rsidTr="00156DE0">
        <w:tc>
          <w:tcPr>
            <w:tcW w:w="2623" w:type="pct"/>
            <w:shd w:val="clear" w:color="auto" w:fill="auto"/>
            <w:noWrap/>
            <w:vAlign w:val="bottom"/>
          </w:tcPr>
          <w:p w14:paraId="505257AB" w14:textId="487E1021" w:rsidR="001F1204" w:rsidRPr="00046CEC" w:rsidRDefault="001F1204" w:rsidP="00156DE0">
            <w:pPr>
              <w:spacing w:before="0" w:after="0"/>
              <w:rPr>
                <w:rFonts w:cs="Calibri"/>
                <w:color w:val="000000"/>
                <w:sz w:val="22"/>
                <w:szCs w:val="22"/>
              </w:rPr>
            </w:pPr>
            <w:r>
              <w:rPr>
                <w:rFonts w:cs="Calibri"/>
                <w:color w:val="000000"/>
                <w:sz w:val="22"/>
                <w:szCs w:val="22"/>
              </w:rPr>
              <w:t>Missing household information</w:t>
            </w:r>
          </w:p>
        </w:tc>
        <w:tc>
          <w:tcPr>
            <w:tcW w:w="824" w:type="pct"/>
            <w:shd w:val="clear" w:color="auto" w:fill="auto"/>
            <w:noWrap/>
            <w:vAlign w:val="bottom"/>
          </w:tcPr>
          <w:p w14:paraId="01FA0993" w14:textId="26EA6393" w:rsidR="001F1204" w:rsidRDefault="001F1204" w:rsidP="00156DE0">
            <w:pPr>
              <w:spacing w:before="0" w:after="0"/>
              <w:jc w:val="center"/>
              <w:rPr>
                <w:rFonts w:cs="Calibri"/>
                <w:color w:val="000000"/>
                <w:sz w:val="22"/>
                <w:szCs w:val="22"/>
              </w:rPr>
            </w:pPr>
            <w:r>
              <w:rPr>
                <w:rFonts w:cs="Calibri"/>
                <w:color w:val="000000"/>
                <w:sz w:val="22"/>
                <w:szCs w:val="22"/>
              </w:rPr>
              <w:t>7</w:t>
            </w:r>
          </w:p>
        </w:tc>
        <w:tc>
          <w:tcPr>
            <w:tcW w:w="637" w:type="pct"/>
            <w:shd w:val="clear" w:color="auto" w:fill="auto"/>
            <w:noWrap/>
            <w:vAlign w:val="bottom"/>
          </w:tcPr>
          <w:p w14:paraId="704E06B2" w14:textId="77777777" w:rsidR="001F1204" w:rsidRPr="00046CEC" w:rsidRDefault="001F1204" w:rsidP="00156DE0">
            <w:pPr>
              <w:spacing w:before="0" w:after="0"/>
              <w:jc w:val="center"/>
              <w:rPr>
                <w:rFonts w:cs="Calibri"/>
                <w:color w:val="000000"/>
                <w:sz w:val="22"/>
                <w:szCs w:val="22"/>
              </w:rPr>
            </w:pPr>
          </w:p>
        </w:tc>
        <w:tc>
          <w:tcPr>
            <w:tcW w:w="916" w:type="pct"/>
            <w:shd w:val="clear" w:color="auto" w:fill="auto"/>
            <w:noWrap/>
            <w:vAlign w:val="bottom"/>
          </w:tcPr>
          <w:p w14:paraId="7C63C0A4" w14:textId="529FF5E4" w:rsidR="001F1204" w:rsidRPr="00046CEC" w:rsidRDefault="001F1204" w:rsidP="00156DE0">
            <w:pPr>
              <w:spacing w:before="0" w:after="0"/>
              <w:jc w:val="center"/>
              <w:rPr>
                <w:rFonts w:cs="Calibri"/>
                <w:color w:val="000000"/>
                <w:sz w:val="22"/>
                <w:szCs w:val="22"/>
              </w:rPr>
            </w:pPr>
            <w:r>
              <w:rPr>
                <w:rFonts w:cs="Calibri"/>
                <w:color w:val="000000"/>
                <w:sz w:val="22"/>
                <w:szCs w:val="22"/>
              </w:rPr>
              <w:t>125</w:t>
            </w:r>
          </w:p>
        </w:tc>
      </w:tr>
      <w:tr w:rsidR="00156DE0" w:rsidRPr="00046CEC" w14:paraId="6C64BA6B" w14:textId="77777777" w:rsidTr="00156DE0">
        <w:tc>
          <w:tcPr>
            <w:tcW w:w="2623" w:type="pct"/>
            <w:shd w:val="clear" w:color="auto" w:fill="auto"/>
            <w:noWrap/>
            <w:vAlign w:val="bottom"/>
          </w:tcPr>
          <w:p w14:paraId="06193344" w14:textId="24D0155D" w:rsidR="00156DE0" w:rsidRPr="00046CEC" w:rsidRDefault="00156DE0" w:rsidP="00156DE0">
            <w:pPr>
              <w:spacing w:before="0" w:after="0"/>
              <w:rPr>
                <w:rFonts w:cs="Calibri"/>
                <w:color w:val="000000"/>
                <w:sz w:val="22"/>
                <w:szCs w:val="22"/>
              </w:rPr>
            </w:pPr>
            <w:r w:rsidRPr="00046CEC">
              <w:rPr>
                <w:rFonts w:cs="Calibri"/>
                <w:color w:val="000000"/>
                <w:sz w:val="22"/>
                <w:szCs w:val="22"/>
              </w:rPr>
              <w:t>Total</w:t>
            </w:r>
            <w:r w:rsidR="001F1204">
              <w:rPr>
                <w:rFonts w:cs="Calibri"/>
                <w:color w:val="000000"/>
                <w:sz w:val="22"/>
                <w:szCs w:val="22"/>
              </w:rPr>
              <w:t xml:space="preserve"> (all households)</w:t>
            </w:r>
          </w:p>
        </w:tc>
        <w:tc>
          <w:tcPr>
            <w:tcW w:w="824" w:type="pct"/>
            <w:shd w:val="clear" w:color="auto" w:fill="auto"/>
            <w:noWrap/>
            <w:vAlign w:val="bottom"/>
          </w:tcPr>
          <w:p w14:paraId="0FD07573" w14:textId="3A8C2F7B" w:rsidR="00156DE0" w:rsidRPr="00046CEC" w:rsidRDefault="00156DE0" w:rsidP="00156DE0">
            <w:pPr>
              <w:spacing w:before="0" w:after="0"/>
              <w:jc w:val="center"/>
              <w:rPr>
                <w:rFonts w:cs="Calibri"/>
                <w:color w:val="000000"/>
                <w:sz w:val="22"/>
                <w:szCs w:val="22"/>
              </w:rPr>
            </w:pPr>
            <w:r>
              <w:rPr>
                <w:rFonts w:cs="Calibri"/>
                <w:color w:val="000000"/>
                <w:sz w:val="22"/>
                <w:szCs w:val="22"/>
              </w:rPr>
              <w:t>2,629</w:t>
            </w:r>
          </w:p>
        </w:tc>
        <w:tc>
          <w:tcPr>
            <w:tcW w:w="637" w:type="pct"/>
            <w:shd w:val="clear" w:color="auto" w:fill="auto"/>
            <w:noWrap/>
            <w:vAlign w:val="bottom"/>
          </w:tcPr>
          <w:p w14:paraId="4B367AA9" w14:textId="1FCA0E2F" w:rsidR="00156DE0" w:rsidRPr="00046CEC" w:rsidRDefault="00156DE0" w:rsidP="00156DE0">
            <w:pPr>
              <w:spacing w:before="0" w:after="0"/>
              <w:jc w:val="center"/>
              <w:rPr>
                <w:rFonts w:cs="Calibri"/>
                <w:color w:val="000000"/>
                <w:sz w:val="22"/>
                <w:szCs w:val="22"/>
              </w:rPr>
            </w:pPr>
            <w:r w:rsidRPr="00046CEC">
              <w:rPr>
                <w:rFonts w:cs="Calibri"/>
                <w:color w:val="000000"/>
                <w:sz w:val="22"/>
                <w:szCs w:val="22"/>
              </w:rPr>
              <w:t>11.1</w:t>
            </w:r>
          </w:p>
        </w:tc>
        <w:tc>
          <w:tcPr>
            <w:tcW w:w="916" w:type="pct"/>
            <w:shd w:val="clear" w:color="auto" w:fill="auto"/>
            <w:noWrap/>
            <w:vAlign w:val="bottom"/>
          </w:tcPr>
          <w:p w14:paraId="040C7157" w14:textId="258EEC14" w:rsidR="00156DE0" w:rsidRPr="00046CEC" w:rsidRDefault="00156DE0" w:rsidP="00156DE0">
            <w:pPr>
              <w:spacing w:before="0" w:after="0"/>
              <w:jc w:val="center"/>
              <w:rPr>
                <w:rFonts w:cs="Calibri"/>
                <w:color w:val="000000"/>
                <w:sz w:val="22"/>
                <w:szCs w:val="22"/>
              </w:rPr>
            </w:pPr>
            <w:r w:rsidRPr="00046CEC">
              <w:rPr>
                <w:rFonts w:cs="Calibri"/>
                <w:color w:val="000000"/>
                <w:sz w:val="22"/>
                <w:szCs w:val="22"/>
              </w:rPr>
              <w:t>23,</w:t>
            </w:r>
            <w:r>
              <w:rPr>
                <w:rFonts w:cs="Calibri"/>
                <w:color w:val="000000"/>
                <w:sz w:val="22"/>
                <w:szCs w:val="22"/>
              </w:rPr>
              <w:t>763</w:t>
            </w:r>
          </w:p>
        </w:tc>
      </w:tr>
    </w:tbl>
    <w:p w14:paraId="6F509454" w14:textId="77777777" w:rsidR="001F27D2" w:rsidRPr="002B2A7F" w:rsidRDefault="001F27D2" w:rsidP="001F27D2">
      <w:pPr>
        <w:rPr>
          <w:rFonts w:asciiTheme="minorHAnsi" w:hAnsiTheme="minorHAnsi" w:cs="Calibri"/>
          <w:sz w:val="20"/>
          <w:szCs w:val="20"/>
        </w:rPr>
      </w:pPr>
      <w:r w:rsidRPr="002B2A7F">
        <w:rPr>
          <w:rFonts w:asciiTheme="minorHAnsi" w:hAnsiTheme="minorHAnsi" w:cs="Calibri"/>
          <w:sz w:val="20"/>
          <w:szCs w:val="20"/>
        </w:rPr>
        <w:t>Source: 2018 Household Survey</w:t>
      </w:r>
    </w:p>
    <w:p w14:paraId="43EA4E0B" w14:textId="00B52217" w:rsidR="001F1204" w:rsidRDefault="001F1204" w:rsidP="001F27D2">
      <w:pPr>
        <w:rPr>
          <w:rFonts w:asciiTheme="minorHAnsi" w:hAnsiTheme="minorHAnsi" w:cs="Calibri"/>
        </w:rPr>
      </w:pPr>
      <w:r>
        <w:rPr>
          <w:rFonts w:asciiTheme="minorHAnsi" w:hAnsiTheme="minorHAnsi" w:cs="Calibri"/>
        </w:rPr>
        <w:t xml:space="preserve">Note: Not all households in need provided household type information </w:t>
      </w:r>
    </w:p>
    <w:p w14:paraId="26AA6228" w14:textId="77777777" w:rsidR="00156DE0" w:rsidRPr="002B2A7F" w:rsidRDefault="00156DE0" w:rsidP="001F27D2">
      <w:pPr>
        <w:rPr>
          <w:rFonts w:asciiTheme="minorHAnsi" w:hAnsiTheme="minorHAnsi" w:cs="Calibri"/>
        </w:rPr>
      </w:pPr>
    </w:p>
    <w:p w14:paraId="0C09FB95" w14:textId="7E4C89E7" w:rsidR="001F27D2" w:rsidRPr="002B2A7F" w:rsidRDefault="001F27D2" w:rsidP="001F27D2">
      <w:pPr>
        <w:pStyle w:val="Reporttext"/>
      </w:pPr>
      <w:bookmarkStart w:id="403" w:name="_Toc360192634"/>
      <w:bookmarkStart w:id="404" w:name="_Toc398711712"/>
      <w:bookmarkStart w:id="405" w:name="_Toc399864399"/>
      <w:r w:rsidRPr="002B2A7F">
        <w:t xml:space="preserve">In addition to establishing the overall affordable housing requirements, analysis considers the supply/demand variations by housing market area, property designation (i.e. general needs and older person) and property size (number of bedrooms). Analysis provides a gross figure (absolute shortfalls in affordable provision) and a net figure (which takes into account supply of existing affordable accommodation). Modelling suggests an annual gross imbalance of 515 dwellings and after taking account of affordable supply an annual net imbalance of 264 affordable dwellings across the </w:t>
      </w:r>
      <w:r w:rsidR="00815DFE">
        <w:t>D</w:t>
      </w:r>
      <w:r w:rsidRPr="002B2A7F">
        <w:t xml:space="preserve">istrict as shown in Table 5.5. </w:t>
      </w:r>
    </w:p>
    <w:p w14:paraId="7605327B" w14:textId="77777777" w:rsidR="001F27D2" w:rsidRPr="002B2A7F" w:rsidRDefault="001F27D2" w:rsidP="001F27D2">
      <w:pPr>
        <w:pStyle w:val="Reporttext"/>
      </w:pPr>
      <w:r w:rsidRPr="002B2A7F">
        <w:t>In terms of the size of affordable housing required, when the likely annual affordable supply is taken into account, the overall shortfalls are 70.4% smaller one and two-bedroom general needs, 25.3% three or more-bedroom general needs and 4.3% older person dwellings. It is therefore appropriate for the continued delivery of affordable housing to reflect underlying need.</w:t>
      </w:r>
    </w:p>
    <w:p w14:paraId="406E9C98" w14:textId="77777777" w:rsidR="001F27D2" w:rsidRPr="002B2A7F" w:rsidRDefault="001F27D2" w:rsidP="001F27D2">
      <w:pPr>
        <w:pStyle w:val="Reporttext"/>
      </w:pPr>
      <w:r w:rsidRPr="002B2A7F">
        <w:t>Analysis is based on the next five years and in the absence of any updated information this should be extrapolated forward to the Local Plan Period.</w:t>
      </w:r>
    </w:p>
    <w:p w14:paraId="7413B227" w14:textId="4BFD55C1" w:rsidR="001F27D2" w:rsidRDefault="001F27D2" w:rsidP="001F27D2">
      <w:pPr>
        <w:rPr>
          <w:rFonts w:asciiTheme="minorHAnsi" w:hAnsiTheme="minorHAnsi"/>
        </w:rPr>
      </w:pPr>
    </w:p>
    <w:p w14:paraId="50CFA66D" w14:textId="49309138" w:rsidR="00046CEC" w:rsidRDefault="00046CEC">
      <w:pPr>
        <w:spacing w:before="0" w:after="0"/>
        <w:jc w:val="left"/>
        <w:rPr>
          <w:rFonts w:asciiTheme="minorHAnsi" w:hAnsiTheme="minorHAnsi"/>
        </w:rPr>
      </w:pPr>
      <w:r>
        <w:rPr>
          <w:rFonts w:asciiTheme="minorHAnsi" w:hAnsiTheme="minorHAnsi"/>
        </w:rPr>
        <w:br w:type="page"/>
      </w: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1169"/>
        <w:gridCol w:w="1233"/>
        <w:gridCol w:w="1024"/>
        <w:gridCol w:w="965"/>
        <w:gridCol w:w="1140"/>
        <w:gridCol w:w="1013"/>
        <w:gridCol w:w="1050"/>
        <w:gridCol w:w="794"/>
        <w:gridCol w:w="792"/>
      </w:tblGrid>
      <w:tr w:rsidR="001F27D2" w:rsidRPr="00046CEC" w14:paraId="1D1451D6" w14:textId="77777777" w:rsidTr="00046CEC">
        <w:tc>
          <w:tcPr>
            <w:tcW w:w="5000" w:type="pct"/>
            <w:gridSpan w:val="9"/>
            <w:shd w:val="clear" w:color="000000" w:fill="009193"/>
            <w:noWrap/>
            <w:vAlign w:val="bottom"/>
          </w:tcPr>
          <w:p w14:paraId="2F8BB10F" w14:textId="77777777" w:rsidR="001F27D2" w:rsidRPr="00046CEC" w:rsidRDefault="001F27D2" w:rsidP="00046CEC">
            <w:pPr>
              <w:pStyle w:val="Tableheading1"/>
              <w:rPr>
                <w:b w:val="0"/>
                <w:bCs w:val="0"/>
                <w:color w:val="FFFFFF"/>
              </w:rPr>
            </w:pPr>
            <w:bookmarkStart w:id="406" w:name="_Toc531122951"/>
            <w:bookmarkStart w:id="407" w:name="_Toc532812486"/>
            <w:r w:rsidRPr="00046CEC">
              <w:lastRenderedPageBreak/>
              <w:t>Table 5.5</w:t>
            </w:r>
            <w:r w:rsidRPr="00046CEC">
              <w:tab/>
              <w:t>Net annual affordable housing imbalance by housing market area, property size and designation 2018/19 to 2022/23</w:t>
            </w:r>
            <w:bookmarkEnd w:id="406"/>
            <w:bookmarkEnd w:id="407"/>
          </w:p>
        </w:tc>
      </w:tr>
      <w:tr w:rsidR="00046CEC" w:rsidRPr="00046CEC" w14:paraId="5FDDEB60" w14:textId="77777777" w:rsidTr="00046CEC">
        <w:tc>
          <w:tcPr>
            <w:tcW w:w="643" w:type="pct"/>
            <w:vMerge w:val="restart"/>
            <w:shd w:val="clear" w:color="000000" w:fill="009193"/>
            <w:noWrap/>
            <w:vAlign w:val="bottom"/>
            <w:hideMark/>
          </w:tcPr>
          <w:p w14:paraId="2F9439DD" w14:textId="2B1D227D" w:rsidR="00046CEC" w:rsidRPr="00046CEC" w:rsidRDefault="00046CEC" w:rsidP="00046CEC">
            <w:pPr>
              <w:spacing w:before="0" w:after="0"/>
              <w:rPr>
                <w:rFonts w:cs="Calibri"/>
                <w:b/>
                <w:bCs/>
                <w:color w:val="FFFFFF"/>
                <w:sz w:val="22"/>
                <w:szCs w:val="22"/>
              </w:rPr>
            </w:pPr>
            <w:r w:rsidRPr="00046CEC">
              <w:rPr>
                <w:rFonts w:cs="Calibri"/>
                <w:b/>
                <w:bCs/>
                <w:color w:val="FFFFFF"/>
                <w:sz w:val="22"/>
                <w:szCs w:val="22"/>
              </w:rPr>
              <w:t>Age Group </w:t>
            </w:r>
          </w:p>
        </w:tc>
        <w:tc>
          <w:tcPr>
            <w:tcW w:w="680" w:type="pct"/>
            <w:vMerge w:val="restart"/>
            <w:shd w:val="clear" w:color="000000" w:fill="009193"/>
            <w:noWrap/>
            <w:vAlign w:val="bottom"/>
            <w:hideMark/>
          </w:tcPr>
          <w:p w14:paraId="647C92D3" w14:textId="5382BD63" w:rsidR="00046CEC" w:rsidRPr="00046CEC" w:rsidRDefault="00046CEC" w:rsidP="00046CEC">
            <w:pPr>
              <w:spacing w:before="0" w:after="0"/>
              <w:rPr>
                <w:rFonts w:cs="Calibri"/>
                <w:b/>
                <w:bCs/>
                <w:color w:val="FFFFFF"/>
                <w:sz w:val="22"/>
                <w:szCs w:val="22"/>
              </w:rPr>
            </w:pPr>
            <w:r w:rsidRPr="00046CEC">
              <w:rPr>
                <w:rFonts w:cs="Calibri"/>
                <w:b/>
                <w:bCs/>
                <w:color w:val="FFFFFF"/>
                <w:sz w:val="22"/>
                <w:szCs w:val="22"/>
              </w:rPr>
              <w:t>No. Beds </w:t>
            </w:r>
          </w:p>
        </w:tc>
        <w:tc>
          <w:tcPr>
            <w:tcW w:w="3254" w:type="pct"/>
            <w:gridSpan w:val="6"/>
            <w:shd w:val="clear" w:color="000000" w:fill="009193"/>
            <w:vAlign w:val="bottom"/>
            <w:hideMark/>
          </w:tcPr>
          <w:p w14:paraId="15AE811C" w14:textId="77777777" w:rsidR="00046CEC" w:rsidRPr="00046CEC" w:rsidRDefault="00046CEC" w:rsidP="00046CEC">
            <w:pPr>
              <w:spacing w:before="0" w:after="0"/>
              <w:rPr>
                <w:rFonts w:cs="Calibri"/>
                <w:b/>
                <w:bCs/>
                <w:color w:val="FFFFFF"/>
                <w:sz w:val="22"/>
                <w:szCs w:val="22"/>
              </w:rPr>
            </w:pPr>
            <w:r w:rsidRPr="00046CEC">
              <w:rPr>
                <w:rFonts w:cs="Calibri"/>
                <w:b/>
                <w:bCs/>
                <w:color w:val="FFFFFF"/>
                <w:sz w:val="22"/>
                <w:szCs w:val="22"/>
              </w:rPr>
              <w:t>Housing Market Area</w:t>
            </w:r>
          </w:p>
        </w:tc>
        <w:tc>
          <w:tcPr>
            <w:tcW w:w="423" w:type="pct"/>
            <w:vMerge w:val="restart"/>
            <w:shd w:val="clear" w:color="000000" w:fill="009193"/>
            <w:vAlign w:val="bottom"/>
          </w:tcPr>
          <w:p w14:paraId="1A1983B1" w14:textId="59DE26B3" w:rsidR="00046CEC" w:rsidRPr="00046CEC" w:rsidRDefault="00046CEC" w:rsidP="00046CEC">
            <w:pPr>
              <w:spacing w:before="0" w:after="0"/>
              <w:jc w:val="center"/>
              <w:rPr>
                <w:rFonts w:cs="Calibri"/>
                <w:b/>
                <w:bCs/>
                <w:color w:val="FFFFFF"/>
                <w:sz w:val="22"/>
                <w:szCs w:val="22"/>
              </w:rPr>
            </w:pPr>
            <w:r w:rsidRPr="00046CEC">
              <w:rPr>
                <w:rFonts w:cs="Calibri"/>
                <w:b/>
                <w:bCs/>
                <w:color w:val="FFFFFF"/>
                <w:sz w:val="22"/>
                <w:szCs w:val="22"/>
              </w:rPr>
              <w:t>Total</w:t>
            </w:r>
          </w:p>
        </w:tc>
      </w:tr>
      <w:tr w:rsidR="00046CEC" w:rsidRPr="00046CEC" w14:paraId="1945F8F1" w14:textId="77777777" w:rsidTr="00046CEC">
        <w:tc>
          <w:tcPr>
            <w:tcW w:w="643" w:type="pct"/>
            <w:vMerge/>
            <w:shd w:val="clear" w:color="000000" w:fill="009193"/>
            <w:noWrap/>
            <w:vAlign w:val="bottom"/>
            <w:hideMark/>
          </w:tcPr>
          <w:p w14:paraId="5F9BA60D" w14:textId="441DD4B2" w:rsidR="00046CEC" w:rsidRPr="00046CEC" w:rsidRDefault="00046CEC" w:rsidP="00046CEC">
            <w:pPr>
              <w:spacing w:before="0" w:after="0"/>
              <w:rPr>
                <w:rFonts w:cs="Calibri"/>
                <w:b/>
                <w:bCs/>
                <w:color w:val="FFFFFF"/>
                <w:sz w:val="22"/>
                <w:szCs w:val="22"/>
              </w:rPr>
            </w:pPr>
          </w:p>
        </w:tc>
        <w:tc>
          <w:tcPr>
            <w:tcW w:w="680" w:type="pct"/>
            <w:vMerge/>
            <w:shd w:val="clear" w:color="000000" w:fill="009193"/>
            <w:noWrap/>
            <w:vAlign w:val="bottom"/>
            <w:hideMark/>
          </w:tcPr>
          <w:p w14:paraId="713E3B4D" w14:textId="0E6462EE" w:rsidR="00046CEC" w:rsidRPr="00046CEC" w:rsidRDefault="00046CEC" w:rsidP="00046CEC">
            <w:pPr>
              <w:spacing w:before="0" w:after="0"/>
              <w:rPr>
                <w:rFonts w:cs="Calibri"/>
                <w:b/>
                <w:bCs/>
                <w:color w:val="FFFFFF"/>
                <w:sz w:val="22"/>
                <w:szCs w:val="22"/>
              </w:rPr>
            </w:pPr>
          </w:p>
        </w:tc>
        <w:tc>
          <w:tcPr>
            <w:tcW w:w="558" w:type="pct"/>
            <w:shd w:val="clear" w:color="000000" w:fill="009193"/>
            <w:vAlign w:val="bottom"/>
            <w:hideMark/>
          </w:tcPr>
          <w:p w14:paraId="7B75FF77" w14:textId="77777777" w:rsidR="00046CEC" w:rsidRPr="00046CEC" w:rsidRDefault="00046CEC" w:rsidP="00046CEC">
            <w:pPr>
              <w:spacing w:before="0" w:after="0"/>
              <w:jc w:val="center"/>
              <w:rPr>
                <w:rFonts w:cs="Calibri"/>
                <w:b/>
                <w:bCs/>
                <w:color w:val="FFFFFF"/>
                <w:sz w:val="22"/>
                <w:szCs w:val="22"/>
              </w:rPr>
            </w:pPr>
            <w:r w:rsidRPr="00046CEC">
              <w:rPr>
                <w:rFonts w:cs="Calibri"/>
                <w:b/>
                <w:bCs/>
                <w:color w:val="FFFFFF"/>
                <w:sz w:val="22"/>
                <w:szCs w:val="22"/>
              </w:rPr>
              <w:t>HMA1A Penrith Urban</w:t>
            </w:r>
          </w:p>
        </w:tc>
        <w:tc>
          <w:tcPr>
            <w:tcW w:w="523" w:type="pct"/>
            <w:shd w:val="clear" w:color="000000" w:fill="009193"/>
            <w:vAlign w:val="bottom"/>
            <w:hideMark/>
          </w:tcPr>
          <w:p w14:paraId="78D67A3A" w14:textId="77777777" w:rsidR="00046CEC" w:rsidRPr="00046CEC" w:rsidRDefault="00046CEC" w:rsidP="00046CEC">
            <w:pPr>
              <w:spacing w:before="0" w:after="0"/>
              <w:jc w:val="center"/>
              <w:rPr>
                <w:rFonts w:cs="Calibri"/>
                <w:b/>
                <w:bCs/>
                <w:color w:val="FFFFFF"/>
                <w:sz w:val="22"/>
                <w:szCs w:val="22"/>
              </w:rPr>
            </w:pPr>
            <w:r w:rsidRPr="00046CEC">
              <w:rPr>
                <w:rFonts w:cs="Calibri"/>
                <w:b/>
                <w:bCs/>
                <w:color w:val="FFFFFF"/>
                <w:sz w:val="22"/>
                <w:szCs w:val="22"/>
              </w:rPr>
              <w:t>HMA1B Penrith Rural</w:t>
            </w:r>
          </w:p>
        </w:tc>
        <w:tc>
          <w:tcPr>
            <w:tcW w:w="625" w:type="pct"/>
            <w:shd w:val="clear" w:color="000000" w:fill="009193"/>
            <w:vAlign w:val="bottom"/>
            <w:hideMark/>
          </w:tcPr>
          <w:p w14:paraId="571C08F7" w14:textId="77777777" w:rsidR="00046CEC" w:rsidRPr="00046CEC" w:rsidRDefault="00046CEC" w:rsidP="00046CEC">
            <w:pPr>
              <w:spacing w:before="0" w:after="0"/>
              <w:jc w:val="center"/>
              <w:rPr>
                <w:rFonts w:cs="Calibri"/>
                <w:b/>
                <w:bCs/>
                <w:color w:val="FFFFFF"/>
                <w:sz w:val="22"/>
                <w:szCs w:val="22"/>
              </w:rPr>
            </w:pPr>
            <w:r w:rsidRPr="00046CEC">
              <w:rPr>
                <w:rFonts w:cs="Calibri"/>
                <w:b/>
                <w:bCs/>
                <w:color w:val="FFFFFF"/>
                <w:sz w:val="22"/>
                <w:szCs w:val="22"/>
              </w:rPr>
              <w:t>HMA2 Appleby</w:t>
            </w:r>
          </w:p>
        </w:tc>
        <w:tc>
          <w:tcPr>
            <w:tcW w:w="551" w:type="pct"/>
            <w:shd w:val="clear" w:color="000000" w:fill="009193"/>
            <w:vAlign w:val="bottom"/>
            <w:hideMark/>
          </w:tcPr>
          <w:p w14:paraId="6990DC58" w14:textId="77777777" w:rsidR="00046CEC" w:rsidRPr="00046CEC" w:rsidRDefault="00046CEC" w:rsidP="00046CEC">
            <w:pPr>
              <w:spacing w:before="0" w:after="0"/>
              <w:jc w:val="center"/>
              <w:rPr>
                <w:rFonts w:cs="Calibri"/>
                <w:b/>
                <w:bCs/>
                <w:color w:val="FFFFFF"/>
                <w:sz w:val="22"/>
                <w:szCs w:val="22"/>
              </w:rPr>
            </w:pPr>
            <w:r w:rsidRPr="00046CEC">
              <w:rPr>
                <w:rFonts w:cs="Calibri"/>
                <w:b/>
                <w:bCs/>
                <w:color w:val="FFFFFF"/>
                <w:sz w:val="22"/>
                <w:szCs w:val="22"/>
              </w:rPr>
              <w:t>HMA3 Kirkby Stephen</w:t>
            </w:r>
          </w:p>
        </w:tc>
        <w:tc>
          <w:tcPr>
            <w:tcW w:w="573" w:type="pct"/>
            <w:shd w:val="clear" w:color="000000" w:fill="009193"/>
            <w:vAlign w:val="bottom"/>
            <w:hideMark/>
          </w:tcPr>
          <w:p w14:paraId="75621C65" w14:textId="77777777" w:rsidR="00046CEC" w:rsidRPr="00046CEC" w:rsidRDefault="00046CEC" w:rsidP="00046CEC">
            <w:pPr>
              <w:spacing w:before="0" w:after="0"/>
              <w:jc w:val="center"/>
              <w:rPr>
                <w:rFonts w:cs="Calibri"/>
                <w:b/>
                <w:bCs/>
                <w:color w:val="FFFFFF"/>
                <w:sz w:val="22"/>
                <w:szCs w:val="22"/>
              </w:rPr>
            </w:pPr>
            <w:r w:rsidRPr="00046CEC">
              <w:rPr>
                <w:rFonts w:cs="Calibri"/>
                <w:b/>
                <w:bCs/>
                <w:color w:val="FFFFFF"/>
                <w:sz w:val="22"/>
                <w:szCs w:val="22"/>
              </w:rPr>
              <w:t>HMA4 Alston</w:t>
            </w:r>
          </w:p>
        </w:tc>
        <w:tc>
          <w:tcPr>
            <w:tcW w:w="423" w:type="pct"/>
            <w:shd w:val="clear" w:color="000000" w:fill="009193"/>
            <w:vAlign w:val="bottom"/>
            <w:hideMark/>
          </w:tcPr>
          <w:p w14:paraId="4FE83545" w14:textId="77777777" w:rsidR="00046CEC" w:rsidRPr="00046CEC" w:rsidRDefault="00046CEC" w:rsidP="00046CEC">
            <w:pPr>
              <w:spacing w:before="0" w:after="0"/>
              <w:jc w:val="center"/>
              <w:rPr>
                <w:rFonts w:cs="Calibri"/>
                <w:b/>
                <w:bCs/>
                <w:color w:val="FFFFFF"/>
                <w:sz w:val="22"/>
                <w:szCs w:val="22"/>
              </w:rPr>
            </w:pPr>
            <w:r w:rsidRPr="00046CEC">
              <w:rPr>
                <w:rFonts w:cs="Calibri"/>
                <w:b/>
                <w:bCs/>
                <w:color w:val="FFFFFF"/>
                <w:sz w:val="22"/>
                <w:szCs w:val="22"/>
              </w:rPr>
              <w:t>HMA5 West of M6</w:t>
            </w:r>
          </w:p>
        </w:tc>
        <w:tc>
          <w:tcPr>
            <w:tcW w:w="423" w:type="pct"/>
            <w:vMerge/>
            <w:shd w:val="clear" w:color="000000" w:fill="009193"/>
            <w:vAlign w:val="bottom"/>
            <w:hideMark/>
          </w:tcPr>
          <w:p w14:paraId="1A50652C" w14:textId="5CEF0D4D" w:rsidR="00046CEC" w:rsidRPr="00046CEC" w:rsidRDefault="00046CEC" w:rsidP="00046CEC">
            <w:pPr>
              <w:spacing w:before="0" w:after="0"/>
              <w:jc w:val="center"/>
              <w:rPr>
                <w:rFonts w:cs="Calibri"/>
                <w:b/>
                <w:bCs/>
                <w:color w:val="FFFFFF"/>
                <w:sz w:val="22"/>
                <w:szCs w:val="22"/>
              </w:rPr>
            </w:pPr>
          </w:p>
        </w:tc>
      </w:tr>
      <w:tr w:rsidR="00046CEC" w:rsidRPr="00046CEC" w14:paraId="3D37226D" w14:textId="77777777" w:rsidTr="00046CEC">
        <w:tc>
          <w:tcPr>
            <w:tcW w:w="643" w:type="pct"/>
            <w:shd w:val="clear" w:color="auto" w:fill="auto"/>
            <w:noWrap/>
            <w:tcMar>
              <w:right w:w="0" w:type="dxa"/>
            </w:tcMar>
            <w:vAlign w:val="bottom"/>
            <w:hideMark/>
          </w:tcPr>
          <w:p w14:paraId="2C6BF29E" w14:textId="77777777" w:rsidR="001F27D2" w:rsidRPr="00046CEC" w:rsidRDefault="001F27D2" w:rsidP="00046CEC">
            <w:pPr>
              <w:spacing w:before="0" w:after="0"/>
              <w:rPr>
                <w:rFonts w:cs="Calibri"/>
                <w:color w:val="000000"/>
                <w:sz w:val="22"/>
                <w:szCs w:val="22"/>
              </w:rPr>
            </w:pPr>
            <w:r w:rsidRPr="00046CEC">
              <w:rPr>
                <w:rFonts w:cs="Calibri"/>
                <w:color w:val="000000"/>
                <w:sz w:val="22"/>
                <w:szCs w:val="22"/>
              </w:rPr>
              <w:t>Under 65</w:t>
            </w:r>
          </w:p>
        </w:tc>
        <w:tc>
          <w:tcPr>
            <w:tcW w:w="680" w:type="pct"/>
            <w:shd w:val="clear" w:color="auto" w:fill="auto"/>
            <w:noWrap/>
            <w:tcMar>
              <w:right w:w="0" w:type="dxa"/>
            </w:tcMar>
            <w:vAlign w:val="bottom"/>
            <w:hideMark/>
          </w:tcPr>
          <w:p w14:paraId="444772A9" w14:textId="77777777" w:rsidR="001F27D2" w:rsidRPr="00046CEC" w:rsidRDefault="001F27D2" w:rsidP="00046CEC">
            <w:pPr>
              <w:spacing w:before="0" w:after="0"/>
              <w:rPr>
                <w:rFonts w:cs="Calibri"/>
                <w:color w:val="000000"/>
                <w:sz w:val="22"/>
                <w:szCs w:val="22"/>
              </w:rPr>
            </w:pPr>
            <w:r w:rsidRPr="00046CEC">
              <w:rPr>
                <w:rFonts w:cs="Calibri"/>
                <w:color w:val="000000"/>
                <w:sz w:val="22"/>
                <w:szCs w:val="22"/>
              </w:rPr>
              <w:t>One</w:t>
            </w:r>
          </w:p>
        </w:tc>
        <w:tc>
          <w:tcPr>
            <w:tcW w:w="558" w:type="pct"/>
            <w:shd w:val="clear" w:color="auto" w:fill="auto"/>
            <w:noWrap/>
            <w:vAlign w:val="bottom"/>
            <w:hideMark/>
          </w:tcPr>
          <w:p w14:paraId="0406A061"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3</w:t>
            </w:r>
          </w:p>
        </w:tc>
        <w:tc>
          <w:tcPr>
            <w:tcW w:w="523" w:type="pct"/>
            <w:shd w:val="clear" w:color="auto" w:fill="auto"/>
            <w:noWrap/>
            <w:vAlign w:val="bottom"/>
            <w:hideMark/>
          </w:tcPr>
          <w:p w14:paraId="0D435AB2"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12</w:t>
            </w:r>
          </w:p>
        </w:tc>
        <w:tc>
          <w:tcPr>
            <w:tcW w:w="625" w:type="pct"/>
            <w:shd w:val="clear" w:color="auto" w:fill="auto"/>
            <w:noWrap/>
            <w:vAlign w:val="bottom"/>
            <w:hideMark/>
          </w:tcPr>
          <w:p w14:paraId="6BFB0DA4"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11</w:t>
            </w:r>
          </w:p>
        </w:tc>
        <w:tc>
          <w:tcPr>
            <w:tcW w:w="551" w:type="pct"/>
            <w:shd w:val="clear" w:color="auto" w:fill="auto"/>
            <w:noWrap/>
            <w:vAlign w:val="bottom"/>
            <w:hideMark/>
          </w:tcPr>
          <w:p w14:paraId="19474883"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4</w:t>
            </w:r>
          </w:p>
        </w:tc>
        <w:tc>
          <w:tcPr>
            <w:tcW w:w="573" w:type="pct"/>
            <w:shd w:val="clear" w:color="auto" w:fill="auto"/>
            <w:noWrap/>
            <w:vAlign w:val="bottom"/>
            <w:hideMark/>
          </w:tcPr>
          <w:p w14:paraId="5EB58DD9"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3</w:t>
            </w:r>
          </w:p>
        </w:tc>
        <w:tc>
          <w:tcPr>
            <w:tcW w:w="423" w:type="pct"/>
            <w:shd w:val="clear" w:color="auto" w:fill="auto"/>
            <w:noWrap/>
            <w:vAlign w:val="bottom"/>
            <w:hideMark/>
          </w:tcPr>
          <w:p w14:paraId="760FA9E0"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3</w:t>
            </w:r>
          </w:p>
        </w:tc>
        <w:tc>
          <w:tcPr>
            <w:tcW w:w="423" w:type="pct"/>
            <w:shd w:val="clear" w:color="auto" w:fill="auto"/>
            <w:noWrap/>
            <w:vAlign w:val="bottom"/>
            <w:hideMark/>
          </w:tcPr>
          <w:p w14:paraId="51F4F3BB"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36</w:t>
            </w:r>
          </w:p>
        </w:tc>
      </w:tr>
      <w:tr w:rsidR="00046CEC" w:rsidRPr="00046CEC" w14:paraId="76279113" w14:textId="77777777" w:rsidTr="00046CEC">
        <w:tc>
          <w:tcPr>
            <w:tcW w:w="643" w:type="pct"/>
            <w:shd w:val="clear" w:color="auto" w:fill="auto"/>
            <w:noWrap/>
            <w:tcMar>
              <w:right w:w="0" w:type="dxa"/>
            </w:tcMar>
            <w:vAlign w:val="bottom"/>
            <w:hideMark/>
          </w:tcPr>
          <w:p w14:paraId="0730931B" w14:textId="77777777" w:rsidR="001F27D2" w:rsidRPr="00046CEC" w:rsidRDefault="001F27D2" w:rsidP="00046CEC">
            <w:pPr>
              <w:spacing w:before="0" w:after="0"/>
              <w:rPr>
                <w:rFonts w:cs="Calibri"/>
                <w:color w:val="000000"/>
                <w:sz w:val="22"/>
                <w:szCs w:val="22"/>
              </w:rPr>
            </w:pPr>
            <w:r w:rsidRPr="00046CEC">
              <w:rPr>
                <w:rFonts w:cs="Calibri"/>
                <w:color w:val="000000"/>
                <w:sz w:val="22"/>
                <w:szCs w:val="22"/>
              </w:rPr>
              <w:t> </w:t>
            </w:r>
          </w:p>
        </w:tc>
        <w:tc>
          <w:tcPr>
            <w:tcW w:w="680" w:type="pct"/>
            <w:shd w:val="clear" w:color="auto" w:fill="auto"/>
            <w:noWrap/>
            <w:tcMar>
              <w:right w:w="0" w:type="dxa"/>
            </w:tcMar>
            <w:vAlign w:val="bottom"/>
            <w:hideMark/>
          </w:tcPr>
          <w:p w14:paraId="6D882EAD" w14:textId="77777777" w:rsidR="001F27D2" w:rsidRPr="00046CEC" w:rsidRDefault="001F27D2" w:rsidP="00046CEC">
            <w:pPr>
              <w:spacing w:before="0" w:after="0"/>
              <w:rPr>
                <w:rFonts w:cs="Calibri"/>
                <w:color w:val="000000"/>
                <w:sz w:val="22"/>
                <w:szCs w:val="22"/>
              </w:rPr>
            </w:pPr>
            <w:r w:rsidRPr="00046CEC">
              <w:rPr>
                <w:rFonts w:cs="Calibri"/>
                <w:color w:val="000000"/>
                <w:sz w:val="22"/>
                <w:szCs w:val="22"/>
              </w:rPr>
              <w:t>Two</w:t>
            </w:r>
          </w:p>
        </w:tc>
        <w:tc>
          <w:tcPr>
            <w:tcW w:w="558" w:type="pct"/>
            <w:shd w:val="clear" w:color="auto" w:fill="auto"/>
            <w:noWrap/>
            <w:vAlign w:val="bottom"/>
            <w:hideMark/>
          </w:tcPr>
          <w:p w14:paraId="1C7381B6"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10</w:t>
            </w:r>
          </w:p>
        </w:tc>
        <w:tc>
          <w:tcPr>
            <w:tcW w:w="523" w:type="pct"/>
            <w:shd w:val="clear" w:color="auto" w:fill="auto"/>
            <w:noWrap/>
            <w:vAlign w:val="bottom"/>
            <w:hideMark/>
          </w:tcPr>
          <w:p w14:paraId="1643D519"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59</w:t>
            </w:r>
          </w:p>
        </w:tc>
        <w:tc>
          <w:tcPr>
            <w:tcW w:w="625" w:type="pct"/>
            <w:shd w:val="clear" w:color="auto" w:fill="auto"/>
            <w:noWrap/>
            <w:vAlign w:val="bottom"/>
            <w:hideMark/>
          </w:tcPr>
          <w:p w14:paraId="4352D97A"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39</w:t>
            </w:r>
          </w:p>
        </w:tc>
        <w:tc>
          <w:tcPr>
            <w:tcW w:w="551" w:type="pct"/>
            <w:shd w:val="clear" w:color="auto" w:fill="auto"/>
            <w:noWrap/>
            <w:vAlign w:val="bottom"/>
            <w:hideMark/>
          </w:tcPr>
          <w:p w14:paraId="5C6DFC67"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13</w:t>
            </w:r>
          </w:p>
        </w:tc>
        <w:tc>
          <w:tcPr>
            <w:tcW w:w="573" w:type="pct"/>
            <w:shd w:val="clear" w:color="auto" w:fill="auto"/>
            <w:noWrap/>
            <w:vAlign w:val="bottom"/>
            <w:hideMark/>
          </w:tcPr>
          <w:p w14:paraId="0278E885"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14</w:t>
            </w:r>
          </w:p>
        </w:tc>
        <w:tc>
          <w:tcPr>
            <w:tcW w:w="423" w:type="pct"/>
            <w:shd w:val="clear" w:color="auto" w:fill="auto"/>
            <w:noWrap/>
            <w:vAlign w:val="bottom"/>
            <w:hideMark/>
          </w:tcPr>
          <w:p w14:paraId="737CD569"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10</w:t>
            </w:r>
          </w:p>
        </w:tc>
        <w:tc>
          <w:tcPr>
            <w:tcW w:w="423" w:type="pct"/>
            <w:shd w:val="clear" w:color="auto" w:fill="auto"/>
            <w:noWrap/>
            <w:vAlign w:val="bottom"/>
            <w:hideMark/>
          </w:tcPr>
          <w:p w14:paraId="1714059A"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149</w:t>
            </w:r>
          </w:p>
        </w:tc>
      </w:tr>
      <w:tr w:rsidR="00046CEC" w:rsidRPr="00046CEC" w14:paraId="04130720" w14:textId="77777777" w:rsidTr="00046CEC">
        <w:tc>
          <w:tcPr>
            <w:tcW w:w="643" w:type="pct"/>
            <w:shd w:val="clear" w:color="auto" w:fill="auto"/>
            <w:noWrap/>
            <w:tcMar>
              <w:right w:w="0" w:type="dxa"/>
            </w:tcMar>
            <w:vAlign w:val="bottom"/>
            <w:hideMark/>
          </w:tcPr>
          <w:p w14:paraId="66F58594" w14:textId="77777777" w:rsidR="001F27D2" w:rsidRPr="00046CEC" w:rsidRDefault="001F27D2" w:rsidP="00046CEC">
            <w:pPr>
              <w:spacing w:before="0" w:after="0"/>
              <w:rPr>
                <w:rFonts w:cs="Calibri"/>
                <w:color w:val="000000"/>
                <w:sz w:val="22"/>
                <w:szCs w:val="22"/>
              </w:rPr>
            </w:pPr>
            <w:r w:rsidRPr="00046CEC">
              <w:rPr>
                <w:rFonts w:cs="Calibri"/>
                <w:color w:val="000000"/>
                <w:sz w:val="22"/>
                <w:szCs w:val="22"/>
              </w:rPr>
              <w:t> </w:t>
            </w:r>
          </w:p>
        </w:tc>
        <w:tc>
          <w:tcPr>
            <w:tcW w:w="680" w:type="pct"/>
            <w:shd w:val="clear" w:color="auto" w:fill="auto"/>
            <w:noWrap/>
            <w:tcMar>
              <w:right w:w="0" w:type="dxa"/>
            </w:tcMar>
            <w:vAlign w:val="bottom"/>
            <w:hideMark/>
          </w:tcPr>
          <w:p w14:paraId="74126C62" w14:textId="77777777" w:rsidR="001F27D2" w:rsidRPr="00046CEC" w:rsidRDefault="001F27D2" w:rsidP="00046CEC">
            <w:pPr>
              <w:spacing w:before="0" w:after="0"/>
              <w:rPr>
                <w:rFonts w:cs="Calibri"/>
                <w:color w:val="000000"/>
                <w:sz w:val="22"/>
                <w:szCs w:val="22"/>
              </w:rPr>
            </w:pPr>
            <w:r w:rsidRPr="00046CEC">
              <w:rPr>
                <w:rFonts w:cs="Calibri"/>
                <w:color w:val="000000"/>
                <w:sz w:val="22"/>
                <w:szCs w:val="22"/>
              </w:rPr>
              <w:t>Three</w:t>
            </w:r>
          </w:p>
        </w:tc>
        <w:tc>
          <w:tcPr>
            <w:tcW w:w="558" w:type="pct"/>
            <w:shd w:val="clear" w:color="auto" w:fill="auto"/>
            <w:noWrap/>
            <w:vAlign w:val="bottom"/>
            <w:hideMark/>
          </w:tcPr>
          <w:p w14:paraId="01D4E1D8"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3</w:t>
            </w:r>
          </w:p>
        </w:tc>
        <w:tc>
          <w:tcPr>
            <w:tcW w:w="523" w:type="pct"/>
            <w:shd w:val="clear" w:color="auto" w:fill="auto"/>
            <w:noWrap/>
            <w:vAlign w:val="bottom"/>
            <w:hideMark/>
          </w:tcPr>
          <w:p w14:paraId="5EE8C0DB"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29</w:t>
            </w:r>
          </w:p>
        </w:tc>
        <w:tc>
          <w:tcPr>
            <w:tcW w:w="625" w:type="pct"/>
            <w:shd w:val="clear" w:color="auto" w:fill="auto"/>
            <w:noWrap/>
            <w:vAlign w:val="bottom"/>
            <w:hideMark/>
          </w:tcPr>
          <w:p w14:paraId="223B83E7"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13</w:t>
            </w:r>
          </w:p>
        </w:tc>
        <w:tc>
          <w:tcPr>
            <w:tcW w:w="551" w:type="pct"/>
            <w:shd w:val="clear" w:color="auto" w:fill="auto"/>
            <w:noWrap/>
            <w:vAlign w:val="bottom"/>
            <w:hideMark/>
          </w:tcPr>
          <w:p w14:paraId="60400670"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5</w:t>
            </w:r>
          </w:p>
        </w:tc>
        <w:tc>
          <w:tcPr>
            <w:tcW w:w="573" w:type="pct"/>
            <w:shd w:val="clear" w:color="auto" w:fill="auto"/>
            <w:noWrap/>
            <w:vAlign w:val="bottom"/>
            <w:hideMark/>
          </w:tcPr>
          <w:p w14:paraId="1343E882"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6</w:t>
            </w:r>
          </w:p>
        </w:tc>
        <w:tc>
          <w:tcPr>
            <w:tcW w:w="423" w:type="pct"/>
            <w:shd w:val="clear" w:color="auto" w:fill="auto"/>
            <w:noWrap/>
            <w:vAlign w:val="bottom"/>
            <w:hideMark/>
          </w:tcPr>
          <w:p w14:paraId="2F3B7355"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3</w:t>
            </w:r>
          </w:p>
        </w:tc>
        <w:tc>
          <w:tcPr>
            <w:tcW w:w="423" w:type="pct"/>
            <w:shd w:val="clear" w:color="auto" w:fill="auto"/>
            <w:noWrap/>
            <w:vAlign w:val="bottom"/>
            <w:hideMark/>
          </w:tcPr>
          <w:p w14:paraId="16C44EE3"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54</w:t>
            </w:r>
          </w:p>
        </w:tc>
      </w:tr>
      <w:tr w:rsidR="00046CEC" w:rsidRPr="00046CEC" w14:paraId="588FA14F" w14:textId="77777777" w:rsidTr="00046CEC">
        <w:tc>
          <w:tcPr>
            <w:tcW w:w="643" w:type="pct"/>
            <w:shd w:val="clear" w:color="auto" w:fill="auto"/>
            <w:noWrap/>
            <w:tcMar>
              <w:right w:w="0" w:type="dxa"/>
            </w:tcMar>
            <w:vAlign w:val="bottom"/>
            <w:hideMark/>
          </w:tcPr>
          <w:p w14:paraId="690513FD" w14:textId="77777777" w:rsidR="001F27D2" w:rsidRPr="00046CEC" w:rsidRDefault="001F27D2" w:rsidP="00046CEC">
            <w:pPr>
              <w:spacing w:before="0" w:after="0"/>
              <w:rPr>
                <w:rFonts w:cs="Calibri"/>
                <w:color w:val="000000"/>
                <w:sz w:val="22"/>
                <w:szCs w:val="22"/>
              </w:rPr>
            </w:pPr>
            <w:r w:rsidRPr="00046CEC">
              <w:rPr>
                <w:rFonts w:cs="Calibri"/>
                <w:color w:val="000000"/>
                <w:sz w:val="22"/>
                <w:szCs w:val="22"/>
              </w:rPr>
              <w:t> </w:t>
            </w:r>
          </w:p>
        </w:tc>
        <w:tc>
          <w:tcPr>
            <w:tcW w:w="680" w:type="pct"/>
            <w:shd w:val="clear" w:color="auto" w:fill="auto"/>
            <w:noWrap/>
            <w:tcMar>
              <w:right w:w="0" w:type="dxa"/>
            </w:tcMar>
            <w:vAlign w:val="bottom"/>
            <w:hideMark/>
          </w:tcPr>
          <w:p w14:paraId="02DCC80D" w14:textId="77777777" w:rsidR="001F27D2" w:rsidRPr="00046CEC" w:rsidRDefault="001F27D2" w:rsidP="00046CEC">
            <w:pPr>
              <w:spacing w:before="0" w:after="0"/>
              <w:rPr>
                <w:rFonts w:cs="Calibri"/>
                <w:color w:val="000000"/>
                <w:sz w:val="22"/>
                <w:szCs w:val="22"/>
              </w:rPr>
            </w:pPr>
            <w:r w:rsidRPr="00046CEC">
              <w:rPr>
                <w:rFonts w:cs="Calibri"/>
                <w:color w:val="000000"/>
                <w:sz w:val="22"/>
                <w:szCs w:val="22"/>
              </w:rPr>
              <w:t>Four</w:t>
            </w:r>
          </w:p>
        </w:tc>
        <w:tc>
          <w:tcPr>
            <w:tcW w:w="558" w:type="pct"/>
            <w:shd w:val="clear" w:color="auto" w:fill="auto"/>
            <w:noWrap/>
            <w:vAlign w:val="bottom"/>
            <w:hideMark/>
          </w:tcPr>
          <w:p w14:paraId="6AF346DA"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1</w:t>
            </w:r>
          </w:p>
        </w:tc>
        <w:tc>
          <w:tcPr>
            <w:tcW w:w="523" w:type="pct"/>
            <w:shd w:val="clear" w:color="auto" w:fill="auto"/>
            <w:noWrap/>
            <w:vAlign w:val="bottom"/>
            <w:hideMark/>
          </w:tcPr>
          <w:p w14:paraId="11F218E1"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7</w:t>
            </w:r>
          </w:p>
        </w:tc>
        <w:tc>
          <w:tcPr>
            <w:tcW w:w="625" w:type="pct"/>
            <w:shd w:val="clear" w:color="auto" w:fill="auto"/>
            <w:noWrap/>
            <w:vAlign w:val="bottom"/>
            <w:hideMark/>
          </w:tcPr>
          <w:p w14:paraId="0FB127B7"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3</w:t>
            </w:r>
          </w:p>
        </w:tc>
        <w:tc>
          <w:tcPr>
            <w:tcW w:w="551" w:type="pct"/>
            <w:shd w:val="clear" w:color="auto" w:fill="auto"/>
            <w:noWrap/>
            <w:vAlign w:val="bottom"/>
            <w:hideMark/>
          </w:tcPr>
          <w:p w14:paraId="1A4D3EE5"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2</w:t>
            </w:r>
          </w:p>
        </w:tc>
        <w:tc>
          <w:tcPr>
            <w:tcW w:w="573" w:type="pct"/>
            <w:shd w:val="clear" w:color="auto" w:fill="auto"/>
            <w:noWrap/>
            <w:vAlign w:val="bottom"/>
            <w:hideMark/>
          </w:tcPr>
          <w:p w14:paraId="20729F80"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1</w:t>
            </w:r>
          </w:p>
        </w:tc>
        <w:tc>
          <w:tcPr>
            <w:tcW w:w="423" w:type="pct"/>
            <w:shd w:val="clear" w:color="auto" w:fill="auto"/>
            <w:noWrap/>
            <w:vAlign w:val="bottom"/>
            <w:hideMark/>
          </w:tcPr>
          <w:p w14:paraId="685DAFD7"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1</w:t>
            </w:r>
          </w:p>
        </w:tc>
        <w:tc>
          <w:tcPr>
            <w:tcW w:w="423" w:type="pct"/>
            <w:shd w:val="clear" w:color="auto" w:fill="auto"/>
            <w:noWrap/>
            <w:vAlign w:val="bottom"/>
            <w:hideMark/>
          </w:tcPr>
          <w:p w14:paraId="6D2FA9BD"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12</w:t>
            </w:r>
          </w:p>
        </w:tc>
      </w:tr>
      <w:tr w:rsidR="00046CEC" w:rsidRPr="00046CEC" w14:paraId="71AC6D95" w14:textId="77777777" w:rsidTr="00046CEC">
        <w:tc>
          <w:tcPr>
            <w:tcW w:w="643" w:type="pct"/>
            <w:shd w:val="clear" w:color="auto" w:fill="auto"/>
            <w:noWrap/>
            <w:tcMar>
              <w:right w:w="0" w:type="dxa"/>
            </w:tcMar>
            <w:vAlign w:val="bottom"/>
            <w:hideMark/>
          </w:tcPr>
          <w:p w14:paraId="192C3209" w14:textId="77777777" w:rsidR="001F27D2" w:rsidRPr="00046CEC" w:rsidRDefault="001F27D2" w:rsidP="00046CEC">
            <w:pPr>
              <w:spacing w:before="0" w:after="0"/>
              <w:rPr>
                <w:rFonts w:cs="Calibri"/>
                <w:color w:val="000000"/>
                <w:sz w:val="22"/>
                <w:szCs w:val="22"/>
              </w:rPr>
            </w:pPr>
            <w:r w:rsidRPr="00046CEC">
              <w:rPr>
                <w:rFonts w:cs="Calibri"/>
                <w:color w:val="000000"/>
                <w:sz w:val="22"/>
                <w:szCs w:val="22"/>
              </w:rPr>
              <w:t> </w:t>
            </w:r>
          </w:p>
        </w:tc>
        <w:tc>
          <w:tcPr>
            <w:tcW w:w="680" w:type="pct"/>
            <w:shd w:val="clear" w:color="auto" w:fill="auto"/>
            <w:noWrap/>
            <w:tcMar>
              <w:right w:w="0" w:type="dxa"/>
            </w:tcMar>
            <w:vAlign w:val="bottom"/>
            <w:hideMark/>
          </w:tcPr>
          <w:p w14:paraId="4F88510B" w14:textId="77777777" w:rsidR="001F27D2" w:rsidRPr="00046CEC" w:rsidRDefault="001F27D2" w:rsidP="00046CEC">
            <w:pPr>
              <w:spacing w:before="0" w:after="0"/>
              <w:rPr>
                <w:rFonts w:cs="Calibri"/>
                <w:color w:val="000000"/>
                <w:sz w:val="22"/>
                <w:szCs w:val="22"/>
              </w:rPr>
            </w:pPr>
            <w:r w:rsidRPr="00046CEC">
              <w:rPr>
                <w:rFonts w:cs="Calibri"/>
                <w:color w:val="000000"/>
                <w:sz w:val="22"/>
                <w:szCs w:val="22"/>
              </w:rPr>
              <w:t>Five or more</w:t>
            </w:r>
          </w:p>
        </w:tc>
        <w:tc>
          <w:tcPr>
            <w:tcW w:w="558" w:type="pct"/>
            <w:shd w:val="clear" w:color="auto" w:fill="auto"/>
            <w:noWrap/>
            <w:vAlign w:val="bottom"/>
            <w:hideMark/>
          </w:tcPr>
          <w:p w14:paraId="3B9A01AA"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0</w:t>
            </w:r>
          </w:p>
        </w:tc>
        <w:tc>
          <w:tcPr>
            <w:tcW w:w="523" w:type="pct"/>
            <w:shd w:val="clear" w:color="auto" w:fill="auto"/>
            <w:noWrap/>
            <w:vAlign w:val="bottom"/>
            <w:hideMark/>
          </w:tcPr>
          <w:p w14:paraId="1E3EBB77"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0</w:t>
            </w:r>
          </w:p>
        </w:tc>
        <w:tc>
          <w:tcPr>
            <w:tcW w:w="625" w:type="pct"/>
            <w:shd w:val="clear" w:color="auto" w:fill="auto"/>
            <w:noWrap/>
            <w:vAlign w:val="bottom"/>
            <w:hideMark/>
          </w:tcPr>
          <w:p w14:paraId="67AA7C80"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1</w:t>
            </w:r>
          </w:p>
        </w:tc>
        <w:tc>
          <w:tcPr>
            <w:tcW w:w="551" w:type="pct"/>
            <w:shd w:val="clear" w:color="auto" w:fill="auto"/>
            <w:noWrap/>
            <w:vAlign w:val="bottom"/>
            <w:hideMark/>
          </w:tcPr>
          <w:p w14:paraId="12772427"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0</w:t>
            </w:r>
          </w:p>
        </w:tc>
        <w:tc>
          <w:tcPr>
            <w:tcW w:w="573" w:type="pct"/>
            <w:shd w:val="clear" w:color="auto" w:fill="auto"/>
            <w:noWrap/>
            <w:vAlign w:val="bottom"/>
            <w:hideMark/>
          </w:tcPr>
          <w:p w14:paraId="7FB2A3FC"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0</w:t>
            </w:r>
          </w:p>
        </w:tc>
        <w:tc>
          <w:tcPr>
            <w:tcW w:w="423" w:type="pct"/>
            <w:shd w:val="clear" w:color="auto" w:fill="auto"/>
            <w:noWrap/>
            <w:vAlign w:val="bottom"/>
            <w:hideMark/>
          </w:tcPr>
          <w:p w14:paraId="034A071E"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0</w:t>
            </w:r>
          </w:p>
        </w:tc>
        <w:tc>
          <w:tcPr>
            <w:tcW w:w="423" w:type="pct"/>
            <w:shd w:val="clear" w:color="auto" w:fill="auto"/>
            <w:noWrap/>
            <w:vAlign w:val="bottom"/>
            <w:hideMark/>
          </w:tcPr>
          <w:p w14:paraId="49FFB415"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1</w:t>
            </w:r>
          </w:p>
        </w:tc>
      </w:tr>
      <w:tr w:rsidR="00046CEC" w:rsidRPr="00046CEC" w14:paraId="6DBCD1C2" w14:textId="77777777" w:rsidTr="00046CEC">
        <w:tc>
          <w:tcPr>
            <w:tcW w:w="643" w:type="pct"/>
            <w:shd w:val="clear" w:color="auto" w:fill="auto"/>
            <w:noWrap/>
            <w:tcMar>
              <w:right w:w="0" w:type="dxa"/>
            </w:tcMar>
            <w:vAlign w:val="bottom"/>
            <w:hideMark/>
          </w:tcPr>
          <w:p w14:paraId="7EF4E9CE" w14:textId="77777777" w:rsidR="001F27D2" w:rsidRPr="00046CEC" w:rsidRDefault="001F27D2" w:rsidP="00046CEC">
            <w:pPr>
              <w:spacing w:before="0" w:after="0"/>
              <w:rPr>
                <w:rFonts w:cs="Calibri"/>
                <w:color w:val="000000"/>
                <w:sz w:val="22"/>
                <w:szCs w:val="22"/>
              </w:rPr>
            </w:pPr>
            <w:r w:rsidRPr="00046CEC">
              <w:rPr>
                <w:rFonts w:cs="Calibri"/>
                <w:color w:val="000000"/>
                <w:sz w:val="22"/>
                <w:szCs w:val="22"/>
              </w:rPr>
              <w:t>65 and over</w:t>
            </w:r>
          </w:p>
        </w:tc>
        <w:tc>
          <w:tcPr>
            <w:tcW w:w="680" w:type="pct"/>
            <w:shd w:val="clear" w:color="auto" w:fill="auto"/>
            <w:noWrap/>
            <w:tcMar>
              <w:right w:w="0" w:type="dxa"/>
            </w:tcMar>
            <w:vAlign w:val="bottom"/>
            <w:hideMark/>
          </w:tcPr>
          <w:p w14:paraId="14BA8DA2" w14:textId="77777777" w:rsidR="001F27D2" w:rsidRPr="00046CEC" w:rsidRDefault="001F27D2" w:rsidP="00046CEC">
            <w:pPr>
              <w:spacing w:before="0" w:after="0"/>
              <w:rPr>
                <w:rFonts w:cs="Calibri"/>
                <w:color w:val="000000"/>
                <w:sz w:val="22"/>
                <w:szCs w:val="22"/>
              </w:rPr>
            </w:pPr>
            <w:r w:rsidRPr="00046CEC">
              <w:rPr>
                <w:rFonts w:cs="Calibri"/>
                <w:color w:val="000000"/>
                <w:sz w:val="22"/>
                <w:szCs w:val="22"/>
              </w:rPr>
              <w:t>One</w:t>
            </w:r>
          </w:p>
        </w:tc>
        <w:tc>
          <w:tcPr>
            <w:tcW w:w="558" w:type="pct"/>
            <w:shd w:val="clear" w:color="auto" w:fill="auto"/>
            <w:noWrap/>
            <w:vAlign w:val="bottom"/>
            <w:hideMark/>
          </w:tcPr>
          <w:p w14:paraId="53D834D3"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0</w:t>
            </w:r>
          </w:p>
        </w:tc>
        <w:tc>
          <w:tcPr>
            <w:tcW w:w="523" w:type="pct"/>
            <w:shd w:val="clear" w:color="auto" w:fill="auto"/>
            <w:noWrap/>
            <w:vAlign w:val="bottom"/>
            <w:hideMark/>
          </w:tcPr>
          <w:p w14:paraId="286F6C9A"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1</w:t>
            </w:r>
          </w:p>
        </w:tc>
        <w:tc>
          <w:tcPr>
            <w:tcW w:w="625" w:type="pct"/>
            <w:shd w:val="clear" w:color="auto" w:fill="auto"/>
            <w:noWrap/>
            <w:vAlign w:val="bottom"/>
            <w:hideMark/>
          </w:tcPr>
          <w:p w14:paraId="55A623A4"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0</w:t>
            </w:r>
          </w:p>
        </w:tc>
        <w:tc>
          <w:tcPr>
            <w:tcW w:w="551" w:type="pct"/>
            <w:shd w:val="clear" w:color="auto" w:fill="auto"/>
            <w:noWrap/>
            <w:vAlign w:val="bottom"/>
            <w:hideMark/>
          </w:tcPr>
          <w:p w14:paraId="61B2204B"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0</w:t>
            </w:r>
          </w:p>
        </w:tc>
        <w:tc>
          <w:tcPr>
            <w:tcW w:w="573" w:type="pct"/>
            <w:shd w:val="clear" w:color="auto" w:fill="auto"/>
            <w:noWrap/>
            <w:vAlign w:val="bottom"/>
            <w:hideMark/>
          </w:tcPr>
          <w:p w14:paraId="098DD5A9"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0</w:t>
            </w:r>
          </w:p>
        </w:tc>
        <w:tc>
          <w:tcPr>
            <w:tcW w:w="423" w:type="pct"/>
            <w:shd w:val="clear" w:color="auto" w:fill="auto"/>
            <w:noWrap/>
            <w:vAlign w:val="bottom"/>
            <w:hideMark/>
          </w:tcPr>
          <w:p w14:paraId="214A63E7"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0</w:t>
            </w:r>
          </w:p>
        </w:tc>
        <w:tc>
          <w:tcPr>
            <w:tcW w:w="423" w:type="pct"/>
            <w:shd w:val="clear" w:color="auto" w:fill="auto"/>
            <w:noWrap/>
            <w:vAlign w:val="bottom"/>
            <w:hideMark/>
          </w:tcPr>
          <w:p w14:paraId="3DE74E8A"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1</w:t>
            </w:r>
          </w:p>
        </w:tc>
      </w:tr>
      <w:tr w:rsidR="00046CEC" w:rsidRPr="00046CEC" w14:paraId="65016F0D" w14:textId="77777777" w:rsidTr="00046CEC">
        <w:tc>
          <w:tcPr>
            <w:tcW w:w="643" w:type="pct"/>
            <w:shd w:val="clear" w:color="auto" w:fill="auto"/>
            <w:noWrap/>
            <w:tcMar>
              <w:right w:w="0" w:type="dxa"/>
            </w:tcMar>
            <w:vAlign w:val="bottom"/>
            <w:hideMark/>
          </w:tcPr>
          <w:p w14:paraId="7FC7E035" w14:textId="77777777" w:rsidR="001F27D2" w:rsidRPr="00046CEC" w:rsidRDefault="001F27D2" w:rsidP="00046CEC">
            <w:pPr>
              <w:spacing w:before="0" w:after="0"/>
              <w:rPr>
                <w:rFonts w:cs="Calibri"/>
                <w:color w:val="000000"/>
                <w:sz w:val="22"/>
                <w:szCs w:val="22"/>
              </w:rPr>
            </w:pPr>
            <w:r w:rsidRPr="00046CEC">
              <w:rPr>
                <w:rFonts w:cs="Calibri"/>
                <w:color w:val="000000"/>
                <w:sz w:val="22"/>
                <w:szCs w:val="22"/>
              </w:rPr>
              <w:t> </w:t>
            </w:r>
          </w:p>
        </w:tc>
        <w:tc>
          <w:tcPr>
            <w:tcW w:w="680" w:type="pct"/>
            <w:shd w:val="clear" w:color="auto" w:fill="auto"/>
            <w:noWrap/>
            <w:tcMar>
              <w:right w:w="0" w:type="dxa"/>
            </w:tcMar>
            <w:vAlign w:val="bottom"/>
            <w:hideMark/>
          </w:tcPr>
          <w:p w14:paraId="31F13E47" w14:textId="77777777" w:rsidR="001F27D2" w:rsidRPr="00046CEC" w:rsidRDefault="001F27D2" w:rsidP="00046CEC">
            <w:pPr>
              <w:spacing w:before="0" w:after="0"/>
              <w:rPr>
                <w:rFonts w:cs="Calibri"/>
                <w:color w:val="000000"/>
                <w:sz w:val="22"/>
                <w:szCs w:val="22"/>
              </w:rPr>
            </w:pPr>
            <w:r w:rsidRPr="00046CEC">
              <w:rPr>
                <w:rFonts w:cs="Calibri"/>
                <w:color w:val="000000"/>
                <w:sz w:val="22"/>
                <w:szCs w:val="22"/>
              </w:rPr>
              <w:t>Two</w:t>
            </w:r>
          </w:p>
        </w:tc>
        <w:tc>
          <w:tcPr>
            <w:tcW w:w="558" w:type="pct"/>
            <w:shd w:val="clear" w:color="auto" w:fill="auto"/>
            <w:noWrap/>
            <w:vAlign w:val="bottom"/>
            <w:hideMark/>
          </w:tcPr>
          <w:p w14:paraId="0EEEE85D"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0</w:t>
            </w:r>
          </w:p>
        </w:tc>
        <w:tc>
          <w:tcPr>
            <w:tcW w:w="523" w:type="pct"/>
            <w:shd w:val="clear" w:color="auto" w:fill="auto"/>
            <w:noWrap/>
            <w:vAlign w:val="bottom"/>
            <w:hideMark/>
          </w:tcPr>
          <w:p w14:paraId="7E54DE98"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4</w:t>
            </w:r>
          </w:p>
        </w:tc>
        <w:tc>
          <w:tcPr>
            <w:tcW w:w="625" w:type="pct"/>
            <w:shd w:val="clear" w:color="auto" w:fill="auto"/>
            <w:noWrap/>
            <w:vAlign w:val="bottom"/>
            <w:hideMark/>
          </w:tcPr>
          <w:p w14:paraId="18EC70DF"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0</w:t>
            </w:r>
          </w:p>
        </w:tc>
        <w:tc>
          <w:tcPr>
            <w:tcW w:w="551" w:type="pct"/>
            <w:shd w:val="clear" w:color="auto" w:fill="auto"/>
            <w:noWrap/>
            <w:vAlign w:val="bottom"/>
            <w:hideMark/>
          </w:tcPr>
          <w:p w14:paraId="41B2D408"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1</w:t>
            </w:r>
          </w:p>
        </w:tc>
        <w:tc>
          <w:tcPr>
            <w:tcW w:w="573" w:type="pct"/>
            <w:shd w:val="clear" w:color="auto" w:fill="auto"/>
            <w:noWrap/>
            <w:vAlign w:val="bottom"/>
            <w:hideMark/>
          </w:tcPr>
          <w:p w14:paraId="047D1984"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2</w:t>
            </w:r>
          </w:p>
        </w:tc>
        <w:tc>
          <w:tcPr>
            <w:tcW w:w="423" w:type="pct"/>
            <w:shd w:val="clear" w:color="auto" w:fill="auto"/>
            <w:noWrap/>
            <w:vAlign w:val="bottom"/>
            <w:hideMark/>
          </w:tcPr>
          <w:p w14:paraId="4E4891ED"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0</w:t>
            </w:r>
          </w:p>
        </w:tc>
        <w:tc>
          <w:tcPr>
            <w:tcW w:w="423" w:type="pct"/>
            <w:shd w:val="clear" w:color="auto" w:fill="auto"/>
            <w:noWrap/>
            <w:vAlign w:val="bottom"/>
            <w:hideMark/>
          </w:tcPr>
          <w:p w14:paraId="51131B0C"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6</w:t>
            </w:r>
          </w:p>
        </w:tc>
      </w:tr>
      <w:tr w:rsidR="00046CEC" w:rsidRPr="00046CEC" w14:paraId="4333B2AB" w14:textId="77777777" w:rsidTr="00046CEC">
        <w:tc>
          <w:tcPr>
            <w:tcW w:w="643" w:type="pct"/>
            <w:shd w:val="clear" w:color="auto" w:fill="auto"/>
            <w:noWrap/>
            <w:tcMar>
              <w:right w:w="0" w:type="dxa"/>
            </w:tcMar>
            <w:vAlign w:val="bottom"/>
            <w:hideMark/>
          </w:tcPr>
          <w:p w14:paraId="030E41CF" w14:textId="77777777" w:rsidR="001F27D2" w:rsidRPr="00046CEC" w:rsidRDefault="001F27D2" w:rsidP="00046CEC">
            <w:pPr>
              <w:spacing w:before="0" w:after="0"/>
              <w:rPr>
                <w:rFonts w:cs="Calibri"/>
                <w:color w:val="000000"/>
                <w:sz w:val="22"/>
                <w:szCs w:val="22"/>
              </w:rPr>
            </w:pPr>
            <w:r w:rsidRPr="00046CEC">
              <w:rPr>
                <w:rFonts w:cs="Calibri"/>
                <w:color w:val="000000"/>
                <w:sz w:val="22"/>
                <w:szCs w:val="22"/>
              </w:rPr>
              <w:t> </w:t>
            </w:r>
          </w:p>
        </w:tc>
        <w:tc>
          <w:tcPr>
            <w:tcW w:w="680" w:type="pct"/>
            <w:shd w:val="clear" w:color="auto" w:fill="auto"/>
            <w:noWrap/>
            <w:tcMar>
              <w:right w:w="0" w:type="dxa"/>
            </w:tcMar>
            <w:vAlign w:val="bottom"/>
            <w:hideMark/>
          </w:tcPr>
          <w:p w14:paraId="54FF4DE2" w14:textId="77777777" w:rsidR="001F27D2" w:rsidRPr="00046CEC" w:rsidRDefault="001F27D2" w:rsidP="00046CEC">
            <w:pPr>
              <w:spacing w:before="0" w:after="0"/>
              <w:rPr>
                <w:rFonts w:cs="Calibri"/>
                <w:color w:val="000000"/>
                <w:sz w:val="22"/>
                <w:szCs w:val="22"/>
              </w:rPr>
            </w:pPr>
            <w:r w:rsidRPr="00046CEC">
              <w:rPr>
                <w:rFonts w:cs="Calibri"/>
                <w:color w:val="000000"/>
                <w:sz w:val="22"/>
                <w:szCs w:val="22"/>
              </w:rPr>
              <w:t>Three</w:t>
            </w:r>
          </w:p>
        </w:tc>
        <w:tc>
          <w:tcPr>
            <w:tcW w:w="558" w:type="pct"/>
            <w:shd w:val="clear" w:color="auto" w:fill="auto"/>
            <w:noWrap/>
            <w:vAlign w:val="bottom"/>
            <w:hideMark/>
          </w:tcPr>
          <w:p w14:paraId="615BACF8"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0</w:t>
            </w:r>
          </w:p>
        </w:tc>
        <w:tc>
          <w:tcPr>
            <w:tcW w:w="523" w:type="pct"/>
            <w:shd w:val="clear" w:color="auto" w:fill="auto"/>
            <w:noWrap/>
            <w:vAlign w:val="bottom"/>
            <w:hideMark/>
          </w:tcPr>
          <w:p w14:paraId="15079D15"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2</w:t>
            </w:r>
          </w:p>
        </w:tc>
        <w:tc>
          <w:tcPr>
            <w:tcW w:w="625" w:type="pct"/>
            <w:shd w:val="clear" w:color="auto" w:fill="auto"/>
            <w:noWrap/>
            <w:vAlign w:val="bottom"/>
            <w:hideMark/>
          </w:tcPr>
          <w:p w14:paraId="6021F330"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1</w:t>
            </w:r>
          </w:p>
        </w:tc>
        <w:tc>
          <w:tcPr>
            <w:tcW w:w="551" w:type="pct"/>
            <w:shd w:val="clear" w:color="auto" w:fill="auto"/>
            <w:noWrap/>
            <w:vAlign w:val="bottom"/>
            <w:hideMark/>
          </w:tcPr>
          <w:p w14:paraId="117B59FF"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1</w:t>
            </w:r>
          </w:p>
        </w:tc>
        <w:tc>
          <w:tcPr>
            <w:tcW w:w="573" w:type="pct"/>
            <w:shd w:val="clear" w:color="auto" w:fill="auto"/>
            <w:noWrap/>
            <w:vAlign w:val="bottom"/>
            <w:hideMark/>
          </w:tcPr>
          <w:p w14:paraId="44385225"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1</w:t>
            </w:r>
          </w:p>
        </w:tc>
        <w:tc>
          <w:tcPr>
            <w:tcW w:w="423" w:type="pct"/>
            <w:shd w:val="clear" w:color="auto" w:fill="auto"/>
            <w:noWrap/>
            <w:vAlign w:val="bottom"/>
            <w:hideMark/>
          </w:tcPr>
          <w:p w14:paraId="3FB42C5C"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0</w:t>
            </w:r>
          </w:p>
        </w:tc>
        <w:tc>
          <w:tcPr>
            <w:tcW w:w="423" w:type="pct"/>
            <w:shd w:val="clear" w:color="auto" w:fill="auto"/>
            <w:noWrap/>
            <w:vAlign w:val="bottom"/>
            <w:hideMark/>
          </w:tcPr>
          <w:p w14:paraId="7E1693DE"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4</w:t>
            </w:r>
          </w:p>
        </w:tc>
      </w:tr>
      <w:tr w:rsidR="00046CEC" w:rsidRPr="00046CEC" w14:paraId="6D3C4A0D" w14:textId="77777777" w:rsidTr="00046CEC">
        <w:tc>
          <w:tcPr>
            <w:tcW w:w="643" w:type="pct"/>
            <w:shd w:val="clear" w:color="auto" w:fill="auto"/>
            <w:noWrap/>
            <w:tcMar>
              <w:right w:w="0" w:type="dxa"/>
            </w:tcMar>
            <w:vAlign w:val="bottom"/>
            <w:hideMark/>
          </w:tcPr>
          <w:p w14:paraId="315A3040" w14:textId="77777777" w:rsidR="001F27D2" w:rsidRPr="00046CEC" w:rsidRDefault="001F27D2" w:rsidP="00046CEC">
            <w:pPr>
              <w:spacing w:before="0" w:after="0"/>
              <w:rPr>
                <w:rFonts w:cs="Calibri"/>
                <w:color w:val="000000"/>
                <w:sz w:val="22"/>
                <w:szCs w:val="22"/>
              </w:rPr>
            </w:pPr>
            <w:r w:rsidRPr="00046CEC">
              <w:rPr>
                <w:rFonts w:cs="Calibri"/>
                <w:color w:val="000000"/>
                <w:sz w:val="22"/>
                <w:szCs w:val="22"/>
              </w:rPr>
              <w:t> </w:t>
            </w:r>
          </w:p>
        </w:tc>
        <w:tc>
          <w:tcPr>
            <w:tcW w:w="680" w:type="pct"/>
            <w:shd w:val="clear" w:color="auto" w:fill="auto"/>
            <w:noWrap/>
            <w:tcMar>
              <w:right w:w="0" w:type="dxa"/>
            </w:tcMar>
            <w:vAlign w:val="bottom"/>
            <w:hideMark/>
          </w:tcPr>
          <w:p w14:paraId="6BF9D0D4" w14:textId="77777777" w:rsidR="001F27D2" w:rsidRPr="00046CEC" w:rsidRDefault="001F27D2" w:rsidP="00046CEC">
            <w:pPr>
              <w:spacing w:before="0" w:after="0"/>
              <w:rPr>
                <w:rFonts w:cs="Calibri"/>
                <w:color w:val="000000"/>
                <w:sz w:val="22"/>
                <w:szCs w:val="22"/>
              </w:rPr>
            </w:pPr>
            <w:r w:rsidRPr="00046CEC">
              <w:rPr>
                <w:rFonts w:cs="Calibri"/>
                <w:color w:val="000000"/>
                <w:sz w:val="22"/>
                <w:szCs w:val="22"/>
              </w:rPr>
              <w:t>Four</w:t>
            </w:r>
          </w:p>
        </w:tc>
        <w:tc>
          <w:tcPr>
            <w:tcW w:w="558" w:type="pct"/>
            <w:shd w:val="clear" w:color="auto" w:fill="auto"/>
            <w:noWrap/>
            <w:vAlign w:val="bottom"/>
            <w:hideMark/>
          </w:tcPr>
          <w:p w14:paraId="69CD3D17"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0</w:t>
            </w:r>
          </w:p>
        </w:tc>
        <w:tc>
          <w:tcPr>
            <w:tcW w:w="523" w:type="pct"/>
            <w:shd w:val="clear" w:color="auto" w:fill="auto"/>
            <w:noWrap/>
            <w:vAlign w:val="bottom"/>
            <w:hideMark/>
          </w:tcPr>
          <w:p w14:paraId="01AD80BD"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0</w:t>
            </w:r>
          </w:p>
        </w:tc>
        <w:tc>
          <w:tcPr>
            <w:tcW w:w="625" w:type="pct"/>
            <w:shd w:val="clear" w:color="auto" w:fill="auto"/>
            <w:noWrap/>
            <w:vAlign w:val="bottom"/>
            <w:hideMark/>
          </w:tcPr>
          <w:p w14:paraId="78307CEB"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0</w:t>
            </w:r>
          </w:p>
        </w:tc>
        <w:tc>
          <w:tcPr>
            <w:tcW w:w="551" w:type="pct"/>
            <w:shd w:val="clear" w:color="auto" w:fill="auto"/>
            <w:noWrap/>
            <w:vAlign w:val="bottom"/>
            <w:hideMark/>
          </w:tcPr>
          <w:p w14:paraId="77352E4B"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0</w:t>
            </w:r>
          </w:p>
        </w:tc>
        <w:tc>
          <w:tcPr>
            <w:tcW w:w="573" w:type="pct"/>
            <w:shd w:val="clear" w:color="auto" w:fill="auto"/>
            <w:noWrap/>
            <w:vAlign w:val="bottom"/>
            <w:hideMark/>
          </w:tcPr>
          <w:p w14:paraId="4E3DEBCE"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0</w:t>
            </w:r>
          </w:p>
        </w:tc>
        <w:tc>
          <w:tcPr>
            <w:tcW w:w="423" w:type="pct"/>
            <w:shd w:val="clear" w:color="auto" w:fill="auto"/>
            <w:noWrap/>
            <w:vAlign w:val="bottom"/>
            <w:hideMark/>
          </w:tcPr>
          <w:p w14:paraId="388C21B7"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0</w:t>
            </w:r>
          </w:p>
        </w:tc>
        <w:tc>
          <w:tcPr>
            <w:tcW w:w="423" w:type="pct"/>
            <w:shd w:val="clear" w:color="auto" w:fill="auto"/>
            <w:noWrap/>
            <w:vAlign w:val="bottom"/>
            <w:hideMark/>
          </w:tcPr>
          <w:p w14:paraId="72F64830"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0</w:t>
            </w:r>
          </w:p>
        </w:tc>
      </w:tr>
      <w:tr w:rsidR="00046CEC" w:rsidRPr="00046CEC" w14:paraId="0207C8E6" w14:textId="77777777" w:rsidTr="00046CEC">
        <w:tc>
          <w:tcPr>
            <w:tcW w:w="643" w:type="pct"/>
            <w:shd w:val="clear" w:color="auto" w:fill="auto"/>
            <w:noWrap/>
            <w:tcMar>
              <w:right w:w="0" w:type="dxa"/>
            </w:tcMar>
            <w:vAlign w:val="bottom"/>
            <w:hideMark/>
          </w:tcPr>
          <w:p w14:paraId="3CF1D53A" w14:textId="77777777" w:rsidR="001F27D2" w:rsidRPr="00046CEC" w:rsidRDefault="001F27D2" w:rsidP="00046CEC">
            <w:pPr>
              <w:spacing w:before="0" w:after="0"/>
              <w:rPr>
                <w:rFonts w:cs="Calibri"/>
                <w:color w:val="000000"/>
                <w:sz w:val="22"/>
                <w:szCs w:val="22"/>
              </w:rPr>
            </w:pPr>
            <w:r w:rsidRPr="00046CEC">
              <w:rPr>
                <w:rFonts w:cs="Calibri"/>
                <w:color w:val="000000"/>
                <w:sz w:val="22"/>
                <w:szCs w:val="22"/>
              </w:rPr>
              <w:t> </w:t>
            </w:r>
          </w:p>
        </w:tc>
        <w:tc>
          <w:tcPr>
            <w:tcW w:w="680" w:type="pct"/>
            <w:shd w:val="clear" w:color="auto" w:fill="auto"/>
            <w:noWrap/>
            <w:tcMar>
              <w:right w:w="0" w:type="dxa"/>
            </w:tcMar>
            <w:vAlign w:val="bottom"/>
            <w:hideMark/>
          </w:tcPr>
          <w:p w14:paraId="248DD954" w14:textId="77777777" w:rsidR="001F27D2" w:rsidRPr="00046CEC" w:rsidRDefault="001F27D2" w:rsidP="00046CEC">
            <w:pPr>
              <w:spacing w:before="0" w:after="0"/>
              <w:rPr>
                <w:rFonts w:cs="Calibri"/>
                <w:color w:val="000000"/>
                <w:sz w:val="22"/>
                <w:szCs w:val="22"/>
              </w:rPr>
            </w:pPr>
            <w:r w:rsidRPr="00046CEC">
              <w:rPr>
                <w:rFonts w:cs="Calibri"/>
                <w:color w:val="000000"/>
                <w:sz w:val="22"/>
                <w:szCs w:val="22"/>
              </w:rPr>
              <w:t>Five or more</w:t>
            </w:r>
          </w:p>
        </w:tc>
        <w:tc>
          <w:tcPr>
            <w:tcW w:w="558" w:type="pct"/>
            <w:shd w:val="clear" w:color="auto" w:fill="auto"/>
            <w:noWrap/>
            <w:vAlign w:val="bottom"/>
            <w:hideMark/>
          </w:tcPr>
          <w:p w14:paraId="70D73B63"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0</w:t>
            </w:r>
          </w:p>
        </w:tc>
        <w:tc>
          <w:tcPr>
            <w:tcW w:w="523" w:type="pct"/>
            <w:shd w:val="clear" w:color="auto" w:fill="auto"/>
            <w:noWrap/>
            <w:vAlign w:val="bottom"/>
            <w:hideMark/>
          </w:tcPr>
          <w:p w14:paraId="0C0E36EF"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0</w:t>
            </w:r>
          </w:p>
        </w:tc>
        <w:tc>
          <w:tcPr>
            <w:tcW w:w="625" w:type="pct"/>
            <w:shd w:val="clear" w:color="auto" w:fill="auto"/>
            <w:noWrap/>
            <w:vAlign w:val="bottom"/>
            <w:hideMark/>
          </w:tcPr>
          <w:p w14:paraId="185E2CF1"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0</w:t>
            </w:r>
          </w:p>
        </w:tc>
        <w:tc>
          <w:tcPr>
            <w:tcW w:w="551" w:type="pct"/>
            <w:shd w:val="clear" w:color="auto" w:fill="auto"/>
            <w:noWrap/>
            <w:vAlign w:val="bottom"/>
            <w:hideMark/>
          </w:tcPr>
          <w:p w14:paraId="6FEEE347"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0</w:t>
            </w:r>
          </w:p>
        </w:tc>
        <w:tc>
          <w:tcPr>
            <w:tcW w:w="573" w:type="pct"/>
            <w:shd w:val="clear" w:color="auto" w:fill="auto"/>
            <w:noWrap/>
            <w:vAlign w:val="bottom"/>
            <w:hideMark/>
          </w:tcPr>
          <w:p w14:paraId="3A9210CE"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0</w:t>
            </w:r>
          </w:p>
        </w:tc>
        <w:tc>
          <w:tcPr>
            <w:tcW w:w="423" w:type="pct"/>
            <w:shd w:val="clear" w:color="auto" w:fill="auto"/>
            <w:noWrap/>
            <w:vAlign w:val="bottom"/>
            <w:hideMark/>
          </w:tcPr>
          <w:p w14:paraId="109B8BFA"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0</w:t>
            </w:r>
          </w:p>
        </w:tc>
        <w:tc>
          <w:tcPr>
            <w:tcW w:w="423" w:type="pct"/>
            <w:shd w:val="clear" w:color="auto" w:fill="auto"/>
            <w:noWrap/>
            <w:vAlign w:val="bottom"/>
            <w:hideMark/>
          </w:tcPr>
          <w:p w14:paraId="3A55A0D4"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0</w:t>
            </w:r>
          </w:p>
        </w:tc>
      </w:tr>
      <w:tr w:rsidR="00046CEC" w:rsidRPr="00046CEC" w14:paraId="73AF69E0" w14:textId="77777777" w:rsidTr="00046CEC">
        <w:tc>
          <w:tcPr>
            <w:tcW w:w="643" w:type="pct"/>
            <w:shd w:val="clear" w:color="auto" w:fill="auto"/>
            <w:noWrap/>
            <w:tcMar>
              <w:right w:w="0" w:type="dxa"/>
            </w:tcMar>
            <w:vAlign w:val="bottom"/>
            <w:hideMark/>
          </w:tcPr>
          <w:p w14:paraId="7FB2D7E6" w14:textId="77777777" w:rsidR="001F27D2" w:rsidRPr="00046CEC" w:rsidRDefault="001F27D2" w:rsidP="00046CEC">
            <w:pPr>
              <w:spacing w:before="0" w:after="0"/>
              <w:rPr>
                <w:rFonts w:cs="Calibri"/>
                <w:b/>
                <w:bCs/>
                <w:color w:val="000000"/>
                <w:sz w:val="22"/>
                <w:szCs w:val="22"/>
              </w:rPr>
            </w:pPr>
            <w:r w:rsidRPr="00046CEC">
              <w:rPr>
                <w:rFonts w:cs="Calibri"/>
                <w:b/>
                <w:bCs/>
                <w:color w:val="000000"/>
                <w:sz w:val="22"/>
                <w:szCs w:val="22"/>
              </w:rPr>
              <w:t>Total</w:t>
            </w:r>
          </w:p>
        </w:tc>
        <w:tc>
          <w:tcPr>
            <w:tcW w:w="680" w:type="pct"/>
            <w:shd w:val="clear" w:color="auto" w:fill="auto"/>
            <w:noWrap/>
            <w:tcMar>
              <w:right w:w="0" w:type="dxa"/>
            </w:tcMar>
            <w:vAlign w:val="bottom"/>
            <w:hideMark/>
          </w:tcPr>
          <w:p w14:paraId="0B11832E" w14:textId="77777777" w:rsidR="001F27D2" w:rsidRPr="00046CEC" w:rsidRDefault="001F27D2" w:rsidP="00046CEC">
            <w:pPr>
              <w:spacing w:before="0" w:after="0"/>
              <w:rPr>
                <w:rFonts w:cs="Calibri"/>
                <w:b/>
                <w:bCs/>
                <w:color w:val="000000"/>
                <w:sz w:val="22"/>
                <w:szCs w:val="22"/>
              </w:rPr>
            </w:pPr>
            <w:r w:rsidRPr="00046CEC">
              <w:rPr>
                <w:rFonts w:cs="Calibri"/>
                <w:b/>
                <w:bCs/>
                <w:color w:val="000000"/>
                <w:sz w:val="22"/>
                <w:szCs w:val="22"/>
              </w:rPr>
              <w:t> </w:t>
            </w:r>
          </w:p>
        </w:tc>
        <w:tc>
          <w:tcPr>
            <w:tcW w:w="558" w:type="pct"/>
            <w:shd w:val="clear" w:color="auto" w:fill="auto"/>
            <w:noWrap/>
            <w:vAlign w:val="bottom"/>
            <w:hideMark/>
          </w:tcPr>
          <w:p w14:paraId="39E2200D" w14:textId="77777777" w:rsidR="001F27D2" w:rsidRPr="00046CEC" w:rsidRDefault="001F27D2" w:rsidP="00046CEC">
            <w:pPr>
              <w:spacing w:before="0" w:after="0"/>
              <w:jc w:val="center"/>
              <w:rPr>
                <w:rFonts w:cs="Calibri"/>
                <w:b/>
                <w:bCs/>
                <w:color w:val="000000"/>
                <w:sz w:val="22"/>
                <w:szCs w:val="22"/>
              </w:rPr>
            </w:pPr>
            <w:r w:rsidRPr="00046CEC">
              <w:rPr>
                <w:rFonts w:cs="Calibri"/>
                <w:b/>
                <w:bCs/>
                <w:color w:val="000000"/>
                <w:sz w:val="22"/>
                <w:szCs w:val="22"/>
              </w:rPr>
              <w:t>16</w:t>
            </w:r>
          </w:p>
        </w:tc>
        <w:tc>
          <w:tcPr>
            <w:tcW w:w="523" w:type="pct"/>
            <w:shd w:val="clear" w:color="auto" w:fill="auto"/>
            <w:noWrap/>
            <w:vAlign w:val="bottom"/>
            <w:hideMark/>
          </w:tcPr>
          <w:p w14:paraId="32F4703C" w14:textId="77777777" w:rsidR="001F27D2" w:rsidRPr="00046CEC" w:rsidRDefault="001F27D2" w:rsidP="00046CEC">
            <w:pPr>
              <w:spacing w:before="0" w:after="0"/>
              <w:jc w:val="center"/>
              <w:rPr>
                <w:rFonts w:cs="Calibri"/>
                <w:b/>
                <w:bCs/>
                <w:color w:val="000000"/>
                <w:sz w:val="22"/>
                <w:szCs w:val="22"/>
              </w:rPr>
            </w:pPr>
            <w:r w:rsidRPr="00046CEC">
              <w:rPr>
                <w:rFonts w:cs="Calibri"/>
                <w:b/>
                <w:bCs/>
                <w:color w:val="000000"/>
                <w:sz w:val="22"/>
                <w:szCs w:val="22"/>
              </w:rPr>
              <w:t>114</w:t>
            </w:r>
          </w:p>
        </w:tc>
        <w:tc>
          <w:tcPr>
            <w:tcW w:w="625" w:type="pct"/>
            <w:shd w:val="clear" w:color="auto" w:fill="auto"/>
            <w:noWrap/>
            <w:vAlign w:val="bottom"/>
            <w:hideMark/>
          </w:tcPr>
          <w:p w14:paraId="66827BA5" w14:textId="77777777" w:rsidR="001F27D2" w:rsidRPr="00046CEC" w:rsidRDefault="001F27D2" w:rsidP="00046CEC">
            <w:pPr>
              <w:spacing w:before="0" w:after="0"/>
              <w:jc w:val="center"/>
              <w:rPr>
                <w:rFonts w:cs="Calibri"/>
                <w:b/>
                <w:bCs/>
                <w:color w:val="000000"/>
                <w:sz w:val="22"/>
                <w:szCs w:val="22"/>
              </w:rPr>
            </w:pPr>
            <w:r w:rsidRPr="00046CEC">
              <w:rPr>
                <w:rFonts w:cs="Calibri"/>
                <w:b/>
                <w:bCs/>
                <w:color w:val="000000"/>
                <w:sz w:val="22"/>
                <w:szCs w:val="22"/>
              </w:rPr>
              <w:t>67</w:t>
            </w:r>
          </w:p>
        </w:tc>
        <w:tc>
          <w:tcPr>
            <w:tcW w:w="551" w:type="pct"/>
            <w:shd w:val="clear" w:color="auto" w:fill="auto"/>
            <w:noWrap/>
            <w:vAlign w:val="bottom"/>
            <w:hideMark/>
          </w:tcPr>
          <w:p w14:paraId="36CE5E94" w14:textId="77777777" w:rsidR="001F27D2" w:rsidRPr="00046CEC" w:rsidRDefault="001F27D2" w:rsidP="00046CEC">
            <w:pPr>
              <w:spacing w:before="0" w:after="0"/>
              <w:jc w:val="center"/>
              <w:rPr>
                <w:rFonts w:cs="Calibri"/>
                <w:b/>
                <w:bCs/>
                <w:color w:val="000000"/>
                <w:sz w:val="22"/>
                <w:szCs w:val="22"/>
              </w:rPr>
            </w:pPr>
            <w:r w:rsidRPr="00046CEC">
              <w:rPr>
                <w:rFonts w:cs="Calibri"/>
                <w:b/>
                <w:bCs/>
                <w:color w:val="000000"/>
                <w:sz w:val="22"/>
                <w:szCs w:val="22"/>
              </w:rPr>
              <w:t>25</w:t>
            </w:r>
          </w:p>
        </w:tc>
        <w:tc>
          <w:tcPr>
            <w:tcW w:w="573" w:type="pct"/>
            <w:shd w:val="clear" w:color="auto" w:fill="auto"/>
            <w:noWrap/>
            <w:vAlign w:val="bottom"/>
            <w:hideMark/>
          </w:tcPr>
          <w:p w14:paraId="260F345A" w14:textId="77777777" w:rsidR="001F27D2" w:rsidRPr="00046CEC" w:rsidRDefault="001F27D2" w:rsidP="00046CEC">
            <w:pPr>
              <w:spacing w:before="0" w:after="0"/>
              <w:jc w:val="center"/>
              <w:rPr>
                <w:rFonts w:cs="Calibri"/>
                <w:b/>
                <w:bCs/>
                <w:color w:val="000000"/>
                <w:sz w:val="22"/>
                <w:szCs w:val="22"/>
              </w:rPr>
            </w:pPr>
            <w:r w:rsidRPr="00046CEC">
              <w:rPr>
                <w:rFonts w:cs="Calibri"/>
                <w:b/>
                <w:bCs/>
                <w:color w:val="000000"/>
                <w:sz w:val="22"/>
                <w:szCs w:val="22"/>
              </w:rPr>
              <w:t>26</w:t>
            </w:r>
          </w:p>
        </w:tc>
        <w:tc>
          <w:tcPr>
            <w:tcW w:w="423" w:type="pct"/>
            <w:shd w:val="clear" w:color="auto" w:fill="auto"/>
            <w:noWrap/>
            <w:vAlign w:val="bottom"/>
            <w:hideMark/>
          </w:tcPr>
          <w:p w14:paraId="30581958" w14:textId="77777777" w:rsidR="001F27D2" w:rsidRPr="00046CEC" w:rsidRDefault="001F27D2" w:rsidP="00046CEC">
            <w:pPr>
              <w:spacing w:before="0" w:after="0"/>
              <w:jc w:val="center"/>
              <w:rPr>
                <w:rFonts w:cs="Calibri"/>
                <w:b/>
                <w:bCs/>
                <w:color w:val="000000"/>
                <w:sz w:val="22"/>
                <w:szCs w:val="22"/>
              </w:rPr>
            </w:pPr>
            <w:r w:rsidRPr="00046CEC">
              <w:rPr>
                <w:rFonts w:cs="Calibri"/>
                <w:b/>
                <w:bCs/>
                <w:color w:val="000000"/>
                <w:sz w:val="22"/>
                <w:szCs w:val="22"/>
              </w:rPr>
              <w:t>16</w:t>
            </w:r>
          </w:p>
        </w:tc>
        <w:tc>
          <w:tcPr>
            <w:tcW w:w="423" w:type="pct"/>
            <w:shd w:val="clear" w:color="auto" w:fill="auto"/>
            <w:noWrap/>
            <w:vAlign w:val="bottom"/>
            <w:hideMark/>
          </w:tcPr>
          <w:p w14:paraId="3ED104BC" w14:textId="77777777" w:rsidR="001F27D2" w:rsidRPr="00046CEC" w:rsidRDefault="001F27D2" w:rsidP="00046CEC">
            <w:pPr>
              <w:spacing w:before="0" w:after="0"/>
              <w:jc w:val="center"/>
              <w:rPr>
                <w:rFonts w:cs="Calibri"/>
                <w:b/>
                <w:bCs/>
                <w:color w:val="000000"/>
                <w:sz w:val="22"/>
                <w:szCs w:val="22"/>
              </w:rPr>
            </w:pPr>
            <w:r w:rsidRPr="00046CEC">
              <w:rPr>
                <w:rFonts w:cs="Calibri"/>
                <w:b/>
                <w:bCs/>
                <w:color w:val="000000"/>
                <w:sz w:val="22"/>
                <w:szCs w:val="22"/>
              </w:rPr>
              <w:t>264</w:t>
            </w:r>
          </w:p>
        </w:tc>
      </w:tr>
    </w:tbl>
    <w:p w14:paraId="2B7D9E74" w14:textId="77777777" w:rsidR="001F27D2" w:rsidRPr="002B2A7F" w:rsidRDefault="001F27D2" w:rsidP="001F27D2">
      <w:pPr>
        <w:rPr>
          <w:rFonts w:asciiTheme="minorHAnsi" w:hAnsiTheme="minorHAnsi" w:cs="Calibri"/>
          <w:sz w:val="20"/>
          <w:szCs w:val="20"/>
        </w:rPr>
      </w:pPr>
      <w:r w:rsidRPr="002B2A7F">
        <w:rPr>
          <w:rFonts w:asciiTheme="minorHAnsi" w:hAnsiTheme="minorHAnsi" w:cs="Calibri"/>
          <w:sz w:val="20"/>
          <w:szCs w:val="20"/>
        </w:rPr>
        <w:t>Sources: 2018 Household Survey; Housing Association lettings data</w:t>
      </w:r>
    </w:p>
    <w:p w14:paraId="3331DA28" w14:textId="77777777" w:rsidR="001F27D2" w:rsidRPr="002B2A7F" w:rsidRDefault="001F27D2" w:rsidP="001F27D2">
      <w:pPr>
        <w:rPr>
          <w:rFonts w:asciiTheme="minorHAnsi" w:hAnsiTheme="minorHAnsi"/>
        </w:rPr>
      </w:pPr>
    </w:p>
    <w:p w14:paraId="1A8AF518" w14:textId="77777777" w:rsidR="001F27D2" w:rsidRPr="002B2A7F" w:rsidRDefault="001F27D2" w:rsidP="001F27D2">
      <w:pPr>
        <w:pStyle w:val="Heading2"/>
        <w:rPr>
          <w:rFonts w:asciiTheme="minorHAnsi" w:hAnsiTheme="minorHAnsi" w:cs="Calibri"/>
        </w:rPr>
      </w:pPr>
      <w:bookmarkStart w:id="408" w:name="_Toc529651997"/>
      <w:bookmarkStart w:id="409" w:name="_Toc529780760"/>
      <w:bookmarkStart w:id="410" w:name="_Toc531122884"/>
      <w:bookmarkStart w:id="411" w:name="_Toc532812416"/>
      <w:r w:rsidRPr="002B2A7F">
        <w:rPr>
          <w:rFonts w:asciiTheme="minorHAnsi" w:hAnsiTheme="minorHAnsi" w:cs="Calibri"/>
        </w:rPr>
        <w:t>Tenure split</w:t>
      </w:r>
      <w:bookmarkEnd w:id="403"/>
      <w:bookmarkEnd w:id="404"/>
      <w:bookmarkEnd w:id="405"/>
      <w:bookmarkEnd w:id="408"/>
      <w:bookmarkEnd w:id="409"/>
      <w:bookmarkEnd w:id="410"/>
      <w:bookmarkEnd w:id="411"/>
    </w:p>
    <w:p w14:paraId="5FE954E9" w14:textId="77777777" w:rsidR="001F27D2" w:rsidRPr="002B2A7F" w:rsidRDefault="001F27D2" w:rsidP="001F27D2">
      <w:pPr>
        <w:pStyle w:val="Reporttext"/>
      </w:pPr>
      <w:r w:rsidRPr="002B2A7F">
        <w:t xml:space="preserve">In order to consider an appropriate affordable housing tenure split, national policy, current local policy, past trends in delivery, the tenure preferences of households in need and the relative affordability of alternative tenure options using household income data have been considered.  </w:t>
      </w:r>
    </w:p>
    <w:p w14:paraId="156B5B85" w14:textId="77777777" w:rsidR="001F27D2" w:rsidRPr="002B2A7F" w:rsidRDefault="001F27D2" w:rsidP="001F27D2">
      <w:pPr>
        <w:pStyle w:val="Reporttext"/>
      </w:pPr>
      <w:r w:rsidRPr="002B2A7F">
        <w:t>Table 5.6 sets out the tenure split based on development over the 2 years 201</w:t>
      </w:r>
      <w:r w:rsidRPr="002B2A7F">
        <w:rPr>
          <w:lang w:val="en-US"/>
        </w:rPr>
        <w:t>5</w:t>
      </w:r>
      <w:r w:rsidRPr="002B2A7F">
        <w:t>/1</w:t>
      </w:r>
      <w:r w:rsidRPr="002B2A7F">
        <w:rPr>
          <w:lang w:val="en-US"/>
        </w:rPr>
        <w:t>6</w:t>
      </w:r>
      <w:r w:rsidRPr="002B2A7F">
        <w:t xml:space="preserve"> to 201</w:t>
      </w:r>
      <w:r w:rsidRPr="002B2A7F">
        <w:rPr>
          <w:lang w:val="en-US"/>
        </w:rPr>
        <w:t>6</w:t>
      </w:r>
      <w:r w:rsidRPr="002B2A7F">
        <w:t>/1</w:t>
      </w:r>
      <w:r w:rsidRPr="002B2A7F">
        <w:rPr>
          <w:lang w:val="en-US"/>
        </w:rPr>
        <w:t>7</w:t>
      </w:r>
      <w:r w:rsidRPr="002B2A7F">
        <w:t xml:space="preserve"> and the relative affordability of tenure options based on local household incomes using latest annual (2017) house price and rental costs relative to household incomes. The household survey evidence would suggest that a split of 55% rented and 45% intermediate tenure would appropriately reflect the tenure aspirations of households in affordable housing need. It should also be noted that the NPPF states that 10% of dwellings on larger sites should be made available for affordable home ownership. </w:t>
      </w:r>
    </w:p>
    <w:p w14:paraId="52A2ADDE" w14:textId="17C0F1E0" w:rsidR="001F27D2" w:rsidRDefault="001F27D2" w:rsidP="001F27D2">
      <w:pPr>
        <w:pStyle w:val="Reporttext"/>
        <w:numPr>
          <w:ilvl w:val="0"/>
          <w:numId w:val="0"/>
        </w:numPr>
        <w:ind w:left="709"/>
      </w:pPr>
    </w:p>
    <w:tbl>
      <w:tblPr>
        <w:tblW w:w="8520" w:type="dxa"/>
        <w:tblInd w:w="720" w:type="dxa"/>
        <w:tblLook w:val="04A0" w:firstRow="1" w:lastRow="0" w:firstColumn="1" w:lastColumn="0" w:noHBand="0" w:noVBand="1"/>
      </w:tblPr>
      <w:tblGrid>
        <w:gridCol w:w="2566"/>
        <w:gridCol w:w="1844"/>
        <w:gridCol w:w="1842"/>
        <w:gridCol w:w="2268"/>
      </w:tblGrid>
      <w:tr w:rsidR="001F27D2" w:rsidRPr="00046CEC" w14:paraId="65D21986" w14:textId="77777777" w:rsidTr="001F27D2">
        <w:trPr>
          <w:trHeight w:val="377"/>
        </w:trPr>
        <w:tc>
          <w:tcPr>
            <w:tcW w:w="8520" w:type="dxa"/>
            <w:gridSpan w:val="4"/>
            <w:tcBorders>
              <w:top w:val="single" w:sz="4" w:space="0" w:color="006666"/>
              <w:left w:val="single" w:sz="4" w:space="0" w:color="006666"/>
              <w:bottom w:val="single" w:sz="4" w:space="0" w:color="006666"/>
              <w:right w:val="single" w:sz="4" w:space="0" w:color="006666"/>
            </w:tcBorders>
            <w:shd w:val="clear" w:color="auto" w:fill="009999"/>
            <w:vAlign w:val="bottom"/>
          </w:tcPr>
          <w:p w14:paraId="45F51276" w14:textId="77777777" w:rsidR="001F27D2" w:rsidRPr="00046CEC" w:rsidRDefault="001F27D2" w:rsidP="007C1538">
            <w:pPr>
              <w:pStyle w:val="Tableheading1"/>
            </w:pPr>
            <w:bookmarkStart w:id="412" w:name="_Toc529739449"/>
            <w:bookmarkStart w:id="413" w:name="_Toc531122952"/>
            <w:bookmarkStart w:id="414" w:name="_Toc532812487"/>
            <w:r w:rsidRPr="00046CEC">
              <w:t>Table 5.6</w:t>
            </w:r>
            <w:r w:rsidRPr="00046CEC">
              <w:tab/>
              <w:t xml:space="preserve">Affordable </w:t>
            </w:r>
            <w:r w:rsidRPr="007C1538">
              <w:t>tenure</w:t>
            </w:r>
            <w:r w:rsidRPr="00046CEC">
              <w:t xml:space="preserve"> split</w:t>
            </w:r>
            <w:bookmarkEnd w:id="412"/>
            <w:bookmarkEnd w:id="413"/>
            <w:bookmarkEnd w:id="414"/>
          </w:p>
        </w:tc>
      </w:tr>
      <w:tr w:rsidR="001F27D2" w:rsidRPr="00046CEC" w14:paraId="4EF3FB0E" w14:textId="77777777" w:rsidTr="001F27D2">
        <w:tc>
          <w:tcPr>
            <w:tcW w:w="2566" w:type="dxa"/>
            <w:tcBorders>
              <w:top w:val="single" w:sz="4" w:space="0" w:color="006666"/>
              <w:left w:val="single" w:sz="4" w:space="0" w:color="006666"/>
              <w:bottom w:val="single" w:sz="4" w:space="0" w:color="006666"/>
              <w:right w:val="single" w:sz="4" w:space="0" w:color="006666"/>
            </w:tcBorders>
            <w:shd w:val="clear" w:color="auto" w:fill="009999"/>
            <w:vAlign w:val="bottom"/>
            <w:hideMark/>
          </w:tcPr>
          <w:p w14:paraId="482A0FA8" w14:textId="77777777" w:rsidR="001F27D2" w:rsidRPr="00046CEC" w:rsidRDefault="001F27D2" w:rsidP="00046CEC">
            <w:pPr>
              <w:spacing w:before="0" w:after="0"/>
              <w:rPr>
                <w:rFonts w:cs="Calibri"/>
                <w:b/>
                <w:bCs/>
                <w:color w:val="FFFFFF"/>
                <w:sz w:val="22"/>
                <w:szCs w:val="22"/>
              </w:rPr>
            </w:pPr>
            <w:r w:rsidRPr="00046CEC">
              <w:rPr>
                <w:rFonts w:cs="Calibri"/>
                <w:b/>
                <w:bCs/>
                <w:color w:val="FFFFFF"/>
                <w:sz w:val="22"/>
                <w:szCs w:val="22"/>
              </w:rPr>
              <w:t>Tenure option</w:t>
            </w:r>
          </w:p>
        </w:tc>
        <w:tc>
          <w:tcPr>
            <w:tcW w:w="1844" w:type="dxa"/>
            <w:tcBorders>
              <w:top w:val="single" w:sz="4" w:space="0" w:color="006666"/>
              <w:left w:val="nil"/>
              <w:bottom w:val="single" w:sz="4" w:space="0" w:color="006666"/>
              <w:right w:val="single" w:sz="4" w:space="0" w:color="006666"/>
            </w:tcBorders>
            <w:shd w:val="clear" w:color="auto" w:fill="009999"/>
            <w:vAlign w:val="bottom"/>
            <w:hideMark/>
          </w:tcPr>
          <w:p w14:paraId="10A7820A" w14:textId="74C01048" w:rsidR="001F27D2" w:rsidRPr="007C1538" w:rsidRDefault="001F27D2" w:rsidP="00046CEC">
            <w:pPr>
              <w:spacing w:before="0" w:after="0"/>
              <w:jc w:val="center"/>
              <w:rPr>
                <w:rFonts w:cs="Calibri"/>
                <w:b/>
                <w:bCs/>
                <w:color w:val="FFFFFF"/>
                <w:sz w:val="20"/>
                <w:szCs w:val="22"/>
              </w:rPr>
            </w:pPr>
            <w:r w:rsidRPr="007C1538">
              <w:rPr>
                <w:rFonts w:cs="Calibri"/>
                <w:b/>
                <w:bCs/>
                <w:color w:val="FFFFFF"/>
                <w:sz w:val="20"/>
                <w:szCs w:val="22"/>
              </w:rPr>
              <w:t>% based on 2 year development (2015/16 and 2016/17)</w:t>
            </w:r>
          </w:p>
        </w:tc>
        <w:tc>
          <w:tcPr>
            <w:tcW w:w="1842" w:type="dxa"/>
            <w:tcBorders>
              <w:top w:val="single" w:sz="4" w:space="0" w:color="006666"/>
              <w:left w:val="nil"/>
              <w:bottom w:val="single" w:sz="4" w:space="0" w:color="006666"/>
              <w:right w:val="single" w:sz="4" w:space="0" w:color="006666"/>
            </w:tcBorders>
            <w:shd w:val="clear" w:color="auto" w:fill="009999"/>
            <w:vAlign w:val="bottom"/>
            <w:hideMark/>
          </w:tcPr>
          <w:p w14:paraId="05348397" w14:textId="77777777" w:rsidR="001F27D2" w:rsidRPr="007C1538" w:rsidRDefault="001F27D2" w:rsidP="00046CEC">
            <w:pPr>
              <w:spacing w:before="0" w:after="0"/>
              <w:jc w:val="center"/>
              <w:rPr>
                <w:rFonts w:cs="Calibri"/>
                <w:b/>
                <w:bCs/>
                <w:color w:val="FFFFFF"/>
                <w:sz w:val="20"/>
                <w:szCs w:val="22"/>
              </w:rPr>
            </w:pPr>
            <w:r w:rsidRPr="007C1538">
              <w:rPr>
                <w:rFonts w:cs="Calibri"/>
                <w:b/>
                <w:bCs/>
                <w:color w:val="FFFFFF"/>
                <w:sz w:val="20"/>
                <w:szCs w:val="22"/>
              </w:rPr>
              <w:t>% based on aspirations of households in affordable need**</w:t>
            </w:r>
          </w:p>
        </w:tc>
        <w:tc>
          <w:tcPr>
            <w:tcW w:w="2268" w:type="dxa"/>
            <w:tcBorders>
              <w:top w:val="single" w:sz="4" w:space="0" w:color="006666"/>
              <w:left w:val="nil"/>
              <w:bottom w:val="single" w:sz="4" w:space="0" w:color="006666"/>
              <w:right w:val="single" w:sz="4" w:space="0" w:color="006666"/>
            </w:tcBorders>
            <w:shd w:val="clear" w:color="auto" w:fill="009999"/>
            <w:vAlign w:val="bottom"/>
            <w:hideMark/>
          </w:tcPr>
          <w:p w14:paraId="4AA8F60C" w14:textId="77777777" w:rsidR="001F27D2" w:rsidRPr="007C1538" w:rsidRDefault="001F27D2" w:rsidP="00046CEC">
            <w:pPr>
              <w:spacing w:before="0" w:after="0"/>
              <w:jc w:val="center"/>
              <w:rPr>
                <w:rFonts w:cs="Calibri"/>
                <w:b/>
                <w:bCs/>
                <w:color w:val="FFFFFF"/>
                <w:sz w:val="20"/>
                <w:szCs w:val="22"/>
              </w:rPr>
            </w:pPr>
            <w:r w:rsidRPr="007C1538">
              <w:rPr>
                <w:rFonts w:cs="Calibri"/>
                <w:b/>
                <w:bCs/>
                <w:color w:val="FFFFFF"/>
                <w:sz w:val="20"/>
                <w:szCs w:val="22"/>
              </w:rPr>
              <w:t>% based on affordability comparing local household incomes to price**</w:t>
            </w:r>
          </w:p>
        </w:tc>
      </w:tr>
      <w:tr w:rsidR="001F27D2" w:rsidRPr="00046CEC" w14:paraId="7700A5D1" w14:textId="77777777" w:rsidTr="001F27D2">
        <w:tc>
          <w:tcPr>
            <w:tcW w:w="2566" w:type="dxa"/>
            <w:tcBorders>
              <w:top w:val="nil"/>
              <w:left w:val="single" w:sz="4" w:space="0" w:color="006666"/>
              <w:bottom w:val="single" w:sz="4" w:space="0" w:color="006666"/>
              <w:right w:val="single" w:sz="4" w:space="0" w:color="006666"/>
            </w:tcBorders>
            <w:shd w:val="clear" w:color="auto" w:fill="auto"/>
            <w:noWrap/>
            <w:vAlign w:val="bottom"/>
            <w:hideMark/>
          </w:tcPr>
          <w:p w14:paraId="00F339FB" w14:textId="77777777" w:rsidR="001F27D2" w:rsidRPr="00046CEC" w:rsidRDefault="001F27D2" w:rsidP="00046CEC">
            <w:pPr>
              <w:spacing w:before="0" w:after="0"/>
              <w:rPr>
                <w:rFonts w:cs="Calibri"/>
                <w:color w:val="000000"/>
                <w:sz w:val="22"/>
                <w:szCs w:val="22"/>
              </w:rPr>
            </w:pPr>
            <w:r w:rsidRPr="00046CEC">
              <w:rPr>
                <w:rFonts w:cs="Calibri"/>
                <w:color w:val="000000"/>
                <w:sz w:val="22"/>
                <w:szCs w:val="22"/>
              </w:rPr>
              <w:t>Social/Affordable Rented</w:t>
            </w:r>
          </w:p>
        </w:tc>
        <w:tc>
          <w:tcPr>
            <w:tcW w:w="1844" w:type="dxa"/>
            <w:tcBorders>
              <w:top w:val="nil"/>
              <w:left w:val="nil"/>
              <w:bottom w:val="single" w:sz="4" w:space="0" w:color="006666"/>
              <w:right w:val="single" w:sz="4" w:space="0" w:color="006666"/>
            </w:tcBorders>
            <w:shd w:val="clear" w:color="auto" w:fill="auto"/>
            <w:noWrap/>
            <w:vAlign w:val="bottom"/>
          </w:tcPr>
          <w:p w14:paraId="0E040942"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68.3</w:t>
            </w:r>
          </w:p>
        </w:tc>
        <w:tc>
          <w:tcPr>
            <w:tcW w:w="1842" w:type="dxa"/>
            <w:tcBorders>
              <w:top w:val="nil"/>
              <w:left w:val="nil"/>
              <w:bottom w:val="single" w:sz="4" w:space="0" w:color="006666"/>
              <w:right w:val="single" w:sz="4" w:space="0" w:color="006666"/>
            </w:tcBorders>
            <w:shd w:val="clear" w:color="auto" w:fill="auto"/>
            <w:noWrap/>
            <w:vAlign w:val="bottom"/>
          </w:tcPr>
          <w:p w14:paraId="4BE3EFDC"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14.9</w:t>
            </w:r>
          </w:p>
        </w:tc>
        <w:tc>
          <w:tcPr>
            <w:tcW w:w="2268" w:type="dxa"/>
            <w:tcBorders>
              <w:top w:val="nil"/>
              <w:left w:val="nil"/>
              <w:bottom w:val="single" w:sz="4" w:space="0" w:color="006666"/>
              <w:right w:val="single" w:sz="4" w:space="0" w:color="006666"/>
            </w:tcBorders>
            <w:shd w:val="clear" w:color="auto" w:fill="auto"/>
            <w:noWrap/>
            <w:vAlign w:val="bottom"/>
          </w:tcPr>
          <w:p w14:paraId="0275A9D3"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53.4</w:t>
            </w:r>
          </w:p>
        </w:tc>
      </w:tr>
      <w:tr w:rsidR="001F27D2" w:rsidRPr="00046CEC" w14:paraId="7773F34E" w14:textId="77777777" w:rsidTr="001F27D2">
        <w:tc>
          <w:tcPr>
            <w:tcW w:w="2566" w:type="dxa"/>
            <w:tcBorders>
              <w:top w:val="nil"/>
              <w:left w:val="single" w:sz="4" w:space="0" w:color="006666"/>
              <w:bottom w:val="single" w:sz="4" w:space="0" w:color="006666"/>
              <w:right w:val="single" w:sz="4" w:space="0" w:color="006666"/>
            </w:tcBorders>
            <w:shd w:val="clear" w:color="auto" w:fill="auto"/>
            <w:noWrap/>
            <w:vAlign w:val="bottom"/>
            <w:hideMark/>
          </w:tcPr>
          <w:p w14:paraId="6EE63C89" w14:textId="77777777" w:rsidR="001F27D2" w:rsidRPr="00046CEC" w:rsidRDefault="001F27D2" w:rsidP="00046CEC">
            <w:pPr>
              <w:spacing w:before="0" w:after="0"/>
              <w:rPr>
                <w:rFonts w:cs="Calibri"/>
                <w:color w:val="000000"/>
                <w:sz w:val="22"/>
                <w:szCs w:val="22"/>
              </w:rPr>
            </w:pPr>
            <w:r w:rsidRPr="00046CEC">
              <w:rPr>
                <w:rFonts w:cs="Calibri"/>
                <w:color w:val="000000"/>
                <w:sz w:val="22"/>
                <w:szCs w:val="22"/>
              </w:rPr>
              <w:t>Intermediate</w:t>
            </w:r>
          </w:p>
        </w:tc>
        <w:tc>
          <w:tcPr>
            <w:tcW w:w="1844" w:type="dxa"/>
            <w:tcBorders>
              <w:top w:val="nil"/>
              <w:left w:val="nil"/>
              <w:bottom w:val="single" w:sz="4" w:space="0" w:color="006666"/>
              <w:right w:val="single" w:sz="4" w:space="0" w:color="006666"/>
            </w:tcBorders>
            <w:shd w:val="clear" w:color="auto" w:fill="auto"/>
            <w:noWrap/>
            <w:vAlign w:val="bottom"/>
          </w:tcPr>
          <w:p w14:paraId="11AD3D0C"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31.7</w:t>
            </w:r>
          </w:p>
        </w:tc>
        <w:tc>
          <w:tcPr>
            <w:tcW w:w="1842" w:type="dxa"/>
            <w:tcBorders>
              <w:top w:val="nil"/>
              <w:left w:val="nil"/>
              <w:bottom w:val="single" w:sz="4" w:space="0" w:color="006666"/>
              <w:right w:val="single" w:sz="4" w:space="0" w:color="006666"/>
            </w:tcBorders>
            <w:shd w:val="clear" w:color="auto" w:fill="auto"/>
            <w:noWrap/>
            <w:vAlign w:val="bottom"/>
          </w:tcPr>
          <w:p w14:paraId="3E0BB0C7"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85.1</w:t>
            </w:r>
          </w:p>
        </w:tc>
        <w:tc>
          <w:tcPr>
            <w:tcW w:w="2268" w:type="dxa"/>
            <w:tcBorders>
              <w:top w:val="nil"/>
              <w:left w:val="nil"/>
              <w:bottom w:val="single" w:sz="4" w:space="0" w:color="006666"/>
              <w:right w:val="single" w:sz="4" w:space="0" w:color="006666"/>
            </w:tcBorders>
            <w:shd w:val="clear" w:color="auto" w:fill="auto"/>
            <w:noWrap/>
            <w:vAlign w:val="bottom"/>
          </w:tcPr>
          <w:p w14:paraId="61899DB4"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46.6</w:t>
            </w:r>
          </w:p>
        </w:tc>
      </w:tr>
      <w:tr w:rsidR="001F27D2" w:rsidRPr="00046CEC" w14:paraId="56154B4A" w14:textId="77777777" w:rsidTr="001F27D2">
        <w:tc>
          <w:tcPr>
            <w:tcW w:w="2566" w:type="dxa"/>
            <w:tcBorders>
              <w:top w:val="nil"/>
              <w:left w:val="single" w:sz="4" w:space="0" w:color="006666"/>
              <w:bottom w:val="single" w:sz="4" w:space="0" w:color="006666"/>
              <w:right w:val="single" w:sz="4" w:space="0" w:color="006666"/>
            </w:tcBorders>
            <w:shd w:val="clear" w:color="auto" w:fill="auto"/>
            <w:noWrap/>
            <w:vAlign w:val="bottom"/>
          </w:tcPr>
          <w:p w14:paraId="3649ED46" w14:textId="77777777" w:rsidR="001F27D2" w:rsidRPr="00046CEC" w:rsidRDefault="001F27D2" w:rsidP="00046CEC">
            <w:pPr>
              <w:spacing w:before="0" w:after="0"/>
              <w:rPr>
                <w:rFonts w:cs="Calibri"/>
                <w:color w:val="000000"/>
                <w:sz w:val="22"/>
                <w:szCs w:val="22"/>
              </w:rPr>
            </w:pPr>
            <w:r w:rsidRPr="00046CEC">
              <w:rPr>
                <w:rFonts w:cs="Calibri"/>
                <w:color w:val="000000"/>
                <w:sz w:val="22"/>
                <w:szCs w:val="22"/>
              </w:rPr>
              <w:t>Total</w:t>
            </w:r>
          </w:p>
        </w:tc>
        <w:tc>
          <w:tcPr>
            <w:tcW w:w="1844" w:type="dxa"/>
            <w:tcBorders>
              <w:top w:val="nil"/>
              <w:left w:val="nil"/>
              <w:bottom w:val="single" w:sz="4" w:space="0" w:color="006666"/>
              <w:right w:val="single" w:sz="4" w:space="0" w:color="006666"/>
            </w:tcBorders>
            <w:shd w:val="clear" w:color="auto" w:fill="auto"/>
            <w:noWrap/>
            <w:vAlign w:val="bottom"/>
          </w:tcPr>
          <w:p w14:paraId="4D206CAC"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100.0</w:t>
            </w:r>
          </w:p>
        </w:tc>
        <w:tc>
          <w:tcPr>
            <w:tcW w:w="1842" w:type="dxa"/>
            <w:tcBorders>
              <w:top w:val="nil"/>
              <w:left w:val="nil"/>
              <w:bottom w:val="single" w:sz="4" w:space="0" w:color="006666"/>
              <w:right w:val="single" w:sz="4" w:space="0" w:color="006666"/>
            </w:tcBorders>
            <w:shd w:val="clear" w:color="auto" w:fill="auto"/>
            <w:noWrap/>
            <w:vAlign w:val="bottom"/>
          </w:tcPr>
          <w:p w14:paraId="6FF5DEF1"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100.0</w:t>
            </w:r>
          </w:p>
        </w:tc>
        <w:tc>
          <w:tcPr>
            <w:tcW w:w="2268" w:type="dxa"/>
            <w:tcBorders>
              <w:top w:val="nil"/>
              <w:left w:val="nil"/>
              <w:bottom w:val="single" w:sz="4" w:space="0" w:color="006666"/>
              <w:right w:val="single" w:sz="4" w:space="0" w:color="006666"/>
            </w:tcBorders>
            <w:shd w:val="clear" w:color="auto" w:fill="auto"/>
            <w:noWrap/>
            <w:vAlign w:val="bottom"/>
          </w:tcPr>
          <w:p w14:paraId="4676C94C" w14:textId="77777777" w:rsidR="001F27D2" w:rsidRPr="00046CEC" w:rsidRDefault="001F27D2" w:rsidP="00046CEC">
            <w:pPr>
              <w:spacing w:before="0" w:after="0"/>
              <w:jc w:val="center"/>
              <w:rPr>
                <w:rFonts w:cs="Calibri"/>
                <w:color w:val="000000"/>
                <w:sz w:val="22"/>
                <w:szCs w:val="22"/>
              </w:rPr>
            </w:pPr>
            <w:r w:rsidRPr="00046CEC">
              <w:rPr>
                <w:rFonts w:cs="Calibri"/>
                <w:color w:val="000000"/>
                <w:sz w:val="22"/>
                <w:szCs w:val="22"/>
              </w:rPr>
              <w:t>100.0</w:t>
            </w:r>
          </w:p>
        </w:tc>
      </w:tr>
      <w:tr w:rsidR="001F27D2" w:rsidRPr="00046CEC" w14:paraId="4E7757C6" w14:textId="77777777" w:rsidTr="001F27D2">
        <w:trPr>
          <w:trHeight w:val="300"/>
        </w:trPr>
        <w:tc>
          <w:tcPr>
            <w:tcW w:w="8520" w:type="dxa"/>
            <w:gridSpan w:val="4"/>
            <w:tcBorders>
              <w:top w:val="nil"/>
              <w:left w:val="nil"/>
              <w:bottom w:val="nil"/>
              <w:right w:val="nil"/>
            </w:tcBorders>
            <w:shd w:val="clear" w:color="auto" w:fill="auto"/>
            <w:noWrap/>
            <w:vAlign w:val="bottom"/>
            <w:hideMark/>
          </w:tcPr>
          <w:p w14:paraId="09F63831" w14:textId="77777777" w:rsidR="001F27D2" w:rsidRPr="00046CEC" w:rsidRDefault="001F27D2" w:rsidP="00046CEC">
            <w:pPr>
              <w:spacing w:before="0" w:after="0"/>
              <w:rPr>
                <w:rFonts w:cs="Calibri"/>
                <w:color w:val="000000"/>
                <w:sz w:val="22"/>
                <w:szCs w:val="22"/>
              </w:rPr>
            </w:pPr>
            <w:r w:rsidRPr="00046CEC">
              <w:rPr>
                <w:rFonts w:cs="Calibri"/>
                <w:color w:val="000000"/>
                <w:sz w:val="22"/>
                <w:szCs w:val="22"/>
              </w:rPr>
              <w:t>*MHCLG Affordable housing delivery statistics</w:t>
            </w:r>
          </w:p>
          <w:p w14:paraId="45D66F44" w14:textId="77777777" w:rsidR="001F27D2" w:rsidRPr="00046CEC" w:rsidRDefault="001F27D2" w:rsidP="00046CEC">
            <w:pPr>
              <w:spacing w:before="0" w:after="0"/>
              <w:rPr>
                <w:rFonts w:cs="Calibri"/>
                <w:color w:val="000000"/>
                <w:sz w:val="22"/>
                <w:szCs w:val="22"/>
              </w:rPr>
            </w:pPr>
            <w:r w:rsidRPr="00046CEC">
              <w:rPr>
                <w:rFonts w:cs="Calibri"/>
                <w:color w:val="000000"/>
                <w:sz w:val="22"/>
                <w:szCs w:val="22"/>
              </w:rPr>
              <w:t xml:space="preserve">**2018 household survey evidence </w:t>
            </w:r>
          </w:p>
        </w:tc>
      </w:tr>
    </w:tbl>
    <w:p w14:paraId="536F1920" w14:textId="77777777" w:rsidR="001F27D2" w:rsidRPr="002B2A7F" w:rsidRDefault="001F27D2" w:rsidP="001F27D2">
      <w:pPr>
        <w:rPr>
          <w:rFonts w:asciiTheme="minorHAnsi" w:hAnsiTheme="minorHAnsi"/>
        </w:rPr>
      </w:pPr>
    </w:p>
    <w:p w14:paraId="6823C46D" w14:textId="77777777" w:rsidR="001F27D2" w:rsidRPr="002B2A7F" w:rsidRDefault="001F27D2" w:rsidP="001F27D2">
      <w:pPr>
        <w:pStyle w:val="Heading3"/>
        <w:ind w:left="706"/>
        <w:rPr>
          <w:rFonts w:asciiTheme="minorHAnsi" w:hAnsiTheme="minorHAnsi" w:cs="Calibri"/>
        </w:rPr>
      </w:pPr>
      <w:bookmarkStart w:id="415" w:name="_Toc360192635"/>
      <w:bookmarkStart w:id="416" w:name="_Toc398711713"/>
      <w:bookmarkStart w:id="417" w:name="_Toc399864400"/>
      <w:r w:rsidRPr="002B2A7F">
        <w:rPr>
          <w:rFonts w:asciiTheme="minorHAnsi" w:hAnsiTheme="minorHAnsi" w:cs="Calibri"/>
        </w:rPr>
        <w:lastRenderedPageBreak/>
        <w:t>Property type preferences</w:t>
      </w:r>
      <w:bookmarkEnd w:id="415"/>
      <w:bookmarkEnd w:id="416"/>
      <w:bookmarkEnd w:id="417"/>
    </w:p>
    <w:p w14:paraId="3F3387B4" w14:textId="57A69B50" w:rsidR="001F27D2" w:rsidRPr="002B2A7F" w:rsidRDefault="001F27D2" w:rsidP="001F27D2">
      <w:pPr>
        <w:pStyle w:val="Reporttext"/>
      </w:pPr>
      <w:r w:rsidRPr="002B2A7F">
        <w:t xml:space="preserve">Analysis of property type preferences has been prepared based on what existing and newly-forming households needing affordable housing would expect to move to. Analysis suggests that a mix of houses (60.3%) and flats (30.9%) is appropriate along with </w:t>
      </w:r>
      <w:r w:rsidR="00552F21">
        <w:t xml:space="preserve">a </w:t>
      </w:r>
      <w:r w:rsidRPr="002B2A7F">
        <w:t>small number of bungalows (7.3%) and other property types (1.5%).</w:t>
      </w:r>
    </w:p>
    <w:p w14:paraId="36E9D2C4" w14:textId="77777777" w:rsidR="001F27D2" w:rsidRPr="002B2A7F" w:rsidRDefault="001F27D2" w:rsidP="001F27D2">
      <w:pPr>
        <w:rPr>
          <w:rFonts w:asciiTheme="minorHAnsi" w:hAnsiTheme="minorHAnsi" w:cs="Calibri"/>
        </w:rPr>
      </w:pPr>
    </w:p>
    <w:tbl>
      <w:tblPr>
        <w:tblW w:w="4573" w:type="pct"/>
        <w:tblInd w:w="720"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1895"/>
        <w:gridCol w:w="2213"/>
        <w:gridCol w:w="2075"/>
        <w:gridCol w:w="2213"/>
      </w:tblGrid>
      <w:tr w:rsidR="001F27D2" w:rsidRPr="007C1538" w14:paraId="29754EEE" w14:textId="77777777" w:rsidTr="007C1538">
        <w:tc>
          <w:tcPr>
            <w:tcW w:w="5000" w:type="pct"/>
            <w:gridSpan w:val="4"/>
            <w:shd w:val="clear" w:color="auto" w:fill="009999"/>
            <w:noWrap/>
            <w:vAlign w:val="bottom"/>
          </w:tcPr>
          <w:p w14:paraId="434782E4" w14:textId="60B049E8" w:rsidR="001F27D2" w:rsidRPr="007C1538" w:rsidRDefault="001F27D2" w:rsidP="007C1538">
            <w:pPr>
              <w:pStyle w:val="Tableheading1"/>
              <w:rPr>
                <w:color w:val="FFFFFF"/>
                <w:lang w:eastAsia="en-GB"/>
              </w:rPr>
            </w:pPr>
            <w:bookmarkStart w:id="418" w:name="_Toc505362708"/>
            <w:bookmarkStart w:id="419" w:name="_Toc529652125"/>
            <w:bookmarkStart w:id="420" w:name="_Toc529739450"/>
            <w:bookmarkStart w:id="421" w:name="_Toc531122953"/>
            <w:bookmarkStart w:id="422" w:name="_Toc532812488"/>
            <w:r w:rsidRPr="007C1538">
              <w:t xml:space="preserve">Table </w:t>
            </w:r>
            <w:r w:rsidR="00367D56">
              <w:t>5</w:t>
            </w:r>
            <w:r w:rsidRPr="007C1538">
              <w:t>.7</w:t>
            </w:r>
            <w:r w:rsidRPr="007C1538">
              <w:tab/>
              <w:t>Property type preferences</w:t>
            </w:r>
            <w:bookmarkEnd w:id="418"/>
            <w:bookmarkEnd w:id="419"/>
            <w:bookmarkEnd w:id="420"/>
            <w:bookmarkEnd w:id="421"/>
            <w:bookmarkEnd w:id="422"/>
          </w:p>
        </w:tc>
      </w:tr>
      <w:tr w:rsidR="001F27D2" w:rsidRPr="007C1538" w14:paraId="229EF88A" w14:textId="77777777" w:rsidTr="007C1538">
        <w:tc>
          <w:tcPr>
            <w:tcW w:w="1128" w:type="pct"/>
            <w:shd w:val="clear" w:color="auto" w:fill="009999"/>
            <w:noWrap/>
            <w:vAlign w:val="bottom"/>
            <w:hideMark/>
          </w:tcPr>
          <w:p w14:paraId="1461BBBB" w14:textId="77777777" w:rsidR="001F27D2" w:rsidRPr="007C1538" w:rsidRDefault="001F27D2" w:rsidP="007C1538">
            <w:pPr>
              <w:spacing w:before="0" w:after="0"/>
              <w:rPr>
                <w:rFonts w:cs="Calibri"/>
                <w:b/>
                <w:bCs/>
                <w:color w:val="FFFFFF"/>
                <w:sz w:val="22"/>
                <w:szCs w:val="22"/>
                <w:lang w:eastAsia="en-GB"/>
              </w:rPr>
            </w:pPr>
            <w:r w:rsidRPr="007C1538">
              <w:rPr>
                <w:rFonts w:cs="Calibri"/>
                <w:b/>
                <w:bCs/>
                <w:color w:val="FFFFFF"/>
                <w:sz w:val="22"/>
                <w:szCs w:val="22"/>
                <w:lang w:eastAsia="en-GB"/>
              </w:rPr>
              <w:t>Type preferences</w:t>
            </w:r>
          </w:p>
        </w:tc>
        <w:tc>
          <w:tcPr>
            <w:tcW w:w="1318" w:type="pct"/>
            <w:shd w:val="clear" w:color="auto" w:fill="009999"/>
            <w:vAlign w:val="bottom"/>
            <w:hideMark/>
          </w:tcPr>
          <w:p w14:paraId="046BC26A" w14:textId="77777777" w:rsidR="001F27D2" w:rsidRPr="007C1538" w:rsidRDefault="001F27D2" w:rsidP="007C1538">
            <w:pPr>
              <w:spacing w:before="0" w:after="0"/>
              <w:jc w:val="center"/>
              <w:rPr>
                <w:rFonts w:cs="Calibri"/>
                <w:b/>
                <w:bCs/>
                <w:color w:val="FFFFFF"/>
                <w:sz w:val="22"/>
                <w:szCs w:val="22"/>
                <w:lang w:eastAsia="en-GB"/>
              </w:rPr>
            </w:pPr>
            <w:r w:rsidRPr="007C1538">
              <w:rPr>
                <w:rFonts w:cs="Calibri"/>
                <w:b/>
                <w:bCs/>
                <w:color w:val="FFFFFF"/>
                <w:sz w:val="22"/>
                <w:szCs w:val="22"/>
                <w:lang w:eastAsia="en-GB"/>
              </w:rPr>
              <w:t>Existing (%)</w:t>
            </w:r>
          </w:p>
        </w:tc>
        <w:tc>
          <w:tcPr>
            <w:tcW w:w="1236" w:type="pct"/>
            <w:shd w:val="clear" w:color="auto" w:fill="009999"/>
            <w:vAlign w:val="bottom"/>
            <w:hideMark/>
          </w:tcPr>
          <w:p w14:paraId="7679D45F" w14:textId="3FCC3C92" w:rsidR="001F27D2" w:rsidRPr="007C1538" w:rsidRDefault="001F27D2" w:rsidP="007C1538">
            <w:pPr>
              <w:spacing w:before="0" w:after="0"/>
              <w:jc w:val="center"/>
              <w:rPr>
                <w:rFonts w:cs="Calibri"/>
                <w:b/>
                <w:bCs/>
                <w:color w:val="FFFFFF"/>
                <w:sz w:val="22"/>
                <w:szCs w:val="22"/>
                <w:lang w:eastAsia="en-GB"/>
              </w:rPr>
            </w:pPr>
            <w:r w:rsidRPr="007C1538">
              <w:rPr>
                <w:rFonts w:cs="Calibri"/>
                <w:b/>
                <w:bCs/>
                <w:color w:val="FFFFFF"/>
                <w:sz w:val="22"/>
                <w:szCs w:val="22"/>
                <w:lang w:eastAsia="en-GB"/>
              </w:rPr>
              <w:t>Newly</w:t>
            </w:r>
            <w:r w:rsidR="007C1538">
              <w:rPr>
                <w:rFonts w:cs="Calibri"/>
                <w:b/>
                <w:bCs/>
                <w:color w:val="FFFFFF"/>
                <w:sz w:val="22"/>
                <w:szCs w:val="22"/>
                <w:lang w:eastAsia="en-GB"/>
              </w:rPr>
              <w:t xml:space="preserve"> </w:t>
            </w:r>
            <w:r w:rsidRPr="007C1538">
              <w:rPr>
                <w:rFonts w:cs="Calibri"/>
                <w:b/>
                <w:bCs/>
                <w:color w:val="FFFFFF"/>
                <w:sz w:val="22"/>
                <w:szCs w:val="22"/>
                <w:lang w:eastAsia="en-GB"/>
              </w:rPr>
              <w:t>forming (%)</w:t>
            </w:r>
          </w:p>
        </w:tc>
        <w:tc>
          <w:tcPr>
            <w:tcW w:w="1318" w:type="pct"/>
            <w:shd w:val="clear" w:color="auto" w:fill="009999"/>
            <w:vAlign w:val="bottom"/>
            <w:hideMark/>
          </w:tcPr>
          <w:p w14:paraId="3AD54403" w14:textId="77777777" w:rsidR="001F27D2" w:rsidRPr="007C1538" w:rsidRDefault="001F27D2" w:rsidP="007C1538">
            <w:pPr>
              <w:spacing w:before="0" w:after="0"/>
              <w:jc w:val="center"/>
              <w:rPr>
                <w:rFonts w:cs="Calibri"/>
                <w:b/>
                <w:bCs/>
                <w:color w:val="FFFFFF"/>
                <w:sz w:val="22"/>
                <w:szCs w:val="22"/>
                <w:lang w:eastAsia="en-GB"/>
              </w:rPr>
            </w:pPr>
            <w:r w:rsidRPr="007C1538">
              <w:rPr>
                <w:rFonts w:cs="Calibri"/>
                <w:b/>
                <w:bCs/>
                <w:color w:val="FFFFFF"/>
                <w:sz w:val="22"/>
                <w:szCs w:val="22"/>
                <w:lang w:eastAsia="en-GB"/>
              </w:rPr>
              <w:t>Total (%)</w:t>
            </w:r>
          </w:p>
        </w:tc>
      </w:tr>
      <w:tr w:rsidR="001F27D2" w:rsidRPr="007C1538" w14:paraId="12455F49" w14:textId="77777777" w:rsidTr="007C1538">
        <w:tc>
          <w:tcPr>
            <w:tcW w:w="1128" w:type="pct"/>
            <w:shd w:val="clear" w:color="auto" w:fill="auto"/>
            <w:noWrap/>
            <w:vAlign w:val="bottom"/>
            <w:hideMark/>
          </w:tcPr>
          <w:p w14:paraId="47B18A9E" w14:textId="77777777" w:rsidR="001F27D2" w:rsidRPr="007C1538" w:rsidRDefault="001F27D2" w:rsidP="007C1538">
            <w:pPr>
              <w:spacing w:before="0" w:after="0"/>
              <w:rPr>
                <w:rFonts w:cs="Calibri"/>
                <w:color w:val="000000"/>
                <w:sz w:val="22"/>
                <w:szCs w:val="22"/>
                <w:lang w:eastAsia="en-GB"/>
              </w:rPr>
            </w:pPr>
            <w:r w:rsidRPr="007C1538">
              <w:rPr>
                <w:rFonts w:cs="Calibri"/>
                <w:color w:val="000000"/>
                <w:sz w:val="22"/>
                <w:szCs w:val="22"/>
                <w:lang w:eastAsia="en-GB"/>
              </w:rPr>
              <w:t>House</w:t>
            </w:r>
          </w:p>
        </w:tc>
        <w:tc>
          <w:tcPr>
            <w:tcW w:w="1318" w:type="pct"/>
            <w:shd w:val="clear" w:color="auto" w:fill="auto"/>
            <w:noWrap/>
            <w:vAlign w:val="bottom"/>
          </w:tcPr>
          <w:p w14:paraId="011FA9FE" w14:textId="77777777" w:rsidR="001F27D2" w:rsidRPr="007C1538" w:rsidRDefault="001F27D2" w:rsidP="007C1538">
            <w:pPr>
              <w:spacing w:before="0" w:after="0"/>
              <w:jc w:val="center"/>
              <w:rPr>
                <w:rFonts w:cs="Calibri"/>
                <w:color w:val="000000"/>
                <w:sz w:val="22"/>
                <w:szCs w:val="22"/>
                <w:lang w:eastAsia="en-GB"/>
              </w:rPr>
            </w:pPr>
            <w:r w:rsidRPr="007C1538">
              <w:rPr>
                <w:rFonts w:cs="Calibri"/>
                <w:color w:val="000000"/>
                <w:sz w:val="22"/>
                <w:szCs w:val="22"/>
                <w:lang w:eastAsia="en-GB"/>
              </w:rPr>
              <w:t>53.0</w:t>
            </w:r>
          </w:p>
        </w:tc>
        <w:tc>
          <w:tcPr>
            <w:tcW w:w="1236" w:type="pct"/>
            <w:shd w:val="clear" w:color="auto" w:fill="auto"/>
            <w:noWrap/>
            <w:vAlign w:val="bottom"/>
          </w:tcPr>
          <w:p w14:paraId="36C9198A" w14:textId="77777777" w:rsidR="001F27D2" w:rsidRPr="007C1538" w:rsidRDefault="001F27D2" w:rsidP="007C1538">
            <w:pPr>
              <w:spacing w:before="0" w:after="0"/>
              <w:jc w:val="center"/>
              <w:rPr>
                <w:rFonts w:cs="Calibri"/>
                <w:color w:val="000000"/>
                <w:sz w:val="22"/>
                <w:szCs w:val="22"/>
                <w:lang w:eastAsia="en-GB"/>
              </w:rPr>
            </w:pPr>
            <w:r w:rsidRPr="007C1538">
              <w:rPr>
                <w:rFonts w:cs="Calibri"/>
                <w:color w:val="000000"/>
                <w:sz w:val="22"/>
                <w:szCs w:val="22"/>
                <w:lang w:eastAsia="en-GB"/>
              </w:rPr>
              <w:t>62.0</w:t>
            </w:r>
          </w:p>
        </w:tc>
        <w:tc>
          <w:tcPr>
            <w:tcW w:w="1318" w:type="pct"/>
            <w:shd w:val="clear" w:color="auto" w:fill="auto"/>
            <w:noWrap/>
            <w:vAlign w:val="bottom"/>
          </w:tcPr>
          <w:p w14:paraId="5BE599AD" w14:textId="77777777" w:rsidR="001F27D2" w:rsidRPr="007C1538" w:rsidRDefault="001F27D2" w:rsidP="007C1538">
            <w:pPr>
              <w:spacing w:before="0" w:after="0"/>
              <w:jc w:val="center"/>
              <w:rPr>
                <w:rFonts w:cs="Calibri"/>
                <w:color w:val="000000"/>
                <w:sz w:val="22"/>
                <w:szCs w:val="22"/>
                <w:lang w:eastAsia="en-GB"/>
              </w:rPr>
            </w:pPr>
            <w:r w:rsidRPr="007C1538">
              <w:rPr>
                <w:rFonts w:cs="Calibri"/>
                <w:color w:val="000000"/>
                <w:sz w:val="22"/>
                <w:szCs w:val="22"/>
                <w:lang w:eastAsia="en-GB"/>
              </w:rPr>
              <w:t>60.3</w:t>
            </w:r>
          </w:p>
        </w:tc>
      </w:tr>
      <w:tr w:rsidR="001F27D2" w:rsidRPr="007C1538" w14:paraId="4BB3A273" w14:textId="77777777" w:rsidTr="007C1538">
        <w:tc>
          <w:tcPr>
            <w:tcW w:w="1128" w:type="pct"/>
            <w:shd w:val="clear" w:color="auto" w:fill="auto"/>
            <w:noWrap/>
            <w:vAlign w:val="bottom"/>
            <w:hideMark/>
          </w:tcPr>
          <w:p w14:paraId="0A653A68" w14:textId="77777777" w:rsidR="001F27D2" w:rsidRPr="007C1538" w:rsidRDefault="001F27D2" w:rsidP="007C1538">
            <w:pPr>
              <w:spacing w:before="0" w:after="0"/>
              <w:rPr>
                <w:rFonts w:cs="Calibri"/>
                <w:color w:val="000000"/>
                <w:sz w:val="22"/>
                <w:szCs w:val="22"/>
                <w:lang w:eastAsia="en-GB"/>
              </w:rPr>
            </w:pPr>
            <w:r w:rsidRPr="007C1538">
              <w:rPr>
                <w:rFonts w:cs="Calibri"/>
                <w:color w:val="000000"/>
                <w:sz w:val="22"/>
                <w:szCs w:val="22"/>
                <w:lang w:eastAsia="en-GB"/>
              </w:rPr>
              <w:t>Flat</w:t>
            </w:r>
          </w:p>
        </w:tc>
        <w:tc>
          <w:tcPr>
            <w:tcW w:w="1318" w:type="pct"/>
            <w:shd w:val="clear" w:color="auto" w:fill="auto"/>
            <w:noWrap/>
            <w:vAlign w:val="bottom"/>
          </w:tcPr>
          <w:p w14:paraId="687E54D0" w14:textId="77777777" w:rsidR="001F27D2" w:rsidRPr="007C1538" w:rsidRDefault="001F27D2" w:rsidP="007C1538">
            <w:pPr>
              <w:spacing w:before="0" w:after="0"/>
              <w:jc w:val="center"/>
              <w:rPr>
                <w:rFonts w:cs="Calibri"/>
                <w:color w:val="000000"/>
                <w:sz w:val="22"/>
                <w:szCs w:val="22"/>
                <w:lang w:eastAsia="en-GB"/>
              </w:rPr>
            </w:pPr>
            <w:r w:rsidRPr="007C1538">
              <w:rPr>
                <w:rFonts w:cs="Calibri"/>
                <w:color w:val="000000"/>
                <w:sz w:val="22"/>
                <w:szCs w:val="22"/>
                <w:lang w:eastAsia="en-GB"/>
              </w:rPr>
              <w:t>14.3</w:t>
            </w:r>
          </w:p>
        </w:tc>
        <w:tc>
          <w:tcPr>
            <w:tcW w:w="1236" w:type="pct"/>
            <w:shd w:val="clear" w:color="auto" w:fill="auto"/>
            <w:noWrap/>
            <w:vAlign w:val="bottom"/>
          </w:tcPr>
          <w:p w14:paraId="51888FC5" w14:textId="77777777" w:rsidR="001F27D2" w:rsidRPr="007C1538" w:rsidRDefault="001F27D2" w:rsidP="007C1538">
            <w:pPr>
              <w:spacing w:before="0" w:after="0"/>
              <w:jc w:val="center"/>
              <w:rPr>
                <w:rFonts w:cs="Calibri"/>
                <w:color w:val="000000"/>
                <w:sz w:val="22"/>
                <w:szCs w:val="22"/>
                <w:lang w:eastAsia="en-GB"/>
              </w:rPr>
            </w:pPr>
            <w:r w:rsidRPr="007C1538">
              <w:rPr>
                <w:rFonts w:cs="Calibri"/>
                <w:color w:val="000000"/>
                <w:sz w:val="22"/>
                <w:szCs w:val="22"/>
                <w:lang w:eastAsia="en-GB"/>
              </w:rPr>
              <w:t>34.7</w:t>
            </w:r>
          </w:p>
        </w:tc>
        <w:tc>
          <w:tcPr>
            <w:tcW w:w="1318" w:type="pct"/>
            <w:shd w:val="clear" w:color="auto" w:fill="auto"/>
            <w:noWrap/>
            <w:vAlign w:val="bottom"/>
          </w:tcPr>
          <w:p w14:paraId="7F005B18" w14:textId="77777777" w:rsidR="001F27D2" w:rsidRPr="007C1538" w:rsidRDefault="001F27D2" w:rsidP="007C1538">
            <w:pPr>
              <w:spacing w:before="0" w:after="0"/>
              <w:jc w:val="center"/>
              <w:rPr>
                <w:rFonts w:cs="Calibri"/>
                <w:color w:val="000000"/>
                <w:sz w:val="22"/>
                <w:szCs w:val="22"/>
                <w:lang w:eastAsia="en-GB"/>
              </w:rPr>
            </w:pPr>
            <w:r w:rsidRPr="007C1538">
              <w:rPr>
                <w:rFonts w:cs="Calibri"/>
                <w:color w:val="000000"/>
                <w:sz w:val="22"/>
                <w:szCs w:val="22"/>
                <w:lang w:eastAsia="en-GB"/>
              </w:rPr>
              <w:t>30.9</w:t>
            </w:r>
          </w:p>
        </w:tc>
      </w:tr>
      <w:tr w:rsidR="001F27D2" w:rsidRPr="007C1538" w14:paraId="5880550E" w14:textId="77777777" w:rsidTr="007C1538">
        <w:tc>
          <w:tcPr>
            <w:tcW w:w="1128" w:type="pct"/>
            <w:shd w:val="clear" w:color="auto" w:fill="auto"/>
            <w:noWrap/>
            <w:vAlign w:val="bottom"/>
            <w:hideMark/>
          </w:tcPr>
          <w:p w14:paraId="456C03FF" w14:textId="77777777" w:rsidR="001F27D2" w:rsidRPr="007C1538" w:rsidRDefault="001F27D2" w:rsidP="007C1538">
            <w:pPr>
              <w:spacing w:before="0" w:after="0"/>
              <w:rPr>
                <w:rFonts w:cs="Calibri"/>
                <w:color w:val="000000"/>
                <w:sz w:val="22"/>
                <w:szCs w:val="22"/>
                <w:lang w:eastAsia="en-GB"/>
              </w:rPr>
            </w:pPr>
            <w:r w:rsidRPr="007C1538">
              <w:rPr>
                <w:rFonts w:cs="Calibri"/>
                <w:color w:val="000000"/>
                <w:sz w:val="22"/>
                <w:szCs w:val="22"/>
                <w:lang w:eastAsia="en-GB"/>
              </w:rPr>
              <w:t>Bungalow</w:t>
            </w:r>
          </w:p>
        </w:tc>
        <w:tc>
          <w:tcPr>
            <w:tcW w:w="1318" w:type="pct"/>
            <w:shd w:val="clear" w:color="auto" w:fill="auto"/>
            <w:noWrap/>
            <w:vAlign w:val="bottom"/>
          </w:tcPr>
          <w:p w14:paraId="5BE22EE4" w14:textId="77777777" w:rsidR="001F27D2" w:rsidRPr="007C1538" w:rsidRDefault="001F27D2" w:rsidP="007C1538">
            <w:pPr>
              <w:spacing w:before="0" w:after="0"/>
              <w:jc w:val="center"/>
              <w:rPr>
                <w:rFonts w:cs="Calibri"/>
                <w:color w:val="000000"/>
                <w:sz w:val="22"/>
                <w:szCs w:val="22"/>
                <w:lang w:eastAsia="en-GB"/>
              </w:rPr>
            </w:pPr>
            <w:r w:rsidRPr="007C1538">
              <w:rPr>
                <w:rFonts w:cs="Calibri"/>
                <w:color w:val="000000"/>
                <w:sz w:val="22"/>
                <w:szCs w:val="22"/>
                <w:lang w:eastAsia="en-GB"/>
              </w:rPr>
              <w:t>28.6</w:t>
            </w:r>
          </w:p>
        </w:tc>
        <w:tc>
          <w:tcPr>
            <w:tcW w:w="1236" w:type="pct"/>
            <w:shd w:val="clear" w:color="auto" w:fill="auto"/>
            <w:noWrap/>
            <w:vAlign w:val="bottom"/>
          </w:tcPr>
          <w:p w14:paraId="0F2DD831" w14:textId="77777777" w:rsidR="001F27D2" w:rsidRPr="007C1538" w:rsidRDefault="001F27D2" w:rsidP="007C1538">
            <w:pPr>
              <w:spacing w:before="0" w:after="0"/>
              <w:jc w:val="center"/>
              <w:rPr>
                <w:rFonts w:cs="Calibri"/>
                <w:color w:val="000000"/>
                <w:sz w:val="22"/>
                <w:szCs w:val="22"/>
                <w:lang w:eastAsia="en-GB"/>
              </w:rPr>
            </w:pPr>
            <w:r w:rsidRPr="007C1538">
              <w:rPr>
                <w:rFonts w:cs="Calibri"/>
                <w:color w:val="000000"/>
                <w:sz w:val="22"/>
                <w:szCs w:val="22"/>
                <w:lang w:eastAsia="en-GB"/>
              </w:rPr>
              <w:t>2.4</w:t>
            </w:r>
          </w:p>
        </w:tc>
        <w:tc>
          <w:tcPr>
            <w:tcW w:w="1318" w:type="pct"/>
            <w:shd w:val="clear" w:color="auto" w:fill="auto"/>
            <w:noWrap/>
            <w:vAlign w:val="bottom"/>
          </w:tcPr>
          <w:p w14:paraId="6CCB90D6" w14:textId="77777777" w:rsidR="001F27D2" w:rsidRPr="007C1538" w:rsidRDefault="001F27D2" w:rsidP="007C1538">
            <w:pPr>
              <w:spacing w:before="0" w:after="0"/>
              <w:jc w:val="center"/>
              <w:rPr>
                <w:rFonts w:cs="Calibri"/>
                <w:color w:val="000000"/>
                <w:sz w:val="22"/>
                <w:szCs w:val="22"/>
                <w:lang w:eastAsia="en-GB"/>
              </w:rPr>
            </w:pPr>
            <w:r w:rsidRPr="007C1538">
              <w:rPr>
                <w:rFonts w:cs="Calibri"/>
                <w:color w:val="000000"/>
                <w:sz w:val="22"/>
                <w:szCs w:val="22"/>
                <w:lang w:eastAsia="en-GB"/>
              </w:rPr>
              <w:t>7.3</w:t>
            </w:r>
          </w:p>
        </w:tc>
      </w:tr>
      <w:tr w:rsidR="001F27D2" w:rsidRPr="007C1538" w14:paraId="7A8C3D80" w14:textId="77777777" w:rsidTr="007C1538">
        <w:tc>
          <w:tcPr>
            <w:tcW w:w="1128" w:type="pct"/>
            <w:shd w:val="clear" w:color="auto" w:fill="auto"/>
            <w:noWrap/>
            <w:vAlign w:val="bottom"/>
          </w:tcPr>
          <w:p w14:paraId="4E4BE8E8" w14:textId="77777777" w:rsidR="001F27D2" w:rsidRPr="007C1538" w:rsidRDefault="001F27D2" w:rsidP="007C1538">
            <w:pPr>
              <w:spacing w:before="0" w:after="0"/>
              <w:rPr>
                <w:rFonts w:cs="Calibri"/>
                <w:color w:val="000000"/>
                <w:sz w:val="22"/>
                <w:szCs w:val="22"/>
                <w:lang w:eastAsia="en-GB"/>
              </w:rPr>
            </w:pPr>
            <w:r w:rsidRPr="007C1538">
              <w:rPr>
                <w:rFonts w:cs="Calibri"/>
                <w:color w:val="000000"/>
                <w:sz w:val="22"/>
                <w:szCs w:val="22"/>
                <w:lang w:eastAsia="en-GB"/>
              </w:rPr>
              <w:t>Other</w:t>
            </w:r>
          </w:p>
        </w:tc>
        <w:tc>
          <w:tcPr>
            <w:tcW w:w="1318" w:type="pct"/>
            <w:shd w:val="clear" w:color="auto" w:fill="auto"/>
            <w:noWrap/>
            <w:vAlign w:val="bottom"/>
          </w:tcPr>
          <w:p w14:paraId="5132D88F" w14:textId="77777777" w:rsidR="001F27D2" w:rsidRPr="007C1538" w:rsidRDefault="001F27D2" w:rsidP="007C1538">
            <w:pPr>
              <w:spacing w:before="0" w:after="0"/>
              <w:jc w:val="center"/>
              <w:rPr>
                <w:rFonts w:cs="Calibri"/>
                <w:color w:val="000000"/>
                <w:sz w:val="22"/>
                <w:szCs w:val="22"/>
                <w:lang w:eastAsia="en-GB"/>
              </w:rPr>
            </w:pPr>
            <w:r w:rsidRPr="007C1538">
              <w:rPr>
                <w:rFonts w:cs="Calibri"/>
                <w:color w:val="000000"/>
                <w:sz w:val="22"/>
                <w:szCs w:val="22"/>
                <w:lang w:eastAsia="en-GB"/>
              </w:rPr>
              <w:t>4.1</w:t>
            </w:r>
          </w:p>
        </w:tc>
        <w:tc>
          <w:tcPr>
            <w:tcW w:w="1236" w:type="pct"/>
            <w:shd w:val="clear" w:color="auto" w:fill="auto"/>
            <w:noWrap/>
            <w:vAlign w:val="bottom"/>
          </w:tcPr>
          <w:p w14:paraId="26AABC58" w14:textId="77777777" w:rsidR="001F27D2" w:rsidRPr="007C1538" w:rsidRDefault="001F27D2" w:rsidP="007C1538">
            <w:pPr>
              <w:spacing w:before="0" w:after="0"/>
              <w:jc w:val="center"/>
              <w:rPr>
                <w:rFonts w:cs="Calibri"/>
                <w:color w:val="000000"/>
                <w:sz w:val="22"/>
                <w:szCs w:val="22"/>
                <w:lang w:eastAsia="en-GB"/>
              </w:rPr>
            </w:pPr>
            <w:r w:rsidRPr="007C1538">
              <w:rPr>
                <w:rFonts w:cs="Calibri"/>
                <w:color w:val="000000"/>
                <w:sz w:val="22"/>
                <w:szCs w:val="22"/>
                <w:lang w:eastAsia="en-GB"/>
              </w:rPr>
              <w:t>0.9</w:t>
            </w:r>
          </w:p>
        </w:tc>
        <w:tc>
          <w:tcPr>
            <w:tcW w:w="1318" w:type="pct"/>
            <w:shd w:val="clear" w:color="auto" w:fill="auto"/>
            <w:noWrap/>
            <w:vAlign w:val="bottom"/>
          </w:tcPr>
          <w:p w14:paraId="7F084000" w14:textId="77777777" w:rsidR="001F27D2" w:rsidRPr="007C1538" w:rsidRDefault="001F27D2" w:rsidP="007C1538">
            <w:pPr>
              <w:spacing w:before="0" w:after="0"/>
              <w:jc w:val="center"/>
              <w:rPr>
                <w:rFonts w:cs="Calibri"/>
                <w:color w:val="000000"/>
                <w:sz w:val="22"/>
                <w:szCs w:val="22"/>
                <w:lang w:eastAsia="en-GB"/>
              </w:rPr>
            </w:pPr>
            <w:r w:rsidRPr="007C1538">
              <w:rPr>
                <w:rFonts w:cs="Calibri"/>
                <w:color w:val="000000"/>
                <w:sz w:val="22"/>
                <w:szCs w:val="22"/>
                <w:lang w:eastAsia="en-GB"/>
              </w:rPr>
              <w:t>1.5</w:t>
            </w:r>
          </w:p>
        </w:tc>
      </w:tr>
      <w:tr w:rsidR="001F27D2" w:rsidRPr="007C1538" w14:paraId="7183D4FA" w14:textId="77777777" w:rsidTr="007C1538">
        <w:tc>
          <w:tcPr>
            <w:tcW w:w="1128" w:type="pct"/>
            <w:shd w:val="clear" w:color="auto" w:fill="auto"/>
            <w:noWrap/>
            <w:vAlign w:val="bottom"/>
            <w:hideMark/>
          </w:tcPr>
          <w:p w14:paraId="7120614A" w14:textId="77777777" w:rsidR="001F27D2" w:rsidRPr="007C1538" w:rsidRDefault="001F27D2" w:rsidP="007C1538">
            <w:pPr>
              <w:spacing w:before="0" w:after="0"/>
              <w:rPr>
                <w:rFonts w:cs="Calibri"/>
                <w:b/>
                <w:color w:val="000000"/>
                <w:sz w:val="22"/>
                <w:szCs w:val="22"/>
                <w:lang w:eastAsia="en-GB"/>
              </w:rPr>
            </w:pPr>
            <w:r w:rsidRPr="007C1538">
              <w:rPr>
                <w:rFonts w:cs="Calibri"/>
                <w:b/>
                <w:color w:val="000000"/>
                <w:sz w:val="22"/>
                <w:szCs w:val="22"/>
                <w:lang w:eastAsia="en-GB"/>
              </w:rPr>
              <w:t>Total</w:t>
            </w:r>
          </w:p>
        </w:tc>
        <w:tc>
          <w:tcPr>
            <w:tcW w:w="1318" w:type="pct"/>
            <w:shd w:val="clear" w:color="auto" w:fill="auto"/>
            <w:noWrap/>
            <w:vAlign w:val="bottom"/>
          </w:tcPr>
          <w:p w14:paraId="02415596" w14:textId="77777777" w:rsidR="001F27D2" w:rsidRPr="007C1538" w:rsidRDefault="001F27D2" w:rsidP="007C1538">
            <w:pPr>
              <w:spacing w:before="0" w:after="0"/>
              <w:jc w:val="center"/>
              <w:rPr>
                <w:rFonts w:cs="Calibri"/>
                <w:b/>
                <w:color w:val="000000"/>
                <w:sz w:val="22"/>
                <w:szCs w:val="22"/>
                <w:lang w:eastAsia="en-GB"/>
              </w:rPr>
            </w:pPr>
            <w:r w:rsidRPr="007C1538">
              <w:rPr>
                <w:rFonts w:cs="Calibri"/>
                <w:b/>
                <w:color w:val="000000"/>
                <w:sz w:val="22"/>
                <w:szCs w:val="22"/>
                <w:lang w:eastAsia="en-GB"/>
              </w:rPr>
              <w:t>100.0</w:t>
            </w:r>
          </w:p>
        </w:tc>
        <w:tc>
          <w:tcPr>
            <w:tcW w:w="1236" w:type="pct"/>
            <w:shd w:val="clear" w:color="auto" w:fill="auto"/>
            <w:noWrap/>
            <w:vAlign w:val="bottom"/>
          </w:tcPr>
          <w:p w14:paraId="1F7D1F28" w14:textId="77777777" w:rsidR="001F27D2" w:rsidRPr="007C1538" w:rsidRDefault="001F27D2" w:rsidP="007C1538">
            <w:pPr>
              <w:spacing w:before="0" w:after="0"/>
              <w:jc w:val="center"/>
              <w:rPr>
                <w:rFonts w:cs="Calibri"/>
                <w:b/>
                <w:color w:val="000000"/>
                <w:sz w:val="22"/>
                <w:szCs w:val="22"/>
                <w:lang w:eastAsia="en-GB"/>
              </w:rPr>
            </w:pPr>
            <w:r w:rsidRPr="007C1538">
              <w:rPr>
                <w:rFonts w:cs="Calibri"/>
                <w:b/>
                <w:color w:val="000000"/>
                <w:sz w:val="22"/>
                <w:szCs w:val="22"/>
                <w:lang w:eastAsia="en-GB"/>
              </w:rPr>
              <w:t>100.0</w:t>
            </w:r>
          </w:p>
        </w:tc>
        <w:tc>
          <w:tcPr>
            <w:tcW w:w="1318" w:type="pct"/>
            <w:shd w:val="clear" w:color="auto" w:fill="auto"/>
            <w:noWrap/>
            <w:vAlign w:val="bottom"/>
          </w:tcPr>
          <w:p w14:paraId="1E20F5D6" w14:textId="77777777" w:rsidR="001F27D2" w:rsidRPr="007C1538" w:rsidRDefault="001F27D2" w:rsidP="007C1538">
            <w:pPr>
              <w:spacing w:before="0" w:after="0"/>
              <w:jc w:val="center"/>
              <w:rPr>
                <w:rFonts w:cs="Calibri"/>
                <w:b/>
                <w:color w:val="000000"/>
                <w:sz w:val="22"/>
                <w:szCs w:val="22"/>
                <w:lang w:eastAsia="en-GB"/>
              </w:rPr>
            </w:pPr>
            <w:r w:rsidRPr="007C1538">
              <w:rPr>
                <w:rFonts w:cs="Calibri"/>
                <w:b/>
                <w:color w:val="000000"/>
                <w:sz w:val="22"/>
                <w:szCs w:val="22"/>
                <w:lang w:eastAsia="en-GB"/>
              </w:rPr>
              <w:t>100.0</w:t>
            </w:r>
          </w:p>
        </w:tc>
      </w:tr>
      <w:tr w:rsidR="001F27D2" w:rsidRPr="007C1538" w14:paraId="65F9639E" w14:textId="77777777" w:rsidTr="007C1538">
        <w:tc>
          <w:tcPr>
            <w:tcW w:w="1128" w:type="pct"/>
            <w:shd w:val="clear" w:color="auto" w:fill="auto"/>
            <w:noWrap/>
            <w:vAlign w:val="bottom"/>
            <w:hideMark/>
          </w:tcPr>
          <w:p w14:paraId="698E6A89" w14:textId="77777777" w:rsidR="001F27D2" w:rsidRPr="007C1538" w:rsidRDefault="001F27D2" w:rsidP="007C1538">
            <w:pPr>
              <w:spacing w:before="0" w:after="0"/>
              <w:rPr>
                <w:rFonts w:cs="Calibri"/>
                <w:i/>
                <w:color w:val="000000"/>
                <w:sz w:val="22"/>
                <w:szCs w:val="22"/>
                <w:lang w:eastAsia="en-GB"/>
              </w:rPr>
            </w:pPr>
            <w:r w:rsidRPr="007C1538">
              <w:rPr>
                <w:rFonts w:cs="Calibri"/>
                <w:i/>
                <w:color w:val="000000"/>
                <w:sz w:val="22"/>
                <w:szCs w:val="22"/>
                <w:lang w:eastAsia="en-GB"/>
              </w:rPr>
              <w:t>Base</w:t>
            </w:r>
          </w:p>
        </w:tc>
        <w:tc>
          <w:tcPr>
            <w:tcW w:w="1318" w:type="pct"/>
            <w:shd w:val="clear" w:color="auto" w:fill="auto"/>
            <w:noWrap/>
            <w:vAlign w:val="bottom"/>
          </w:tcPr>
          <w:p w14:paraId="179A0362" w14:textId="77777777" w:rsidR="001F27D2" w:rsidRPr="007C1538" w:rsidRDefault="001F27D2" w:rsidP="007C1538">
            <w:pPr>
              <w:spacing w:before="0" w:after="0"/>
              <w:jc w:val="center"/>
              <w:rPr>
                <w:rFonts w:cs="Calibri"/>
                <w:i/>
                <w:color w:val="000000"/>
                <w:sz w:val="22"/>
                <w:szCs w:val="22"/>
                <w:lang w:eastAsia="en-GB"/>
              </w:rPr>
            </w:pPr>
            <w:r w:rsidRPr="007C1538">
              <w:rPr>
                <w:rFonts w:cs="Calibri"/>
                <w:i/>
                <w:color w:val="000000"/>
                <w:sz w:val="22"/>
                <w:szCs w:val="22"/>
                <w:lang w:eastAsia="en-GB"/>
              </w:rPr>
              <w:t>97</w:t>
            </w:r>
          </w:p>
        </w:tc>
        <w:tc>
          <w:tcPr>
            <w:tcW w:w="1236" w:type="pct"/>
            <w:shd w:val="clear" w:color="auto" w:fill="auto"/>
            <w:noWrap/>
            <w:vAlign w:val="bottom"/>
          </w:tcPr>
          <w:p w14:paraId="0A807283" w14:textId="77777777" w:rsidR="001F27D2" w:rsidRPr="007C1538" w:rsidRDefault="001F27D2" w:rsidP="007C1538">
            <w:pPr>
              <w:spacing w:before="0" w:after="0"/>
              <w:jc w:val="center"/>
              <w:rPr>
                <w:rFonts w:cs="Calibri"/>
                <w:i/>
                <w:color w:val="000000"/>
                <w:sz w:val="22"/>
                <w:szCs w:val="22"/>
                <w:lang w:eastAsia="en-GB"/>
              </w:rPr>
            </w:pPr>
            <w:r w:rsidRPr="007C1538">
              <w:rPr>
                <w:rFonts w:cs="Calibri"/>
                <w:i/>
                <w:color w:val="000000"/>
                <w:sz w:val="22"/>
                <w:szCs w:val="22"/>
                <w:lang w:eastAsia="en-GB"/>
              </w:rPr>
              <w:t>418</w:t>
            </w:r>
          </w:p>
        </w:tc>
        <w:tc>
          <w:tcPr>
            <w:tcW w:w="1318" w:type="pct"/>
            <w:shd w:val="clear" w:color="auto" w:fill="auto"/>
            <w:noWrap/>
            <w:vAlign w:val="bottom"/>
          </w:tcPr>
          <w:p w14:paraId="7CB5CFFF" w14:textId="77777777" w:rsidR="001F27D2" w:rsidRPr="007C1538" w:rsidRDefault="001F27D2" w:rsidP="007C1538">
            <w:pPr>
              <w:spacing w:before="0" w:after="0"/>
              <w:jc w:val="center"/>
              <w:rPr>
                <w:rFonts w:cs="Calibri"/>
                <w:i/>
                <w:color w:val="000000"/>
                <w:sz w:val="22"/>
                <w:szCs w:val="22"/>
                <w:lang w:eastAsia="en-GB"/>
              </w:rPr>
            </w:pPr>
            <w:r w:rsidRPr="007C1538">
              <w:rPr>
                <w:rFonts w:cs="Calibri"/>
                <w:i/>
                <w:color w:val="000000"/>
                <w:sz w:val="22"/>
                <w:szCs w:val="22"/>
                <w:lang w:eastAsia="en-GB"/>
              </w:rPr>
              <w:t>515</w:t>
            </w:r>
          </w:p>
        </w:tc>
      </w:tr>
    </w:tbl>
    <w:p w14:paraId="2B6F9983" w14:textId="77777777" w:rsidR="001F27D2" w:rsidRPr="002B2A7F" w:rsidRDefault="001F27D2" w:rsidP="001F27D2">
      <w:pPr>
        <w:pStyle w:val="Maintext"/>
        <w:numPr>
          <w:ilvl w:val="0"/>
          <w:numId w:val="0"/>
        </w:numPr>
        <w:ind w:left="720"/>
        <w:rPr>
          <w:rFonts w:asciiTheme="minorHAnsi" w:hAnsiTheme="minorHAnsi" w:cs="Calibri"/>
          <w:sz w:val="20"/>
          <w:szCs w:val="20"/>
        </w:rPr>
      </w:pPr>
      <w:r w:rsidRPr="002B2A7F">
        <w:rPr>
          <w:rFonts w:asciiTheme="minorHAnsi" w:hAnsiTheme="minorHAnsi" w:cs="Calibri"/>
          <w:sz w:val="20"/>
          <w:szCs w:val="20"/>
        </w:rPr>
        <w:t xml:space="preserve">Based on what existing and newly-forming households would expect to move to </w:t>
      </w:r>
    </w:p>
    <w:p w14:paraId="73610CC1" w14:textId="77777777" w:rsidR="001F27D2" w:rsidRPr="002B2A7F" w:rsidRDefault="001F27D2" w:rsidP="001F27D2">
      <w:pPr>
        <w:pStyle w:val="Maintext"/>
        <w:numPr>
          <w:ilvl w:val="0"/>
          <w:numId w:val="0"/>
        </w:numPr>
        <w:ind w:firstLine="709"/>
        <w:rPr>
          <w:rFonts w:asciiTheme="minorHAnsi" w:hAnsiTheme="minorHAnsi" w:cs="Calibri"/>
          <w:sz w:val="20"/>
          <w:szCs w:val="20"/>
        </w:rPr>
      </w:pPr>
      <w:r w:rsidRPr="002B2A7F">
        <w:rPr>
          <w:rFonts w:asciiTheme="minorHAnsi" w:hAnsiTheme="minorHAnsi" w:cs="Calibri"/>
          <w:sz w:val="20"/>
          <w:szCs w:val="20"/>
        </w:rPr>
        <w:t xml:space="preserve">Source: 2018 Household Survey </w:t>
      </w:r>
    </w:p>
    <w:p w14:paraId="6D3343F8" w14:textId="77777777" w:rsidR="001F27D2" w:rsidRPr="002B2A7F" w:rsidRDefault="001F27D2" w:rsidP="001F27D2">
      <w:pPr>
        <w:rPr>
          <w:rFonts w:asciiTheme="minorHAnsi" w:hAnsiTheme="minorHAnsi" w:cs="Calibri"/>
        </w:rPr>
      </w:pPr>
    </w:p>
    <w:p w14:paraId="7CFA03C1" w14:textId="77777777" w:rsidR="001F27D2" w:rsidRPr="002B2A7F" w:rsidRDefault="001F27D2" w:rsidP="001F27D2">
      <w:pPr>
        <w:pStyle w:val="Heading2"/>
        <w:rPr>
          <w:rFonts w:asciiTheme="minorHAnsi" w:hAnsiTheme="minorHAnsi"/>
        </w:rPr>
      </w:pPr>
      <w:bookmarkStart w:id="423" w:name="_Toc529780761"/>
      <w:bookmarkStart w:id="424" w:name="_Toc531122885"/>
      <w:bookmarkStart w:id="425" w:name="_Toc532812417"/>
      <w:r w:rsidRPr="002B2A7F">
        <w:rPr>
          <w:rFonts w:asciiTheme="minorHAnsi" w:hAnsiTheme="minorHAnsi"/>
        </w:rPr>
        <w:t>Summary</w:t>
      </w:r>
      <w:bookmarkEnd w:id="423"/>
      <w:bookmarkEnd w:id="424"/>
      <w:bookmarkEnd w:id="425"/>
    </w:p>
    <w:p w14:paraId="1E6F0B2F" w14:textId="77777777" w:rsidR="001F27D2" w:rsidRPr="002B2A7F" w:rsidRDefault="001F27D2" w:rsidP="001F27D2">
      <w:pPr>
        <w:pStyle w:val="Reporttext"/>
      </w:pPr>
      <w:r w:rsidRPr="002B2A7F">
        <w:t>This chapter and the associated appendix provide a clear definition of housing need and affordable housing required, along with a step-by-step explanation of the housing needs assessment model.</w:t>
      </w:r>
    </w:p>
    <w:p w14:paraId="250CDE85" w14:textId="5146D702" w:rsidR="001F27D2" w:rsidRPr="002B2A7F" w:rsidRDefault="001F27D2" w:rsidP="001F27D2">
      <w:pPr>
        <w:pStyle w:val="Reporttext"/>
      </w:pPr>
      <w:r w:rsidRPr="002B2A7F">
        <w:t>Analysis has identified a total of 2,6</w:t>
      </w:r>
      <w:r w:rsidR="001F1204">
        <w:t>2</w:t>
      </w:r>
      <w:r w:rsidRPr="002B2A7F">
        <w:t xml:space="preserve">9 existing households in housing need, representing 11% of all households across the district based on </w:t>
      </w:r>
      <w:r w:rsidR="00552F21">
        <w:t>h</w:t>
      </w:r>
      <w:r w:rsidRPr="002B2A7F">
        <w:t xml:space="preserve">ousehold </w:t>
      </w:r>
      <w:r w:rsidR="00552F21">
        <w:t>s</w:t>
      </w:r>
      <w:r w:rsidRPr="002B2A7F">
        <w:t xml:space="preserve">urvey evidence. </w:t>
      </w:r>
    </w:p>
    <w:p w14:paraId="79C162FD" w14:textId="5B933A46" w:rsidR="001F27D2" w:rsidRPr="002B2A7F" w:rsidRDefault="001F27D2" w:rsidP="001F27D2">
      <w:pPr>
        <w:pStyle w:val="Reporttext"/>
      </w:pPr>
      <w:r w:rsidRPr="002B2A7F">
        <w:rPr>
          <w:lang w:val="en-US"/>
        </w:rPr>
        <w:t>Affordable housing need analysis</w:t>
      </w:r>
      <w:r w:rsidRPr="002B2A7F">
        <w:t xml:space="preserve"> reveals that there is a net annual imbalance of 264 affordable dwellings across the </w:t>
      </w:r>
      <w:r w:rsidR="00552F21">
        <w:t>D</w:t>
      </w:r>
      <w:r w:rsidRPr="002B2A7F">
        <w:t>istrict each year over 5-year period 2018/19 to 2022/23.</w:t>
      </w:r>
    </w:p>
    <w:p w14:paraId="0AFF797A" w14:textId="66FCE9AA" w:rsidR="001F27D2" w:rsidRPr="002B2A7F" w:rsidRDefault="001F27D2" w:rsidP="001F27D2">
      <w:pPr>
        <w:pStyle w:val="Reporttext"/>
      </w:pPr>
      <w:r w:rsidRPr="002B2A7F">
        <w:t xml:space="preserve">Regarding the size of affordable dwellings, analysis identifies a need for 70.4% smaller one and two-bedroom general needs, 25.3% three or more-bedroom general needs and 4.3% older person dwellings. Analysis suggests that a mix of houses (60.3%) and flats (30.9%) is appropriate along with </w:t>
      </w:r>
      <w:r w:rsidR="00552F21">
        <w:t xml:space="preserve">a </w:t>
      </w:r>
      <w:r w:rsidRPr="002B2A7F">
        <w:t>small number of bungalows (7.3%) and other property types (1.5%).</w:t>
      </w:r>
    </w:p>
    <w:p w14:paraId="05E3F0A6" w14:textId="77777777" w:rsidR="001F27D2" w:rsidRPr="002B2A7F" w:rsidRDefault="001F27D2" w:rsidP="001F27D2">
      <w:pPr>
        <w:pStyle w:val="Reporttext"/>
      </w:pPr>
      <w:r w:rsidRPr="002B2A7F">
        <w:t xml:space="preserve">Analysis of the preferences of households needing affordable housing and what could be afforded suggests a tenure split of 55% rented and 45% intermediate tenure. However, any final splits would be subject to economic viability and the development programmes of housing associations and private developers. </w:t>
      </w:r>
    </w:p>
    <w:p w14:paraId="1493D40B" w14:textId="2B28F107" w:rsidR="007C1538" w:rsidRDefault="007C1538">
      <w:pPr>
        <w:spacing w:before="0" w:after="0"/>
        <w:jc w:val="left"/>
      </w:pPr>
      <w:r>
        <w:br w:type="page"/>
      </w:r>
    </w:p>
    <w:p w14:paraId="378C4A82" w14:textId="77777777" w:rsidR="001F27D2" w:rsidRPr="002B2A7F" w:rsidRDefault="001F27D2" w:rsidP="001F27D2">
      <w:pPr>
        <w:pStyle w:val="Heading1"/>
        <w:spacing w:before="0"/>
        <w:jc w:val="left"/>
        <w:rPr>
          <w:rFonts w:asciiTheme="minorHAnsi" w:hAnsiTheme="minorHAnsi" w:cs="Calibri"/>
        </w:rPr>
      </w:pPr>
      <w:bookmarkStart w:id="426" w:name="_Toc529651998"/>
      <w:bookmarkStart w:id="427" w:name="_Toc529780762"/>
      <w:bookmarkStart w:id="428" w:name="_Toc531122886"/>
      <w:bookmarkStart w:id="429" w:name="_Toc532812418"/>
      <w:bookmarkStart w:id="430" w:name="_Toc395193564"/>
      <w:bookmarkStart w:id="431" w:name="_Toc524935593"/>
      <w:bookmarkStart w:id="432" w:name="_Toc321860596"/>
      <w:bookmarkStart w:id="433" w:name="_Toc341182619"/>
      <w:bookmarkStart w:id="434" w:name="_Toc399864412"/>
      <w:bookmarkStart w:id="435" w:name="_Toc428528506"/>
      <w:bookmarkStart w:id="436" w:name="_Toc430084600"/>
      <w:bookmarkStart w:id="437" w:name="_Toc430782039"/>
      <w:bookmarkEnd w:id="300"/>
      <w:bookmarkEnd w:id="378"/>
      <w:r w:rsidRPr="002B2A7F">
        <w:rPr>
          <w:rFonts w:asciiTheme="minorHAnsi" w:hAnsiTheme="minorHAnsi" w:cs="Calibri"/>
        </w:rPr>
        <w:lastRenderedPageBreak/>
        <w:t>The needs of different groups</w:t>
      </w:r>
      <w:bookmarkEnd w:id="426"/>
      <w:bookmarkEnd w:id="427"/>
      <w:bookmarkEnd w:id="428"/>
      <w:bookmarkEnd w:id="429"/>
    </w:p>
    <w:p w14:paraId="268DCBDC" w14:textId="77777777" w:rsidR="001F27D2" w:rsidRPr="002B2A7F" w:rsidRDefault="001F27D2" w:rsidP="001F27D2">
      <w:pPr>
        <w:pStyle w:val="Heading2"/>
        <w:rPr>
          <w:rFonts w:asciiTheme="minorHAnsi" w:hAnsiTheme="minorHAnsi"/>
        </w:rPr>
      </w:pPr>
      <w:bookmarkStart w:id="438" w:name="_Toc360192638"/>
      <w:bookmarkStart w:id="439" w:name="_Toc398711716"/>
      <w:bookmarkStart w:id="440" w:name="_Toc399864403"/>
      <w:bookmarkStart w:id="441" w:name="_Toc529780763"/>
      <w:bookmarkStart w:id="442" w:name="_Toc531122887"/>
      <w:bookmarkStart w:id="443" w:name="_Toc532812419"/>
      <w:bookmarkEnd w:id="430"/>
      <w:bookmarkEnd w:id="431"/>
      <w:r w:rsidRPr="002B2A7F">
        <w:rPr>
          <w:rFonts w:asciiTheme="minorHAnsi" w:hAnsiTheme="minorHAnsi"/>
        </w:rPr>
        <w:t>Introduction</w:t>
      </w:r>
      <w:bookmarkEnd w:id="438"/>
      <w:bookmarkEnd w:id="439"/>
      <w:bookmarkEnd w:id="440"/>
      <w:bookmarkEnd w:id="441"/>
      <w:bookmarkEnd w:id="442"/>
      <w:bookmarkEnd w:id="443"/>
    </w:p>
    <w:p w14:paraId="28D2884C" w14:textId="77777777" w:rsidR="001F27D2" w:rsidRPr="002B2A7F" w:rsidRDefault="001F27D2" w:rsidP="001F27D2">
      <w:pPr>
        <w:pStyle w:val="Reporttext"/>
      </w:pPr>
      <w:r w:rsidRPr="002B2A7F">
        <w:t xml:space="preserve">2018 PPG makes specific reference to: affordable housing, housing for older people, housing for people with disabilities, the private rented sector, self-build and custom housebuilding and student housing. </w:t>
      </w:r>
    </w:p>
    <w:p w14:paraId="2FC38920" w14:textId="77777777" w:rsidR="001F27D2" w:rsidRPr="002B2A7F" w:rsidRDefault="001F27D2" w:rsidP="001F27D2">
      <w:pPr>
        <w:pStyle w:val="Reporttext"/>
      </w:pPr>
      <w:r w:rsidRPr="002B2A7F">
        <w:t>The NPPF (2018) (Paragraph 61) acknowledges that there are a range of household groups who have particular housing requirements. It sets out that the needs of different groups should be assessed and reflected in planning policy in terms of the size, type and tenure of housing. It states that these households include, but are not limited to: those who require affordable housing, families with children, older people, students, people with disabilities, service families, travellers, people who rent their homes and people wishing to commission or build their own homes.</w:t>
      </w:r>
    </w:p>
    <w:p w14:paraId="7B706F55" w14:textId="0F9D0231" w:rsidR="001F27D2" w:rsidRPr="002B2A7F" w:rsidRDefault="001F27D2" w:rsidP="001F27D2">
      <w:pPr>
        <w:pStyle w:val="Reporttext"/>
      </w:pPr>
      <w:r w:rsidRPr="002B2A7F">
        <w:t>The needs of those who require affordable housing have been considered in Chapter 5. This chapter focuses on the needs of other groups as set out in the NPPF</w:t>
      </w:r>
      <w:r w:rsidR="00552F21">
        <w:t>.</w:t>
      </w:r>
    </w:p>
    <w:p w14:paraId="236C0080" w14:textId="77777777" w:rsidR="001F27D2" w:rsidRPr="002B2A7F" w:rsidRDefault="001F27D2" w:rsidP="001F27D2">
      <w:pPr>
        <w:rPr>
          <w:rFonts w:asciiTheme="minorHAnsi" w:hAnsiTheme="minorHAnsi" w:cs="Calibri"/>
        </w:rPr>
      </w:pPr>
      <w:bookmarkStart w:id="444" w:name="_Toc360192639"/>
      <w:bookmarkStart w:id="445" w:name="_Toc398711717"/>
      <w:bookmarkStart w:id="446" w:name="_Toc399864404"/>
    </w:p>
    <w:p w14:paraId="015BE248" w14:textId="77777777" w:rsidR="001F27D2" w:rsidRPr="002B2A7F" w:rsidRDefault="001F27D2" w:rsidP="001F27D2">
      <w:pPr>
        <w:pStyle w:val="Heading2"/>
        <w:rPr>
          <w:rFonts w:asciiTheme="minorHAnsi" w:hAnsiTheme="minorHAnsi"/>
        </w:rPr>
      </w:pPr>
      <w:bookmarkStart w:id="447" w:name="_Toc529780764"/>
      <w:bookmarkStart w:id="448" w:name="_Toc531122888"/>
      <w:bookmarkStart w:id="449" w:name="_Toc532812420"/>
      <w:r w:rsidRPr="002B2A7F">
        <w:rPr>
          <w:rFonts w:asciiTheme="minorHAnsi" w:hAnsiTheme="minorHAnsi"/>
        </w:rPr>
        <w:t>The private rented sector</w:t>
      </w:r>
      <w:bookmarkEnd w:id="447"/>
      <w:bookmarkEnd w:id="448"/>
      <w:bookmarkEnd w:id="449"/>
    </w:p>
    <w:p w14:paraId="3D0484FA" w14:textId="77038E48" w:rsidR="001F27D2" w:rsidRPr="002B2A7F" w:rsidRDefault="001F27D2" w:rsidP="001F27D2">
      <w:pPr>
        <w:pStyle w:val="Reporttext"/>
      </w:pPr>
      <w:r w:rsidRPr="002B2A7F">
        <w:t xml:space="preserve">The 2018 </w:t>
      </w:r>
      <w:r w:rsidR="00552F21">
        <w:t>h</w:t>
      </w:r>
      <w:r w:rsidRPr="002B2A7F">
        <w:t xml:space="preserve">ousehold </w:t>
      </w:r>
      <w:r w:rsidR="00552F21">
        <w:t>s</w:t>
      </w:r>
      <w:r w:rsidRPr="002B2A7F">
        <w:t xml:space="preserve">urvey found that the private rented sector accommodates around 18.6% (4,400) of households across the district. The characteristics of the private rented sector in </w:t>
      </w:r>
      <w:r w:rsidR="008C3FF1">
        <w:t xml:space="preserve">Eden </w:t>
      </w:r>
      <w:r w:rsidRPr="002B2A7F">
        <w:t>have been reviewed in Chapter 4.</w:t>
      </w:r>
    </w:p>
    <w:p w14:paraId="716E33B9" w14:textId="77777777" w:rsidR="001F27D2" w:rsidRPr="002B2A7F" w:rsidRDefault="001F27D2" w:rsidP="001F27D2">
      <w:pPr>
        <w:pStyle w:val="Reporttext"/>
        <w:numPr>
          <w:ilvl w:val="0"/>
          <w:numId w:val="0"/>
        </w:numPr>
        <w:rPr>
          <w:highlight w:val="yellow"/>
        </w:rPr>
      </w:pPr>
    </w:p>
    <w:p w14:paraId="2BC341C2" w14:textId="77777777" w:rsidR="001F27D2" w:rsidRPr="002B2A7F" w:rsidRDefault="001F27D2" w:rsidP="001F27D2">
      <w:pPr>
        <w:pStyle w:val="Heading2"/>
        <w:rPr>
          <w:rFonts w:asciiTheme="minorHAnsi" w:hAnsiTheme="minorHAnsi"/>
        </w:rPr>
      </w:pPr>
      <w:bookmarkStart w:id="450" w:name="_Toc529780765"/>
      <w:bookmarkStart w:id="451" w:name="_Toc531122889"/>
      <w:bookmarkStart w:id="452" w:name="_Toc532812421"/>
      <w:r w:rsidRPr="002B2A7F">
        <w:rPr>
          <w:rFonts w:asciiTheme="minorHAnsi" w:hAnsiTheme="minorHAnsi"/>
        </w:rPr>
        <w:t>Self-build and custom housebuilding</w:t>
      </w:r>
      <w:bookmarkEnd w:id="450"/>
      <w:bookmarkEnd w:id="451"/>
      <w:bookmarkEnd w:id="452"/>
    </w:p>
    <w:p w14:paraId="7CBE8B8F" w14:textId="77777777" w:rsidR="001F27D2" w:rsidRPr="002B2A7F" w:rsidRDefault="001F27D2" w:rsidP="001F27D2">
      <w:pPr>
        <w:pStyle w:val="Reporttext"/>
      </w:pPr>
      <w:r w:rsidRPr="002B2A7F">
        <w:t>The National Planning Policy Framework (NPPF) 2012 set out that the Government wants to enable more people to build their own homes and wants to make this form of housing a mainstream housing option. The Self-Build and Custom Housebuilding Act 2015 and subsequent Self-Build and Custom Housebuilding (Register) Regulations 2016 require authorities to maintain a register of those who have expressed an interest in buying serviced plots. Local authorities are under a duty to have regard to these registers in carrying out their planning function.</w:t>
      </w:r>
    </w:p>
    <w:p w14:paraId="34FCF638" w14:textId="4B66A5E0" w:rsidR="001F27D2" w:rsidRPr="002B2A7F" w:rsidRDefault="001F27D2" w:rsidP="001F27D2">
      <w:pPr>
        <w:pStyle w:val="Reporttext"/>
      </w:pPr>
      <w:r w:rsidRPr="002B2A7F">
        <w:t xml:space="preserve">The </w:t>
      </w:r>
      <w:r w:rsidR="00552F21">
        <w:t>C</w:t>
      </w:r>
      <w:r w:rsidRPr="002B2A7F">
        <w:t>ouncil maintains a statutory register of households interested in acquiring self and custom-build plots.</w:t>
      </w:r>
      <w:r>
        <w:t xml:space="preserve"> This currently has 12 applicants who have expressed interest in self-build in various locations across the </w:t>
      </w:r>
      <w:r w:rsidR="00552F21">
        <w:t>D</w:t>
      </w:r>
      <w:r>
        <w:t>istrict</w:t>
      </w:r>
      <w:r w:rsidR="00552F21">
        <w:t>.</w:t>
      </w:r>
      <w:r>
        <w:t xml:space="preserve">  </w:t>
      </w:r>
      <w:r w:rsidRPr="002B2A7F">
        <w:t xml:space="preserve">The 2018 </w:t>
      </w:r>
      <w:r w:rsidR="00552F21">
        <w:t>h</w:t>
      </w:r>
      <w:r w:rsidRPr="002B2A7F">
        <w:t xml:space="preserve">ousehold </w:t>
      </w:r>
      <w:r w:rsidR="00552F21">
        <w:t>s</w:t>
      </w:r>
      <w:r w:rsidRPr="002B2A7F">
        <w:t xml:space="preserve">urvey identified 445 households who would like to move to a self-build property. The </w:t>
      </w:r>
      <w:r w:rsidR="00552F21">
        <w:t>h</w:t>
      </w:r>
      <w:r w:rsidRPr="002B2A7F">
        <w:t xml:space="preserve">ousehold </w:t>
      </w:r>
      <w:r w:rsidR="00552F21">
        <w:t>s</w:t>
      </w:r>
      <w:r w:rsidRPr="002B2A7F">
        <w:t>urvey identified the following features relating to households considering self-build:</w:t>
      </w:r>
    </w:p>
    <w:p w14:paraId="677E9330" w14:textId="333DAB4E" w:rsidR="001F27D2" w:rsidRPr="002B2A7F" w:rsidRDefault="001F27D2" w:rsidP="001F27D2">
      <w:pPr>
        <w:numPr>
          <w:ilvl w:val="0"/>
          <w:numId w:val="9"/>
        </w:numPr>
        <w:spacing w:before="0"/>
        <w:jc w:val="left"/>
        <w:rPr>
          <w:rFonts w:asciiTheme="minorHAnsi" w:hAnsiTheme="minorHAnsi" w:cs="Calibri"/>
          <w:lang w:val="x-none"/>
        </w:rPr>
      </w:pPr>
      <w:r w:rsidRPr="002B2A7F">
        <w:rPr>
          <w:rFonts w:asciiTheme="minorHAnsi" w:hAnsiTheme="minorHAnsi" w:cs="Calibri"/>
        </w:rPr>
        <w:t>40.2% are owner occupiers, 48.5% live in private rented accommodation and the remaining 11.3% live in affordable accommodation;</w:t>
      </w:r>
    </w:p>
    <w:p w14:paraId="7DE19843" w14:textId="6C2FF708" w:rsidR="001F27D2" w:rsidRPr="002B2A7F" w:rsidRDefault="001F27D2" w:rsidP="001F27D2">
      <w:pPr>
        <w:numPr>
          <w:ilvl w:val="0"/>
          <w:numId w:val="9"/>
        </w:numPr>
        <w:spacing w:before="0"/>
        <w:jc w:val="left"/>
        <w:rPr>
          <w:rFonts w:asciiTheme="minorHAnsi" w:hAnsiTheme="minorHAnsi" w:cs="Calibri"/>
        </w:rPr>
      </w:pPr>
      <w:r w:rsidRPr="002B2A7F">
        <w:rPr>
          <w:rFonts w:asciiTheme="minorHAnsi" w:hAnsiTheme="minorHAnsi" w:cs="Calibri"/>
        </w:rPr>
        <w:t>43.5% were families with children, 14.5% couples only, 13.4</w:t>
      </w:r>
      <w:r w:rsidRPr="002B2A7F">
        <w:rPr>
          <w:rFonts w:asciiTheme="minorHAnsi" w:hAnsiTheme="minorHAnsi" w:cs="Calibri"/>
          <w:lang w:val="x-none"/>
        </w:rPr>
        <w:t xml:space="preserve">% were </w:t>
      </w:r>
      <w:r w:rsidRPr="002B2A7F">
        <w:rPr>
          <w:rFonts w:asciiTheme="minorHAnsi" w:hAnsiTheme="minorHAnsi" w:cs="Calibri"/>
        </w:rPr>
        <w:t>single households, 7.5% were older singles and couples and 21.2% were other household types</w:t>
      </w:r>
      <w:r w:rsidR="00552F21">
        <w:rPr>
          <w:rFonts w:asciiTheme="minorHAnsi" w:hAnsiTheme="minorHAnsi" w:cs="Calibri"/>
        </w:rPr>
        <w:t>;</w:t>
      </w:r>
    </w:p>
    <w:p w14:paraId="529B3DE5" w14:textId="164EF910" w:rsidR="001F27D2" w:rsidRPr="002B2A7F" w:rsidRDefault="001F27D2" w:rsidP="001F27D2">
      <w:pPr>
        <w:numPr>
          <w:ilvl w:val="0"/>
          <w:numId w:val="9"/>
        </w:numPr>
        <w:spacing w:before="0"/>
        <w:jc w:val="left"/>
        <w:rPr>
          <w:rFonts w:asciiTheme="minorHAnsi" w:hAnsiTheme="minorHAnsi" w:cs="Calibri"/>
          <w:lang w:val="x-none"/>
        </w:rPr>
      </w:pPr>
      <w:r w:rsidRPr="002B2A7F">
        <w:rPr>
          <w:rFonts w:asciiTheme="minorHAnsi" w:hAnsiTheme="minorHAnsi" w:cs="Calibri"/>
        </w:rPr>
        <w:t xml:space="preserve">44.3% had a household income of less than </w:t>
      </w:r>
      <w:r w:rsidR="00552F21">
        <w:rPr>
          <w:rFonts w:asciiTheme="minorHAnsi" w:hAnsiTheme="minorHAnsi" w:cs="Calibri"/>
        </w:rPr>
        <w:t>£</w:t>
      </w:r>
      <w:r w:rsidRPr="002B2A7F">
        <w:rPr>
          <w:rFonts w:asciiTheme="minorHAnsi" w:hAnsiTheme="minorHAnsi" w:cs="Calibri"/>
        </w:rPr>
        <w:t>500 each week</w:t>
      </w:r>
      <w:r w:rsidR="00552F21">
        <w:rPr>
          <w:rFonts w:asciiTheme="minorHAnsi" w:hAnsiTheme="minorHAnsi" w:cs="Calibri"/>
        </w:rPr>
        <w:t>,</w:t>
      </w:r>
      <w:r w:rsidRPr="002B2A7F">
        <w:rPr>
          <w:rFonts w:asciiTheme="minorHAnsi" w:hAnsiTheme="minorHAnsi" w:cs="Calibri"/>
        </w:rPr>
        <w:t xml:space="preserve"> 28.3% between </w:t>
      </w:r>
      <w:r w:rsidR="00552F21">
        <w:rPr>
          <w:rFonts w:asciiTheme="minorHAnsi" w:hAnsiTheme="minorHAnsi" w:cs="Calibri"/>
        </w:rPr>
        <w:t>£</w:t>
      </w:r>
      <w:r w:rsidRPr="002B2A7F">
        <w:rPr>
          <w:rFonts w:asciiTheme="minorHAnsi" w:hAnsiTheme="minorHAnsi" w:cs="Calibri"/>
        </w:rPr>
        <w:t xml:space="preserve">500 and </w:t>
      </w:r>
      <w:r w:rsidR="00552F21">
        <w:rPr>
          <w:rFonts w:asciiTheme="minorHAnsi" w:hAnsiTheme="minorHAnsi" w:cs="Calibri"/>
        </w:rPr>
        <w:t>£</w:t>
      </w:r>
      <w:r w:rsidRPr="002B2A7F">
        <w:rPr>
          <w:rFonts w:asciiTheme="minorHAnsi" w:hAnsiTheme="minorHAnsi" w:cs="Calibri"/>
        </w:rPr>
        <w:t>750 each week and 27.3% received at least £750 each week; and</w:t>
      </w:r>
    </w:p>
    <w:p w14:paraId="28A26843" w14:textId="77777777" w:rsidR="001F27D2" w:rsidRPr="002B2A7F" w:rsidRDefault="001F27D2" w:rsidP="001F27D2">
      <w:pPr>
        <w:numPr>
          <w:ilvl w:val="0"/>
          <w:numId w:val="9"/>
        </w:numPr>
        <w:spacing w:before="0"/>
        <w:jc w:val="left"/>
        <w:rPr>
          <w:rFonts w:asciiTheme="minorHAnsi" w:hAnsiTheme="minorHAnsi"/>
        </w:rPr>
      </w:pPr>
      <w:r w:rsidRPr="002B2A7F">
        <w:rPr>
          <w:rFonts w:asciiTheme="minorHAnsi" w:hAnsiTheme="minorHAnsi" w:cs="Calibri"/>
          <w:lang w:val="en-US"/>
        </w:rPr>
        <w:lastRenderedPageBreak/>
        <w:t>Expected to move to a range of dwelling sizes – 25.2% two-bedroom, 17.4% 3-bedroom, 57.5% 4-or more bedroom dwellings;</w:t>
      </w:r>
      <w:r w:rsidRPr="002B2A7F">
        <w:rPr>
          <w:rFonts w:asciiTheme="minorHAnsi" w:hAnsiTheme="minorHAnsi"/>
        </w:rPr>
        <w:t xml:space="preserve"> </w:t>
      </w:r>
    </w:p>
    <w:p w14:paraId="7986A5A8" w14:textId="77777777" w:rsidR="001F27D2" w:rsidRPr="002B2A7F" w:rsidRDefault="001F27D2" w:rsidP="001F27D2">
      <w:pPr>
        <w:numPr>
          <w:ilvl w:val="0"/>
          <w:numId w:val="9"/>
        </w:numPr>
        <w:spacing w:before="0"/>
        <w:jc w:val="left"/>
        <w:rPr>
          <w:rFonts w:asciiTheme="minorHAnsi" w:hAnsiTheme="minorHAnsi"/>
        </w:rPr>
      </w:pPr>
      <w:r w:rsidRPr="002B2A7F">
        <w:rPr>
          <w:rFonts w:asciiTheme="minorHAnsi" w:hAnsiTheme="minorHAnsi"/>
        </w:rPr>
        <w:t xml:space="preserve">46.8% expected to move to a house, 48.2% a bungalow, 1.1% a flat and 3.8% to other property types. </w:t>
      </w:r>
    </w:p>
    <w:p w14:paraId="3D8E1DA2" w14:textId="77777777" w:rsidR="001F27D2" w:rsidRPr="002B2A7F" w:rsidRDefault="001F27D2" w:rsidP="001F27D2">
      <w:pPr>
        <w:rPr>
          <w:rFonts w:asciiTheme="minorHAnsi" w:hAnsiTheme="minorHAnsi"/>
        </w:rPr>
      </w:pPr>
    </w:p>
    <w:p w14:paraId="1013B695" w14:textId="77777777" w:rsidR="001F27D2" w:rsidRPr="002B2A7F" w:rsidRDefault="001F27D2" w:rsidP="001F27D2">
      <w:pPr>
        <w:pStyle w:val="Heading2"/>
        <w:rPr>
          <w:rFonts w:asciiTheme="minorHAnsi" w:hAnsiTheme="minorHAnsi"/>
        </w:rPr>
      </w:pPr>
      <w:bookmarkStart w:id="453" w:name="_Toc529780766"/>
      <w:bookmarkStart w:id="454" w:name="_Toc531122890"/>
      <w:bookmarkStart w:id="455" w:name="_Toc532812422"/>
      <w:r w:rsidRPr="002B2A7F">
        <w:rPr>
          <w:rFonts w:asciiTheme="minorHAnsi" w:hAnsiTheme="minorHAnsi"/>
        </w:rPr>
        <w:t>Famil</w:t>
      </w:r>
      <w:bookmarkEnd w:id="444"/>
      <w:bookmarkEnd w:id="445"/>
      <w:bookmarkEnd w:id="446"/>
      <w:r w:rsidRPr="002B2A7F">
        <w:rPr>
          <w:rFonts w:asciiTheme="minorHAnsi" w:hAnsiTheme="minorHAnsi"/>
        </w:rPr>
        <w:t>y housing/households with children</w:t>
      </w:r>
      <w:bookmarkEnd w:id="453"/>
      <w:bookmarkEnd w:id="454"/>
      <w:bookmarkEnd w:id="455"/>
    </w:p>
    <w:p w14:paraId="0900B80F" w14:textId="202AC157" w:rsidR="00855ED3" w:rsidRPr="002B2A7F" w:rsidRDefault="001F27D2" w:rsidP="001F27D2">
      <w:pPr>
        <w:pStyle w:val="Reporttext"/>
      </w:pPr>
      <w:r w:rsidRPr="002B2A7F">
        <w:t xml:space="preserve">The 2018 </w:t>
      </w:r>
      <w:r w:rsidR="00552F21">
        <w:t>h</w:t>
      </w:r>
      <w:r w:rsidRPr="002B2A7F">
        <w:t xml:space="preserve">ousehold </w:t>
      </w:r>
      <w:r w:rsidR="00552F21">
        <w:t>s</w:t>
      </w:r>
      <w:r w:rsidRPr="002B2A7F">
        <w:t xml:space="preserve">urvey found that families (that is couples and lone parents) with dependent children (aged under 18) account for 17.5% </w:t>
      </w:r>
      <w:r w:rsidR="00552F21">
        <w:t>of</w:t>
      </w:r>
      <w:r w:rsidRPr="002B2A7F">
        <w:t xml:space="preserve"> households across the </w:t>
      </w:r>
      <w:r w:rsidR="00552F21">
        <w:t>D</w:t>
      </w:r>
      <w:r w:rsidRPr="002B2A7F">
        <w:t xml:space="preserve">istrict. A further 11.5% of all households are couples and lone parents with adult children (aged 18 or over) living with them. The analysis assumes therefore a total of 29% of households who are families (including those with adult children still living at home). </w:t>
      </w:r>
      <w:bookmarkStart w:id="456" w:name="_Toc360192640"/>
      <w:bookmarkStart w:id="457" w:name="_Toc398711718"/>
      <w:bookmarkStart w:id="458" w:name="_Toc399864405"/>
      <w:r w:rsidR="00855ED3">
        <w:t xml:space="preserve">Note that this is one particularly cohort of the population and but the majority of households (71%) are not families with children – therefore the needs expressed in this analysis relate to a minority of households. </w:t>
      </w:r>
    </w:p>
    <w:p w14:paraId="634AB6EE" w14:textId="1974678D" w:rsidR="001F27D2" w:rsidRDefault="001F27D2" w:rsidP="00855ED3">
      <w:pPr>
        <w:pStyle w:val="Reporttext"/>
      </w:pPr>
      <w:r w:rsidRPr="002B2A7F">
        <w:t xml:space="preserve">The current dwelling profile and market aspirations of families (including those with adult children living at home), as identified in the </w:t>
      </w:r>
      <w:r w:rsidR="00552F21">
        <w:t>h</w:t>
      </w:r>
      <w:r w:rsidRPr="002B2A7F">
        <w:t xml:space="preserve">ousehold </w:t>
      </w:r>
      <w:r w:rsidR="00552F21">
        <w:t>s</w:t>
      </w:r>
      <w:r w:rsidRPr="002B2A7F">
        <w:t xml:space="preserve">urvey, are summarised in Table </w:t>
      </w:r>
      <w:r w:rsidRPr="00855ED3">
        <w:rPr>
          <w:lang w:val="en-US"/>
        </w:rPr>
        <w:t>6.1</w:t>
      </w:r>
      <w:r w:rsidRPr="002B2A7F">
        <w:t>. This suggests a particular expectation for houses with three, four or more bedrooms (68.8% of families).  A further 15.6% expect to move to a 2-bedroom house, 15.3% expect to move to a bungalow and 7.5% to a flat.</w:t>
      </w:r>
      <w:r w:rsidR="00855ED3">
        <w:t xml:space="preserve"> </w:t>
      </w:r>
    </w:p>
    <w:p w14:paraId="21B53DD4" w14:textId="77777777" w:rsidR="00855ED3" w:rsidRPr="00855ED3" w:rsidRDefault="00855ED3" w:rsidP="00855ED3">
      <w:pPr>
        <w:pStyle w:val="Reporttext"/>
        <w:numPr>
          <w:ilvl w:val="0"/>
          <w:numId w:val="0"/>
        </w:numPr>
        <w:ind w:left="709"/>
      </w:pP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4968"/>
        <w:gridCol w:w="1952"/>
        <w:gridCol w:w="2260"/>
      </w:tblGrid>
      <w:tr w:rsidR="001F27D2" w:rsidRPr="007C1538" w14:paraId="1C30FDC7" w14:textId="77777777" w:rsidTr="001F27D2">
        <w:trPr>
          <w:trHeight w:val="300"/>
        </w:trPr>
        <w:tc>
          <w:tcPr>
            <w:tcW w:w="5000" w:type="pct"/>
            <w:gridSpan w:val="3"/>
            <w:shd w:val="clear" w:color="auto" w:fill="009999"/>
            <w:noWrap/>
            <w:vAlign w:val="bottom"/>
            <w:hideMark/>
          </w:tcPr>
          <w:p w14:paraId="4458C2AB" w14:textId="16C38C3E" w:rsidR="001F27D2" w:rsidRPr="007C1538" w:rsidRDefault="001F27D2" w:rsidP="007C1538">
            <w:pPr>
              <w:pStyle w:val="Tableheading1"/>
              <w:rPr>
                <w:color w:val="000000"/>
              </w:rPr>
            </w:pPr>
            <w:bookmarkStart w:id="459" w:name="_Toc430782760"/>
            <w:bookmarkStart w:id="460" w:name="_Toc476317290"/>
            <w:bookmarkStart w:id="461" w:name="_Toc505293163"/>
            <w:bookmarkStart w:id="462" w:name="_Toc517129901"/>
            <w:bookmarkStart w:id="463" w:name="_Toc529652129"/>
            <w:bookmarkStart w:id="464" w:name="_Toc529739455"/>
            <w:bookmarkStart w:id="465" w:name="_Toc531122954"/>
            <w:bookmarkStart w:id="466" w:name="_Toc532812489"/>
            <w:r w:rsidRPr="007C1538">
              <w:t>Table 6</w:t>
            </w:r>
            <w:r w:rsidRPr="007C1538">
              <w:rPr>
                <w:lang w:val="en-US"/>
              </w:rPr>
              <w:t>.1</w:t>
            </w:r>
            <w:r w:rsidRPr="007C1538">
              <w:tab/>
              <w:t>Property type current and expectatio</w:t>
            </w:r>
            <w:r w:rsidR="00552F21">
              <w:t>n</w:t>
            </w:r>
            <w:r w:rsidRPr="007C1538">
              <w:t>s – families</w:t>
            </w:r>
            <w:bookmarkEnd w:id="459"/>
            <w:bookmarkEnd w:id="460"/>
            <w:bookmarkEnd w:id="461"/>
            <w:bookmarkEnd w:id="462"/>
            <w:bookmarkEnd w:id="463"/>
            <w:bookmarkEnd w:id="464"/>
            <w:bookmarkEnd w:id="465"/>
            <w:bookmarkEnd w:id="466"/>
          </w:p>
        </w:tc>
      </w:tr>
      <w:tr w:rsidR="001F27D2" w:rsidRPr="007C1538" w14:paraId="4481A9DF" w14:textId="77777777" w:rsidTr="001F27D2">
        <w:trPr>
          <w:trHeight w:val="300"/>
        </w:trPr>
        <w:tc>
          <w:tcPr>
            <w:tcW w:w="2706" w:type="pct"/>
            <w:shd w:val="clear" w:color="auto" w:fill="009999"/>
            <w:noWrap/>
            <w:vAlign w:val="bottom"/>
            <w:hideMark/>
          </w:tcPr>
          <w:p w14:paraId="1E84851A" w14:textId="77777777" w:rsidR="001F27D2" w:rsidRPr="007C1538" w:rsidRDefault="001F27D2" w:rsidP="007C1538">
            <w:pPr>
              <w:spacing w:before="0" w:after="0"/>
              <w:rPr>
                <w:rFonts w:cs="Calibri"/>
                <w:b/>
                <w:bCs/>
                <w:color w:val="FFFFFF"/>
                <w:sz w:val="22"/>
                <w:szCs w:val="22"/>
              </w:rPr>
            </w:pPr>
            <w:r w:rsidRPr="007C1538">
              <w:rPr>
                <w:rFonts w:cs="Calibri"/>
                <w:b/>
                <w:bCs/>
                <w:color w:val="FFFFFF"/>
                <w:sz w:val="22"/>
                <w:szCs w:val="22"/>
              </w:rPr>
              <w:t>Dwelling type</w:t>
            </w:r>
          </w:p>
        </w:tc>
        <w:tc>
          <w:tcPr>
            <w:tcW w:w="1063" w:type="pct"/>
            <w:shd w:val="clear" w:color="auto" w:fill="009999"/>
            <w:noWrap/>
            <w:vAlign w:val="bottom"/>
            <w:hideMark/>
          </w:tcPr>
          <w:p w14:paraId="5CF2E6B3" w14:textId="77777777" w:rsidR="001F27D2" w:rsidRPr="007C1538" w:rsidRDefault="001F27D2" w:rsidP="007C1538">
            <w:pPr>
              <w:spacing w:before="0" w:after="0"/>
              <w:jc w:val="center"/>
              <w:rPr>
                <w:rFonts w:cs="Calibri"/>
                <w:b/>
                <w:bCs/>
                <w:color w:val="FFFFFF"/>
                <w:sz w:val="22"/>
                <w:szCs w:val="22"/>
              </w:rPr>
            </w:pPr>
            <w:r w:rsidRPr="007C1538">
              <w:rPr>
                <w:rFonts w:cs="Calibri"/>
                <w:b/>
                <w:bCs/>
                <w:color w:val="FFFFFF"/>
                <w:sz w:val="22"/>
                <w:szCs w:val="22"/>
              </w:rPr>
              <w:t>Current dwelling</w:t>
            </w:r>
          </w:p>
        </w:tc>
        <w:tc>
          <w:tcPr>
            <w:tcW w:w="1231" w:type="pct"/>
            <w:shd w:val="clear" w:color="auto" w:fill="009999"/>
            <w:noWrap/>
            <w:vAlign w:val="bottom"/>
            <w:hideMark/>
          </w:tcPr>
          <w:p w14:paraId="6D8939F7" w14:textId="77777777" w:rsidR="001F27D2" w:rsidRPr="007C1538" w:rsidRDefault="001F27D2" w:rsidP="007C1538">
            <w:pPr>
              <w:spacing w:before="0" w:after="0"/>
              <w:jc w:val="center"/>
              <w:rPr>
                <w:rFonts w:cs="Calibri"/>
                <w:b/>
                <w:bCs/>
                <w:color w:val="FFFFFF"/>
                <w:sz w:val="22"/>
                <w:szCs w:val="22"/>
              </w:rPr>
            </w:pPr>
            <w:r w:rsidRPr="007C1538">
              <w:rPr>
                <w:rFonts w:cs="Calibri"/>
                <w:b/>
                <w:bCs/>
                <w:color w:val="FFFFFF"/>
                <w:sz w:val="22"/>
                <w:szCs w:val="22"/>
              </w:rPr>
              <w:t>Expect</w:t>
            </w:r>
          </w:p>
        </w:tc>
      </w:tr>
      <w:tr w:rsidR="001F27D2" w:rsidRPr="007C1538" w14:paraId="0F53FA22" w14:textId="77777777" w:rsidTr="001F27D2">
        <w:trPr>
          <w:trHeight w:val="189"/>
        </w:trPr>
        <w:tc>
          <w:tcPr>
            <w:tcW w:w="2706" w:type="pct"/>
            <w:shd w:val="clear" w:color="auto" w:fill="auto"/>
            <w:noWrap/>
            <w:vAlign w:val="bottom"/>
            <w:hideMark/>
          </w:tcPr>
          <w:p w14:paraId="3D5EB4A4" w14:textId="77777777" w:rsidR="001F27D2" w:rsidRPr="007C1538" w:rsidRDefault="001F27D2" w:rsidP="007C1538">
            <w:pPr>
              <w:spacing w:before="0" w:after="0"/>
              <w:rPr>
                <w:rFonts w:cs="Calibri"/>
                <w:color w:val="000000"/>
                <w:sz w:val="22"/>
                <w:szCs w:val="22"/>
              </w:rPr>
            </w:pPr>
            <w:r w:rsidRPr="007C1538">
              <w:rPr>
                <w:rFonts w:cs="Calibri"/>
                <w:color w:val="000000"/>
                <w:sz w:val="22"/>
                <w:szCs w:val="22"/>
              </w:rPr>
              <w:t>1 Bed House</w:t>
            </w:r>
          </w:p>
        </w:tc>
        <w:tc>
          <w:tcPr>
            <w:tcW w:w="1063" w:type="pct"/>
            <w:shd w:val="clear" w:color="auto" w:fill="auto"/>
            <w:noWrap/>
            <w:vAlign w:val="bottom"/>
          </w:tcPr>
          <w:p w14:paraId="7544CF3E" w14:textId="77777777" w:rsidR="001F27D2" w:rsidRPr="007C1538" w:rsidRDefault="001F27D2" w:rsidP="007C1538">
            <w:pPr>
              <w:spacing w:before="0" w:after="0"/>
              <w:jc w:val="center"/>
              <w:rPr>
                <w:rFonts w:cs="Calibri"/>
                <w:sz w:val="22"/>
                <w:szCs w:val="22"/>
              </w:rPr>
            </w:pPr>
            <w:r w:rsidRPr="007C1538">
              <w:rPr>
                <w:rFonts w:cs="Calibri"/>
                <w:color w:val="000000"/>
                <w:sz w:val="22"/>
                <w:szCs w:val="22"/>
              </w:rPr>
              <w:t>2.3</w:t>
            </w:r>
          </w:p>
        </w:tc>
        <w:tc>
          <w:tcPr>
            <w:tcW w:w="1231" w:type="pct"/>
            <w:shd w:val="clear" w:color="auto" w:fill="auto"/>
            <w:noWrap/>
            <w:vAlign w:val="bottom"/>
          </w:tcPr>
          <w:p w14:paraId="6BCF6B4B" w14:textId="77777777" w:rsidR="001F27D2" w:rsidRPr="007C1538" w:rsidRDefault="001F27D2" w:rsidP="007C1538">
            <w:pPr>
              <w:spacing w:before="0" w:after="0"/>
              <w:jc w:val="center"/>
              <w:rPr>
                <w:rFonts w:cs="Calibri"/>
                <w:sz w:val="22"/>
                <w:szCs w:val="22"/>
              </w:rPr>
            </w:pPr>
            <w:r w:rsidRPr="007C1538">
              <w:rPr>
                <w:rFonts w:cs="Calibri"/>
                <w:color w:val="000000"/>
                <w:sz w:val="22"/>
                <w:szCs w:val="22"/>
              </w:rPr>
              <w:t>0.0</w:t>
            </w:r>
          </w:p>
        </w:tc>
      </w:tr>
      <w:tr w:rsidR="001F27D2" w:rsidRPr="007C1538" w14:paraId="32DCCECA" w14:textId="77777777" w:rsidTr="001F27D2">
        <w:trPr>
          <w:trHeight w:val="300"/>
        </w:trPr>
        <w:tc>
          <w:tcPr>
            <w:tcW w:w="2706" w:type="pct"/>
            <w:shd w:val="clear" w:color="auto" w:fill="auto"/>
            <w:noWrap/>
            <w:vAlign w:val="bottom"/>
          </w:tcPr>
          <w:p w14:paraId="23AFB4C2" w14:textId="77777777" w:rsidR="001F27D2" w:rsidRPr="007C1538" w:rsidRDefault="001F27D2" w:rsidP="007C1538">
            <w:pPr>
              <w:spacing w:before="0" w:after="0"/>
              <w:rPr>
                <w:rFonts w:cs="Calibri"/>
                <w:color w:val="000000"/>
                <w:sz w:val="22"/>
                <w:szCs w:val="22"/>
              </w:rPr>
            </w:pPr>
            <w:r w:rsidRPr="007C1538">
              <w:rPr>
                <w:rFonts w:cs="Calibri"/>
                <w:color w:val="000000"/>
                <w:sz w:val="22"/>
                <w:szCs w:val="22"/>
              </w:rPr>
              <w:t>2 Bed House</w:t>
            </w:r>
          </w:p>
        </w:tc>
        <w:tc>
          <w:tcPr>
            <w:tcW w:w="1063" w:type="pct"/>
            <w:shd w:val="clear" w:color="auto" w:fill="auto"/>
            <w:noWrap/>
            <w:vAlign w:val="bottom"/>
          </w:tcPr>
          <w:p w14:paraId="26B6381E" w14:textId="77777777" w:rsidR="001F27D2" w:rsidRPr="007C1538" w:rsidRDefault="001F27D2" w:rsidP="007C1538">
            <w:pPr>
              <w:spacing w:before="0" w:after="0"/>
              <w:jc w:val="center"/>
              <w:rPr>
                <w:rFonts w:cs="Calibri"/>
                <w:sz w:val="22"/>
                <w:szCs w:val="22"/>
              </w:rPr>
            </w:pPr>
            <w:r w:rsidRPr="007C1538">
              <w:rPr>
                <w:rFonts w:cs="Calibri"/>
                <w:color w:val="000000"/>
                <w:sz w:val="22"/>
                <w:szCs w:val="22"/>
              </w:rPr>
              <w:t>5.5</w:t>
            </w:r>
          </w:p>
        </w:tc>
        <w:tc>
          <w:tcPr>
            <w:tcW w:w="1231" w:type="pct"/>
            <w:shd w:val="clear" w:color="auto" w:fill="auto"/>
            <w:noWrap/>
            <w:vAlign w:val="bottom"/>
          </w:tcPr>
          <w:p w14:paraId="37938EDF" w14:textId="77777777" w:rsidR="001F27D2" w:rsidRPr="007C1538" w:rsidRDefault="001F27D2" w:rsidP="007C1538">
            <w:pPr>
              <w:spacing w:before="0" w:after="0"/>
              <w:jc w:val="center"/>
              <w:rPr>
                <w:rFonts w:cs="Calibri"/>
                <w:sz w:val="22"/>
                <w:szCs w:val="22"/>
              </w:rPr>
            </w:pPr>
            <w:r w:rsidRPr="007C1538">
              <w:rPr>
                <w:rFonts w:cs="Calibri"/>
                <w:color w:val="000000"/>
                <w:sz w:val="22"/>
                <w:szCs w:val="22"/>
              </w:rPr>
              <w:t>15.6</w:t>
            </w:r>
          </w:p>
        </w:tc>
      </w:tr>
      <w:tr w:rsidR="001F27D2" w:rsidRPr="007C1538" w14:paraId="0FC93E46" w14:textId="77777777" w:rsidTr="001F27D2">
        <w:trPr>
          <w:trHeight w:val="300"/>
        </w:trPr>
        <w:tc>
          <w:tcPr>
            <w:tcW w:w="2706" w:type="pct"/>
            <w:shd w:val="clear" w:color="auto" w:fill="auto"/>
            <w:noWrap/>
            <w:vAlign w:val="bottom"/>
          </w:tcPr>
          <w:p w14:paraId="5BF5E3B0" w14:textId="77777777" w:rsidR="001F27D2" w:rsidRPr="007C1538" w:rsidRDefault="001F27D2" w:rsidP="007C1538">
            <w:pPr>
              <w:spacing w:before="0" w:after="0"/>
              <w:rPr>
                <w:rFonts w:cs="Calibri"/>
                <w:color w:val="000000"/>
                <w:sz w:val="22"/>
                <w:szCs w:val="22"/>
              </w:rPr>
            </w:pPr>
            <w:r w:rsidRPr="007C1538">
              <w:rPr>
                <w:rFonts w:cs="Calibri"/>
                <w:color w:val="000000"/>
                <w:sz w:val="22"/>
                <w:szCs w:val="22"/>
              </w:rPr>
              <w:t>3 Bed House</w:t>
            </w:r>
          </w:p>
        </w:tc>
        <w:tc>
          <w:tcPr>
            <w:tcW w:w="1063" w:type="pct"/>
            <w:shd w:val="clear" w:color="auto" w:fill="auto"/>
            <w:noWrap/>
            <w:vAlign w:val="bottom"/>
          </w:tcPr>
          <w:p w14:paraId="032CBBA5" w14:textId="77777777" w:rsidR="001F27D2" w:rsidRPr="007C1538" w:rsidRDefault="001F27D2" w:rsidP="007C1538">
            <w:pPr>
              <w:spacing w:before="0" w:after="0"/>
              <w:jc w:val="center"/>
              <w:rPr>
                <w:rFonts w:cs="Calibri"/>
                <w:sz w:val="22"/>
                <w:szCs w:val="22"/>
              </w:rPr>
            </w:pPr>
            <w:r w:rsidRPr="007C1538">
              <w:rPr>
                <w:rFonts w:cs="Calibri"/>
                <w:color w:val="000000"/>
                <w:sz w:val="22"/>
                <w:szCs w:val="22"/>
              </w:rPr>
              <w:t>42.3</w:t>
            </w:r>
          </w:p>
        </w:tc>
        <w:tc>
          <w:tcPr>
            <w:tcW w:w="1231" w:type="pct"/>
            <w:shd w:val="clear" w:color="auto" w:fill="auto"/>
            <w:noWrap/>
            <w:vAlign w:val="bottom"/>
          </w:tcPr>
          <w:p w14:paraId="66276136" w14:textId="77777777" w:rsidR="001F27D2" w:rsidRPr="007C1538" w:rsidRDefault="001F27D2" w:rsidP="007C1538">
            <w:pPr>
              <w:spacing w:before="0" w:after="0"/>
              <w:jc w:val="center"/>
              <w:rPr>
                <w:rFonts w:cs="Calibri"/>
                <w:sz w:val="22"/>
                <w:szCs w:val="22"/>
              </w:rPr>
            </w:pPr>
            <w:r w:rsidRPr="007C1538">
              <w:rPr>
                <w:rFonts w:cs="Calibri"/>
                <w:color w:val="000000"/>
                <w:sz w:val="22"/>
                <w:szCs w:val="22"/>
              </w:rPr>
              <w:t>21.2</w:t>
            </w:r>
          </w:p>
        </w:tc>
      </w:tr>
      <w:tr w:rsidR="001F27D2" w:rsidRPr="007C1538" w14:paraId="617A0053" w14:textId="77777777" w:rsidTr="001F27D2">
        <w:trPr>
          <w:trHeight w:val="300"/>
        </w:trPr>
        <w:tc>
          <w:tcPr>
            <w:tcW w:w="2706" w:type="pct"/>
            <w:shd w:val="clear" w:color="auto" w:fill="auto"/>
            <w:noWrap/>
            <w:vAlign w:val="bottom"/>
          </w:tcPr>
          <w:p w14:paraId="3666ABE4" w14:textId="77777777" w:rsidR="001F27D2" w:rsidRPr="007C1538" w:rsidRDefault="001F27D2" w:rsidP="007C1538">
            <w:pPr>
              <w:spacing w:before="0" w:after="0"/>
              <w:rPr>
                <w:rFonts w:cs="Calibri"/>
                <w:color w:val="000000"/>
                <w:sz w:val="22"/>
                <w:szCs w:val="22"/>
              </w:rPr>
            </w:pPr>
            <w:r w:rsidRPr="007C1538">
              <w:rPr>
                <w:rFonts w:cs="Calibri"/>
                <w:color w:val="000000"/>
                <w:sz w:val="22"/>
                <w:szCs w:val="22"/>
              </w:rPr>
              <w:t>4 or more Bed House</w:t>
            </w:r>
          </w:p>
        </w:tc>
        <w:tc>
          <w:tcPr>
            <w:tcW w:w="1063" w:type="pct"/>
            <w:shd w:val="clear" w:color="auto" w:fill="auto"/>
            <w:noWrap/>
            <w:vAlign w:val="bottom"/>
          </w:tcPr>
          <w:p w14:paraId="1BDD26F7" w14:textId="77777777" w:rsidR="001F27D2" w:rsidRPr="007C1538" w:rsidRDefault="001F27D2" w:rsidP="007C1538">
            <w:pPr>
              <w:spacing w:before="0" w:after="0"/>
              <w:jc w:val="center"/>
              <w:rPr>
                <w:rFonts w:cs="Calibri"/>
                <w:sz w:val="22"/>
                <w:szCs w:val="22"/>
              </w:rPr>
            </w:pPr>
            <w:r w:rsidRPr="007C1538">
              <w:rPr>
                <w:rFonts w:cs="Calibri"/>
                <w:color w:val="000000"/>
                <w:sz w:val="22"/>
                <w:szCs w:val="22"/>
              </w:rPr>
              <w:t>40.7</w:t>
            </w:r>
          </w:p>
        </w:tc>
        <w:tc>
          <w:tcPr>
            <w:tcW w:w="1231" w:type="pct"/>
            <w:shd w:val="clear" w:color="auto" w:fill="auto"/>
            <w:noWrap/>
            <w:vAlign w:val="bottom"/>
          </w:tcPr>
          <w:p w14:paraId="0E2CA31B" w14:textId="77777777" w:rsidR="001F27D2" w:rsidRPr="007C1538" w:rsidRDefault="001F27D2" w:rsidP="007C1538">
            <w:pPr>
              <w:spacing w:before="0" w:after="0"/>
              <w:jc w:val="center"/>
              <w:rPr>
                <w:rFonts w:cs="Calibri"/>
                <w:sz w:val="22"/>
                <w:szCs w:val="22"/>
              </w:rPr>
            </w:pPr>
            <w:r w:rsidRPr="007C1538">
              <w:rPr>
                <w:rFonts w:cs="Calibri"/>
                <w:color w:val="000000"/>
                <w:sz w:val="22"/>
                <w:szCs w:val="22"/>
              </w:rPr>
              <w:t>39.6</w:t>
            </w:r>
          </w:p>
        </w:tc>
      </w:tr>
      <w:tr w:rsidR="001F27D2" w:rsidRPr="007C1538" w14:paraId="04CE7ABF" w14:textId="77777777" w:rsidTr="001F27D2">
        <w:trPr>
          <w:trHeight w:val="300"/>
        </w:trPr>
        <w:tc>
          <w:tcPr>
            <w:tcW w:w="2706" w:type="pct"/>
            <w:shd w:val="clear" w:color="auto" w:fill="auto"/>
            <w:noWrap/>
            <w:vAlign w:val="bottom"/>
          </w:tcPr>
          <w:p w14:paraId="206B4EDD" w14:textId="77777777" w:rsidR="001F27D2" w:rsidRPr="007C1538" w:rsidRDefault="001F27D2" w:rsidP="007C1538">
            <w:pPr>
              <w:spacing w:before="0" w:after="0"/>
              <w:rPr>
                <w:rFonts w:cs="Calibri"/>
                <w:color w:val="000000"/>
                <w:sz w:val="22"/>
                <w:szCs w:val="22"/>
              </w:rPr>
            </w:pPr>
            <w:r w:rsidRPr="007C1538">
              <w:rPr>
                <w:rFonts w:cs="Calibri"/>
                <w:color w:val="000000"/>
                <w:sz w:val="22"/>
                <w:szCs w:val="22"/>
              </w:rPr>
              <w:t>1 Bed Flat</w:t>
            </w:r>
          </w:p>
        </w:tc>
        <w:tc>
          <w:tcPr>
            <w:tcW w:w="1063" w:type="pct"/>
            <w:shd w:val="clear" w:color="auto" w:fill="auto"/>
            <w:noWrap/>
            <w:vAlign w:val="bottom"/>
          </w:tcPr>
          <w:p w14:paraId="4FBD3E8A" w14:textId="77777777" w:rsidR="001F27D2" w:rsidRPr="007C1538" w:rsidRDefault="001F27D2" w:rsidP="007C1538">
            <w:pPr>
              <w:spacing w:before="0" w:after="0"/>
              <w:jc w:val="center"/>
              <w:rPr>
                <w:rFonts w:cs="Calibri"/>
                <w:sz w:val="22"/>
                <w:szCs w:val="22"/>
              </w:rPr>
            </w:pPr>
            <w:r w:rsidRPr="007C1538">
              <w:rPr>
                <w:rFonts w:cs="Calibri"/>
                <w:color w:val="000000"/>
                <w:sz w:val="22"/>
                <w:szCs w:val="22"/>
              </w:rPr>
              <w:t>0.0</w:t>
            </w:r>
          </w:p>
        </w:tc>
        <w:tc>
          <w:tcPr>
            <w:tcW w:w="1231" w:type="pct"/>
            <w:shd w:val="clear" w:color="auto" w:fill="auto"/>
            <w:noWrap/>
            <w:vAlign w:val="bottom"/>
          </w:tcPr>
          <w:p w14:paraId="2A150E33" w14:textId="77777777" w:rsidR="001F27D2" w:rsidRPr="007C1538" w:rsidRDefault="001F27D2" w:rsidP="007C1538">
            <w:pPr>
              <w:spacing w:before="0" w:after="0"/>
              <w:jc w:val="center"/>
              <w:rPr>
                <w:rFonts w:cs="Calibri"/>
                <w:sz w:val="22"/>
                <w:szCs w:val="22"/>
              </w:rPr>
            </w:pPr>
            <w:r w:rsidRPr="007C1538">
              <w:rPr>
                <w:rFonts w:cs="Calibri"/>
                <w:color w:val="000000"/>
                <w:sz w:val="22"/>
                <w:szCs w:val="22"/>
              </w:rPr>
              <w:t>0.0</w:t>
            </w:r>
          </w:p>
        </w:tc>
      </w:tr>
      <w:tr w:rsidR="001F27D2" w:rsidRPr="007C1538" w14:paraId="5A8D97A1" w14:textId="77777777" w:rsidTr="001F27D2">
        <w:trPr>
          <w:trHeight w:val="300"/>
        </w:trPr>
        <w:tc>
          <w:tcPr>
            <w:tcW w:w="2706" w:type="pct"/>
            <w:shd w:val="clear" w:color="auto" w:fill="auto"/>
            <w:noWrap/>
            <w:vAlign w:val="bottom"/>
          </w:tcPr>
          <w:p w14:paraId="0047980E" w14:textId="77777777" w:rsidR="001F27D2" w:rsidRPr="007C1538" w:rsidRDefault="001F27D2" w:rsidP="007C1538">
            <w:pPr>
              <w:spacing w:before="0" w:after="0"/>
              <w:rPr>
                <w:rFonts w:cs="Calibri"/>
                <w:color w:val="000000"/>
                <w:sz w:val="22"/>
                <w:szCs w:val="22"/>
              </w:rPr>
            </w:pPr>
            <w:r w:rsidRPr="007C1538">
              <w:rPr>
                <w:rFonts w:cs="Calibri"/>
                <w:color w:val="000000"/>
                <w:sz w:val="22"/>
                <w:szCs w:val="22"/>
              </w:rPr>
              <w:t>2 Bed Flat</w:t>
            </w:r>
          </w:p>
        </w:tc>
        <w:tc>
          <w:tcPr>
            <w:tcW w:w="1063" w:type="pct"/>
            <w:shd w:val="clear" w:color="auto" w:fill="auto"/>
            <w:noWrap/>
            <w:vAlign w:val="bottom"/>
          </w:tcPr>
          <w:p w14:paraId="55A0FA12" w14:textId="77777777" w:rsidR="001F27D2" w:rsidRPr="007C1538" w:rsidRDefault="001F27D2" w:rsidP="007C1538">
            <w:pPr>
              <w:spacing w:before="0" w:after="0"/>
              <w:jc w:val="center"/>
              <w:rPr>
                <w:rFonts w:cs="Calibri"/>
                <w:sz w:val="22"/>
                <w:szCs w:val="22"/>
              </w:rPr>
            </w:pPr>
            <w:r w:rsidRPr="007C1538">
              <w:rPr>
                <w:rFonts w:cs="Calibri"/>
                <w:color w:val="000000"/>
                <w:sz w:val="22"/>
                <w:szCs w:val="22"/>
              </w:rPr>
              <w:t>1.3</w:t>
            </w:r>
          </w:p>
        </w:tc>
        <w:tc>
          <w:tcPr>
            <w:tcW w:w="1231" w:type="pct"/>
            <w:shd w:val="clear" w:color="auto" w:fill="auto"/>
            <w:noWrap/>
            <w:vAlign w:val="bottom"/>
          </w:tcPr>
          <w:p w14:paraId="1BA66C18" w14:textId="77777777" w:rsidR="001F27D2" w:rsidRPr="007C1538" w:rsidRDefault="001F27D2" w:rsidP="007C1538">
            <w:pPr>
              <w:spacing w:before="0" w:after="0"/>
              <w:jc w:val="center"/>
              <w:rPr>
                <w:rFonts w:cs="Calibri"/>
                <w:sz w:val="22"/>
                <w:szCs w:val="22"/>
              </w:rPr>
            </w:pPr>
            <w:r w:rsidRPr="007C1538">
              <w:rPr>
                <w:rFonts w:cs="Calibri"/>
                <w:color w:val="000000"/>
                <w:sz w:val="22"/>
                <w:szCs w:val="22"/>
              </w:rPr>
              <w:t>7.5</w:t>
            </w:r>
          </w:p>
        </w:tc>
      </w:tr>
      <w:tr w:rsidR="001F27D2" w:rsidRPr="007C1538" w14:paraId="2459EB89" w14:textId="77777777" w:rsidTr="001F27D2">
        <w:trPr>
          <w:trHeight w:val="300"/>
        </w:trPr>
        <w:tc>
          <w:tcPr>
            <w:tcW w:w="2706" w:type="pct"/>
            <w:shd w:val="clear" w:color="auto" w:fill="auto"/>
            <w:noWrap/>
            <w:vAlign w:val="bottom"/>
          </w:tcPr>
          <w:p w14:paraId="04FEDD33" w14:textId="77777777" w:rsidR="001F27D2" w:rsidRPr="007C1538" w:rsidRDefault="001F27D2" w:rsidP="007C1538">
            <w:pPr>
              <w:spacing w:before="0" w:after="0"/>
              <w:rPr>
                <w:rFonts w:cs="Calibri"/>
                <w:color w:val="000000"/>
                <w:sz w:val="22"/>
                <w:szCs w:val="22"/>
              </w:rPr>
            </w:pPr>
            <w:r w:rsidRPr="007C1538">
              <w:rPr>
                <w:rFonts w:cs="Calibri"/>
                <w:color w:val="000000"/>
                <w:sz w:val="22"/>
                <w:szCs w:val="22"/>
              </w:rPr>
              <w:t>3+ Bed Flat</w:t>
            </w:r>
          </w:p>
        </w:tc>
        <w:tc>
          <w:tcPr>
            <w:tcW w:w="1063" w:type="pct"/>
            <w:shd w:val="clear" w:color="auto" w:fill="auto"/>
            <w:noWrap/>
            <w:vAlign w:val="bottom"/>
          </w:tcPr>
          <w:p w14:paraId="40789B9C" w14:textId="77777777" w:rsidR="001F27D2" w:rsidRPr="007C1538" w:rsidRDefault="001F27D2" w:rsidP="007C1538">
            <w:pPr>
              <w:spacing w:before="0" w:after="0"/>
              <w:jc w:val="center"/>
              <w:rPr>
                <w:rFonts w:cs="Calibri"/>
                <w:sz w:val="22"/>
                <w:szCs w:val="22"/>
              </w:rPr>
            </w:pPr>
            <w:r w:rsidRPr="007C1538">
              <w:rPr>
                <w:rFonts w:cs="Calibri"/>
                <w:color w:val="000000"/>
                <w:sz w:val="22"/>
                <w:szCs w:val="22"/>
              </w:rPr>
              <w:t>1.2</w:t>
            </w:r>
          </w:p>
        </w:tc>
        <w:tc>
          <w:tcPr>
            <w:tcW w:w="1231" w:type="pct"/>
            <w:shd w:val="clear" w:color="auto" w:fill="auto"/>
            <w:noWrap/>
            <w:vAlign w:val="bottom"/>
          </w:tcPr>
          <w:p w14:paraId="6DF67E58" w14:textId="77777777" w:rsidR="001F27D2" w:rsidRPr="007C1538" w:rsidRDefault="001F27D2" w:rsidP="007C1538">
            <w:pPr>
              <w:spacing w:before="0" w:after="0"/>
              <w:jc w:val="center"/>
              <w:rPr>
                <w:rFonts w:cs="Calibri"/>
                <w:sz w:val="22"/>
                <w:szCs w:val="22"/>
              </w:rPr>
            </w:pPr>
            <w:r w:rsidRPr="007C1538">
              <w:rPr>
                <w:rFonts w:cs="Calibri"/>
                <w:color w:val="000000"/>
                <w:sz w:val="22"/>
                <w:szCs w:val="22"/>
              </w:rPr>
              <w:t>0.0</w:t>
            </w:r>
          </w:p>
        </w:tc>
      </w:tr>
      <w:tr w:rsidR="001F27D2" w:rsidRPr="007C1538" w14:paraId="5166D66D" w14:textId="77777777" w:rsidTr="001F27D2">
        <w:trPr>
          <w:trHeight w:val="300"/>
        </w:trPr>
        <w:tc>
          <w:tcPr>
            <w:tcW w:w="2706" w:type="pct"/>
            <w:shd w:val="clear" w:color="auto" w:fill="auto"/>
            <w:noWrap/>
            <w:vAlign w:val="bottom"/>
            <w:hideMark/>
          </w:tcPr>
          <w:p w14:paraId="28AD9A19" w14:textId="77777777" w:rsidR="001F27D2" w:rsidRPr="007C1538" w:rsidRDefault="001F27D2" w:rsidP="007C1538">
            <w:pPr>
              <w:spacing w:before="0" w:after="0"/>
              <w:rPr>
                <w:rFonts w:cs="Calibri"/>
                <w:color w:val="000000"/>
                <w:sz w:val="22"/>
                <w:szCs w:val="22"/>
              </w:rPr>
            </w:pPr>
            <w:r w:rsidRPr="007C1538">
              <w:rPr>
                <w:rFonts w:cs="Calibri"/>
                <w:color w:val="000000"/>
                <w:sz w:val="22"/>
                <w:szCs w:val="22"/>
              </w:rPr>
              <w:t>1 Bed Bungalow</w:t>
            </w:r>
          </w:p>
        </w:tc>
        <w:tc>
          <w:tcPr>
            <w:tcW w:w="1063" w:type="pct"/>
            <w:shd w:val="clear" w:color="auto" w:fill="auto"/>
            <w:noWrap/>
            <w:vAlign w:val="bottom"/>
          </w:tcPr>
          <w:p w14:paraId="26FD74D2" w14:textId="77777777" w:rsidR="001F27D2" w:rsidRPr="007C1538" w:rsidRDefault="001F27D2" w:rsidP="007C1538">
            <w:pPr>
              <w:spacing w:before="0" w:after="0"/>
              <w:jc w:val="center"/>
              <w:rPr>
                <w:rFonts w:cs="Calibri"/>
                <w:sz w:val="22"/>
                <w:szCs w:val="22"/>
              </w:rPr>
            </w:pPr>
            <w:r w:rsidRPr="007C1538">
              <w:rPr>
                <w:rFonts w:cs="Calibri"/>
                <w:color w:val="000000"/>
                <w:sz w:val="22"/>
                <w:szCs w:val="22"/>
              </w:rPr>
              <w:t>0.0</w:t>
            </w:r>
          </w:p>
        </w:tc>
        <w:tc>
          <w:tcPr>
            <w:tcW w:w="1231" w:type="pct"/>
            <w:shd w:val="clear" w:color="auto" w:fill="auto"/>
            <w:noWrap/>
            <w:vAlign w:val="bottom"/>
          </w:tcPr>
          <w:p w14:paraId="6477578E" w14:textId="77777777" w:rsidR="001F27D2" w:rsidRPr="007C1538" w:rsidRDefault="001F27D2" w:rsidP="007C1538">
            <w:pPr>
              <w:spacing w:before="0" w:after="0"/>
              <w:jc w:val="center"/>
              <w:rPr>
                <w:rFonts w:cs="Calibri"/>
                <w:sz w:val="22"/>
                <w:szCs w:val="22"/>
              </w:rPr>
            </w:pPr>
            <w:r w:rsidRPr="007C1538">
              <w:rPr>
                <w:rFonts w:cs="Calibri"/>
                <w:color w:val="000000"/>
                <w:sz w:val="22"/>
                <w:szCs w:val="22"/>
              </w:rPr>
              <w:t>0.0</w:t>
            </w:r>
          </w:p>
        </w:tc>
      </w:tr>
      <w:tr w:rsidR="001F27D2" w:rsidRPr="007C1538" w14:paraId="6327EBBA" w14:textId="77777777" w:rsidTr="001F27D2">
        <w:trPr>
          <w:trHeight w:val="300"/>
        </w:trPr>
        <w:tc>
          <w:tcPr>
            <w:tcW w:w="2706" w:type="pct"/>
            <w:shd w:val="clear" w:color="auto" w:fill="auto"/>
            <w:noWrap/>
            <w:vAlign w:val="bottom"/>
            <w:hideMark/>
          </w:tcPr>
          <w:p w14:paraId="713CE664" w14:textId="77777777" w:rsidR="001F27D2" w:rsidRPr="007C1538" w:rsidRDefault="001F27D2" w:rsidP="007C1538">
            <w:pPr>
              <w:spacing w:before="0" w:after="0"/>
              <w:rPr>
                <w:rFonts w:cs="Calibri"/>
                <w:color w:val="000000"/>
                <w:sz w:val="22"/>
                <w:szCs w:val="22"/>
              </w:rPr>
            </w:pPr>
            <w:r w:rsidRPr="007C1538">
              <w:rPr>
                <w:rFonts w:cs="Calibri"/>
                <w:color w:val="000000"/>
                <w:sz w:val="22"/>
                <w:szCs w:val="22"/>
              </w:rPr>
              <w:t>2 Bed Bungalow</w:t>
            </w:r>
          </w:p>
        </w:tc>
        <w:tc>
          <w:tcPr>
            <w:tcW w:w="1063" w:type="pct"/>
            <w:shd w:val="clear" w:color="auto" w:fill="auto"/>
            <w:noWrap/>
            <w:vAlign w:val="bottom"/>
          </w:tcPr>
          <w:p w14:paraId="485F7F84" w14:textId="77777777" w:rsidR="001F27D2" w:rsidRPr="007C1538" w:rsidRDefault="001F27D2" w:rsidP="007C1538">
            <w:pPr>
              <w:spacing w:before="0" w:after="0"/>
              <w:jc w:val="center"/>
              <w:rPr>
                <w:rFonts w:cs="Calibri"/>
                <w:sz w:val="22"/>
                <w:szCs w:val="22"/>
              </w:rPr>
            </w:pPr>
            <w:r w:rsidRPr="007C1538">
              <w:rPr>
                <w:rFonts w:cs="Calibri"/>
                <w:color w:val="000000"/>
                <w:sz w:val="22"/>
                <w:szCs w:val="22"/>
              </w:rPr>
              <w:t>0.8</w:t>
            </w:r>
          </w:p>
        </w:tc>
        <w:tc>
          <w:tcPr>
            <w:tcW w:w="1231" w:type="pct"/>
            <w:shd w:val="clear" w:color="auto" w:fill="auto"/>
            <w:noWrap/>
            <w:vAlign w:val="bottom"/>
          </w:tcPr>
          <w:p w14:paraId="12ABC818" w14:textId="77777777" w:rsidR="001F27D2" w:rsidRPr="007C1538" w:rsidRDefault="001F27D2" w:rsidP="007C1538">
            <w:pPr>
              <w:spacing w:before="0" w:after="0"/>
              <w:jc w:val="center"/>
              <w:rPr>
                <w:rFonts w:cs="Calibri"/>
                <w:sz w:val="22"/>
                <w:szCs w:val="22"/>
              </w:rPr>
            </w:pPr>
            <w:r w:rsidRPr="007C1538">
              <w:rPr>
                <w:rFonts w:cs="Calibri"/>
                <w:color w:val="000000"/>
                <w:sz w:val="22"/>
                <w:szCs w:val="22"/>
              </w:rPr>
              <w:t>2.9</w:t>
            </w:r>
          </w:p>
        </w:tc>
      </w:tr>
      <w:tr w:rsidR="001F27D2" w:rsidRPr="007C1538" w14:paraId="0973B8D3" w14:textId="77777777" w:rsidTr="001F27D2">
        <w:trPr>
          <w:trHeight w:val="300"/>
        </w:trPr>
        <w:tc>
          <w:tcPr>
            <w:tcW w:w="2706" w:type="pct"/>
            <w:shd w:val="clear" w:color="auto" w:fill="auto"/>
            <w:noWrap/>
            <w:vAlign w:val="bottom"/>
            <w:hideMark/>
          </w:tcPr>
          <w:p w14:paraId="0D8B2274" w14:textId="77777777" w:rsidR="001F27D2" w:rsidRPr="007C1538" w:rsidRDefault="001F27D2" w:rsidP="007C1538">
            <w:pPr>
              <w:spacing w:before="0" w:after="0"/>
              <w:rPr>
                <w:rFonts w:cs="Calibri"/>
                <w:color w:val="000000"/>
                <w:sz w:val="22"/>
                <w:szCs w:val="22"/>
              </w:rPr>
            </w:pPr>
            <w:r w:rsidRPr="007C1538">
              <w:rPr>
                <w:rFonts w:cs="Calibri"/>
                <w:color w:val="000000"/>
                <w:sz w:val="22"/>
                <w:szCs w:val="22"/>
              </w:rPr>
              <w:t>3 or more Bed Bungalow</w:t>
            </w:r>
          </w:p>
        </w:tc>
        <w:tc>
          <w:tcPr>
            <w:tcW w:w="1063" w:type="pct"/>
            <w:shd w:val="clear" w:color="auto" w:fill="auto"/>
            <w:noWrap/>
            <w:vAlign w:val="bottom"/>
          </w:tcPr>
          <w:p w14:paraId="2DB5747D" w14:textId="77777777" w:rsidR="001F27D2" w:rsidRPr="007C1538" w:rsidRDefault="001F27D2" w:rsidP="007C1538">
            <w:pPr>
              <w:spacing w:before="0" w:after="0"/>
              <w:jc w:val="center"/>
              <w:rPr>
                <w:rFonts w:cs="Calibri"/>
                <w:sz w:val="22"/>
                <w:szCs w:val="22"/>
              </w:rPr>
            </w:pPr>
            <w:r w:rsidRPr="007C1538">
              <w:rPr>
                <w:rFonts w:cs="Calibri"/>
                <w:color w:val="000000"/>
                <w:sz w:val="22"/>
                <w:szCs w:val="22"/>
              </w:rPr>
              <w:t>5.3</w:t>
            </w:r>
          </w:p>
        </w:tc>
        <w:tc>
          <w:tcPr>
            <w:tcW w:w="1231" w:type="pct"/>
            <w:shd w:val="clear" w:color="auto" w:fill="auto"/>
            <w:noWrap/>
            <w:vAlign w:val="bottom"/>
          </w:tcPr>
          <w:p w14:paraId="2542A9AB" w14:textId="77777777" w:rsidR="001F27D2" w:rsidRPr="007C1538" w:rsidRDefault="001F27D2" w:rsidP="007C1538">
            <w:pPr>
              <w:spacing w:before="0" w:after="0"/>
              <w:jc w:val="center"/>
              <w:rPr>
                <w:rFonts w:cs="Calibri"/>
                <w:sz w:val="22"/>
                <w:szCs w:val="22"/>
              </w:rPr>
            </w:pPr>
            <w:r w:rsidRPr="007C1538">
              <w:rPr>
                <w:rFonts w:cs="Calibri"/>
                <w:color w:val="000000"/>
                <w:sz w:val="22"/>
                <w:szCs w:val="22"/>
              </w:rPr>
              <w:t>12.4</w:t>
            </w:r>
          </w:p>
        </w:tc>
      </w:tr>
      <w:tr w:rsidR="001F27D2" w:rsidRPr="007C1538" w14:paraId="329618B7" w14:textId="77777777" w:rsidTr="001F27D2">
        <w:trPr>
          <w:trHeight w:val="300"/>
        </w:trPr>
        <w:tc>
          <w:tcPr>
            <w:tcW w:w="2706" w:type="pct"/>
            <w:shd w:val="clear" w:color="auto" w:fill="auto"/>
            <w:noWrap/>
            <w:vAlign w:val="bottom"/>
            <w:hideMark/>
          </w:tcPr>
          <w:p w14:paraId="378636DE" w14:textId="77777777" w:rsidR="001F27D2" w:rsidRPr="007C1538" w:rsidRDefault="001F27D2" w:rsidP="007C1538">
            <w:pPr>
              <w:spacing w:before="0" w:after="0"/>
              <w:rPr>
                <w:rFonts w:cs="Calibri"/>
                <w:color w:val="000000"/>
                <w:sz w:val="22"/>
                <w:szCs w:val="22"/>
              </w:rPr>
            </w:pPr>
            <w:r w:rsidRPr="007C1538">
              <w:rPr>
                <w:rFonts w:cs="Calibri"/>
                <w:color w:val="000000"/>
                <w:sz w:val="22"/>
                <w:szCs w:val="22"/>
              </w:rPr>
              <w:t>1 Bed Other</w:t>
            </w:r>
          </w:p>
        </w:tc>
        <w:tc>
          <w:tcPr>
            <w:tcW w:w="1063" w:type="pct"/>
            <w:shd w:val="clear" w:color="auto" w:fill="auto"/>
            <w:noWrap/>
            <w:vAlign w:val="bottom"/>
          </w:tcPr>
          <w:p w14:paraId="32F3AFAD" w14:textId="77777777" w:rsidR="001F27D2" w:rsidRPr="007C1538" w:rsidRDefault="001F27D2" w:rsidP="007C1538">
            <w:pPr>
              <w:spacing w:before="0" w:after="0"/>
              <w:jc w:val="center"/>
              <w:rPr>
                <w:rFonts w:cs="Calibri"/>
                <w:sz w:val="22"/>
                <w:szCs w:val="22"/>
              </w:rPr>
            </w:pPr>
            <w:r w:rsidRPr="007C1538">
              <w:rPr>
                <w:rFonts w:cs="Calibri"/>
                <w:color w:val="000000"/>
                <w:sz w:val="22"/>
                <w:szCs w:val="22"/>
              </w:rPr>
              <w:t>0.0</w:t>
            </w:r>
          </w:p>
        </w:tc>
        <w:tc>
          <w:tcPr>
            <w:tcW w:w="1231" w:type="pct"/>
            <w:shd w:val="clear" w:color="auto" w:fill="auto"/>
            <w:noWrap/>
            <w:vAlign w:val="bottom"/>
          </w:tcPr>
          <w:p w14:paraId="49A74F32" w14:textId="77777777" w:rsidR="001F27D2" w:rsidRPr="007C1538" w:rsidRDefault="001F27D2" w:rsidP="007C1538">
            <w:pPr>
              <w:spacing w:before="0" w:after="0"/>
              <w:jc w:val="center"/>
              <w:rPr>
                <w:rFonts w:cs="Calibri"/>
                <w:sz w:val="22"/>
                <w:szCs w:val="22"/>
              </w:rPr>
            </w:pPr>
            <w:r w:rsidRPr="007C1538">
              <w:rPr>
                <w:rFonts w:cs="Calibri"/>
                <w:color w:val="000000"/>
                <w:sz w:val="22"/>
                <w:szCs w:val="22"/>
              </w:rPr>
              <w:t>0.0</w:t>
            </w:r>
          </w:p>
        </w:tc>
      </w:tr>
      <w:tr w:rsidR="001F27D2" w:rsidRPr="007C1538" w14:paraId="00DAA60B" w14:textId="77777777" w:rsidTr="001F27D2">
        <w:trPr>
          <w:trHeight w:val="300"/>
        </w:trPr>
        <w:tc>
          <w:tcPr>
            <w:tcW w:w="2706" w:type="pct"/>
            <w:shd w:val="clear" w:color="auto" w:fill="auto"/>
            <w:noWrap/>
            <w:vAlign w:val="bottom"/>
            <w:hideMark/>
          </w:tcPr>
          <w:p w14:paraId="433EFF5E" w14:textId="77777777" w:rsidR="001F27D2" w:rsidRPr="007C1538" w:rsidRDefault="001F27D2" w:rsidP="007C1538">
            <w:pPr>
              <w:spacing w:before="0" w:after="0"/>
              <w:rPr>
                <w:rFonts w:cs="Calibri"/>
                <w:color w:val="000000"/>
                <w:sz w:val="22"/>
                <w:szCs w:val="22"/>
              </w:rPr>
            </w:pPr>
            <w:r w:rsidRPr="007C1538">
              <w:rPr>
                <w:rFonts w:cs="Calibri"/>
                <w:color w:val="000000"/>
                <w:sz w:val="22"/>
                <w:szCs w:val="22"/>
              </w:rPr>
              <w:t>2 Bed Other</w:t>
            </w:r>
          </w:p>
        </w:tc>
        <w:tc>
          <w:tcPr>
            <w:tcW w:w="1063" w:type="pct"/>
            <w:shd w:val="clear" w:color="auto" w:fill="auto"/>
            <w:noWrap/>
            <w:vAlign w:val="bottom"/>
          </w:tcPr>
          <w:p w14:paraId="62D79FA6" w14:textId="77777777" w:rsidR="001F27D2" w:rsidRPr="007C1538" w:rsidRDefault="001F27D2" w:rsidP="007C1538">
            <w:pPr>
              <w:spacing w:before="0" w:after="0"/>
              <w:jc w:val="center"/>
              <w:rPr>
                <w:rFonts w:cs="Calibri"/>
                <w:sz w:val="22"/>
                <w:szCs w:val="22"/>
              </w:rPr>
            </w:pPr>
            <w:r w:rsidRPr="007C1538">
              <w:rPr>
                <w:rFonts w:cs="Calibri"/>
                <w:color w:val="000000"/>
                <w:sz w:val="22"/>
                <w:szCs w:val="22"/>
              </w:rPr>
              <w:t>0.0</w:t>
            </w:r>
          </w:p>
        </w:tc>
        <w:tc>
          <w:tcPr>
            <w:tcW w:w="1231" w:type="pct"/>
            <w:shd w:val="clear" w:color="auto" w:fill="auto"/>
            <w:noWrap/>
            <w:vAlign w:val="bottom"/>
          </w:tcPr>
          <w:p w14:paraId="05148FBB" w14:textId="77777777" w:rsidR="001F27D2" w:rsidRPr="007C1538" w:rsidRDefault="001F27D2" w:rsidP="007C1538">
            <w:pPr>
              <w:spacing w:before="0" w:after="0"/>
              <w:jc w:val="center"/>
              <w:rPr>
                <w:rFonts w:cs="Calibri"/>
                <w:sz w:val="22"/>
                <w:szCs w:val="22"/>
              </w:rPr>
            </w:pPr>
            <w:r w:rsidRPr="007C1538">
              <w:rPr>
                <w:rFonts w:cs="Calibri"/>
                <w:color w:val="000000"/>
                <w:sz w:val="22"/>
                <w:szCs w:val="22"/>
              </w:rPr>
              <w:t>0.0</w:t>
            </w:r>
          </w:p>
        </w:tc>
      </w:tr>
      <w:tr w:rsidR="001F27D2" w:rsidRPr="007C1538" w14:paraId="36299945" w14:textId="77777777" w:rsidTr="001F27D2">
        <w:trPr>
          <w:trHeight w:val="300"/>
        </w:trPr>
        <w:tc>
          <w:tcPr>
            <w:tcW w:w="2706" w:type="pct"/>
            <w:shd w:val="clear" w:color="auto" w:fill="auto"/>
            <w:noWrap/>
            <w:vAlign w:val="bottom"/>
            <w:hideMark/>
          </w:tcPr>
          <w:p w14:paraId="5F20B4CF" w14:textId="77777777" w:rsidR="001F27D2" w:rsidRPr="007C1538" w:rsidRDefault="001F27D2" w:rsidP="007C1538">
            <w:pPr>
              <w:spacing w:before="0" w:after="0"/>
              <w:rPr>
                <w:rFonts w:cs="Calibri"/>
                <w:color w:val="000000"/>
                <w:sz w:val="22"/>
                <w:szCs w:val="22"/>
              </w:rPr>
            </w:pPr>
            <w:r w:rsidRPr="007C1538">
              <w:rPr>
                <w:rFonts w:cs="Calibri"/>
                <w:color w:val="000000"/>
                <w:sz w:val="22"/>
                <w:szCs w:val="22"/>
              </w:rPr>
              <w:t>3+ Bed Other</w:t>
            </w:r>
          </w:p>
        </w:tc>
        <w:tc>
          <w:tcPr>
            <w:tcW w:w="1063" w:type="pct"/>
            <w:shd w:val="clear" w:color="auto" w:fill="auto"/>
            <w:noWrap/>
            <w:vAlign w:val="bottom"/>
          </w:tcPr>
          <w:p w14:paraId="04C5479D" w14:textId="77777777" w:rsidR="001F27D2" w:rsidRPr="007C1538" w:rsidRDefault="001F27D2" w:rsidP="007C1538">
            <w:pPr>
              <w:spacing w:before="0" w:after="0"/>
              <w:jc w:val="center"/>
              <w:rPr>
                <w:rFonts w:cs="Calibri"/>
                <w:sz w:val="22"/>
                <w:szCs w:val="22"/>
              </w:rPr>
            </w:pPr>
            <w:r w:rsidRPr="007C1538">
              <w:rPr>
                <w:rFonts w:cs="Calibri"/>
                <w:color w:val="000000"/>
                <w:sz w:val="22"/>
                <w:szCs w:val="22"/>
              </w:rPr>
              <w:t>0.6</w:t>
            </w:r>
          </w:p>
        </w:tc>
        <w:tc>
          <w:tcPr>
            <w:tcW w:w="1231" w:type="pct"/>
            <w:shd w:val="clear" w:color="auto" w:fill="auto"/>
            <w:noWrap/>
            <w:vAlign w:val="bottom"/>
          </w:tcPr>
          <w:p w14:paraId="1F590BE2" w14:textId="77777777" w:rsidR="001F27D2" w:rsidRPr="007C1538" w:rsidRDefault="001F27D2" w:rsidP="007C1538">
            <w:pPr>
              <w:spacing w:before="0" w:after="0"/>
              <w:jc w:val="center"/>
              <w:rPr>
                <w:rFonts w:cs="Calibri"/>
                <w:sz w:val="22"/>
                <w:szCs w:val="22"/>
              </w:rPr>
            </w:pPr>
            <w:r w:rsidRPr="007C1538">
              <w:rPr>
                <w:rFonts w:cs="Calibri"/>
                <w:color w:val="000000"/>
                <w:sz w:val="22"/>
                <w:szCs w:val="22"/>
              </w:rPr>
              <w:t>0.8</w:t>
            </w:r>
          </w:p>
        </w:tc>
      </w:tr>
      <w:tr w:rsidR="001F27D2" w:rsidRPr="007C1538" w14:paraId="4ED35A33" w14:textId="77777777" w:rsidTr="001F27D2">
        <w:trPr>
          <w:trHeight w:val="300"/>
        </w:trPr>
        <w:tc>
          <w:tcPr>
            <w:tcW w:w="2706" w:type="pct"/>
            <w:shd w:val="clear" w:color="auto" w:fill="auto"/>
            <w:noWrap/>
            <w:vAlign w:val="bottom"/>
          </w:tcPr>
          <w:p w14:paraId="74E9C06F" w14:textId="77777777" w:rsidR="001F27D2" w:rsidRPr="007C1538" w:rsidRDefault="001F27D2" w:rsidP="007C1538">
            <w:pPr>
              <w:spacing w:before="0" w:after="0"/>
              <w:rPr>
                <w:rFonts w:cs="Calibri"/>
                <w:color w:val="000000"/>
                <w:sz w:val="22"/>
                <w:szCs w:val="22"/>
              </w:rPr>
            </w:pPr>
            <w:r w:rsidRPr="007C1538">
              <w:rPr>
                <w:rFonts w:cs="Calibri"/>
                <w:color w:val="000000"/>
                <w:sz w:val="22"/>
                <w:szCs w:val="22"/>
              </w:rPr>
              <w:t>Total</w:t>
            </w:r>
          </w:p>
        </w:tc>
        <w:tc>
          <w:tcPr>
            <w:tcW w:w="1063" w:type="pct"/>
            <w:shd w:val="clear" w:color="auto" w:fill="auto"/>
            <w:noWrap/>
            <w:vAlign w:val="bottom"/>
          </w:tcPr>
          <w:p w14:paraId="46885065" w14:textId="77777777" w:rsidR="001F27D2" w:rsidRPr="007C1538" w:rsidRDefault="001F27D2" w:rsidP="007C1538">
            <w:pPr>
              <w:spacing w:before="0" w:after="0"/>
              <w:jc w:val="center"/>
              <w:rPr>
                <w:rFonts w:cs="Calibri"/>
                <w:color w:val="000000"/>
                <w:sz w:val="22"/>
                <w:szCs w:val="22"/>
              </w:rPr>
            </w:pPr>
            <w:r w:rsidRPr="007C1538">
              <w:rPr>
                <w:rFonts w:cs="Calibri"/>
                <w:color w:val="000000"/>
                <w:sz w:val="22"/>
                <w:szCs w:val="22"/>
              </w:rPr>
              <w:t>100.0</w:t>
            </w:r>
          </w:p>
        </w:tc>
        <w:tc>
          <w:tcPr>
            <w:tcW w:w="1231" w:type="pct"/>
            <w:shd w:val="clear" w:color="auto" w:fill="auto"/>
            <w:noWrap/>
            <w:vAlign w:val="bottom"/>
          </w:tcPr>
          <w:p w14:paraId="76810615" w14:textId="77777777" w:rsidR="001F27D2" w:rsidRPr="007C1538" w:rsidRDefault="001F27D2" w:rsidP="007C1538">
            <w:pPr>
              <w:spacing w:before="0" w:after="0"/>
              <w:jc w:val="center"/>
              <w:rPr>
                <w:rFonts w:cs="Calibri"/>
                <w:sz w:val="22"/>
                <w:szCs w:val="22"/>
              </w:rPr>
            </w:pPr>
            <w:r w:rsidRPr="007C1538">
              <w:rPr>
                <w:rFonts w:cs="Calibri"/>
                <w:color w:val="000000"/>
                <w:sz w:val="22"/>
                <w:szCs w:val="22"/>
              </w:rPr>
              <w:t>100.0</w:t>
            </w:r>
          </w:p>
        </w:tc>
      </w:tr>
      <w:tr w:rsidR="001F27D2" w:rsidRPr="007C1538" w14:paraId="121DF4F6" w14:textId="77777777" w:rsidTr="001F27D2">
        <w:trPr>
          <w:trHeight w:val="300"/>
        </w:trPr>
        <w:tc>
          <w:tcPr>
            <w:tcW w:w="2706" w:type="pct"/>
            <w:tcBorders>
              <w:bottom w:val="single" w:sz="4" w:space="0" w:color="006666"/>
            </w:tcBorders>
            <w:shd w:val="clear" w:color="auto" w:fill="auto"/>
            <w:noWrap/>
            <w:vAlign w:val="bottom"/>
          </w:tcPr>
          <w:p w14:paraId="1D38390F" w14:textId="77777777" w:rsidR="001F27D2" w:rsidRPr="007C1538" w:rsidRDefault="001F27D2" w:rsidP="007C1538">
            <w:pPr>
              <w:spacing w:before="0" w:after="0"/>
              <w:rPr>
                <w:rFonts w:cs="Calibri"/>
                <w:i/>
                <w:color w:val="000000"/>
                <w:sz w:val="22"/>
                <w:szCs w:val="22"/>
              </w:rPr>
            </w:pPr>
            <w:r w:rsidRPr="007C1538">
              <w:rPr>
                <w:rFonts w:cs="Calibri"/>
                <w:i/>
                <w:color w:val="000000"/>
                <w:sz w:val="22"/>
                <w:szCs w:val="22"/>
              </w:rPr>
              <w:t>Base (Valid responses)</w:t>
            </w:r>
          </w:p>
        </w:tc>
        <w:tc>
          <w:tcPr>
            <w:tcW w:w="1063" w:type="pct"/>
            <w:tcBorders>
              <w:bottom w:val="single" w:sz="4" w:space="0" w:color="006666"/>
            </w:tcBorders>
            <w:shd w:val="clear" w:color="auto" w:fill="auto"/>
            <w:noWrap/>
          </w:tcPr>
          <w:p w14:paraId="10F1C8D2" w14:textId="77777777" w:rsidR="001F27D2" w:rsidRPr="007C1538" w:rsidRDefault="001F27D2" w:rsidP="007C1538">
            <w:pPr>
              <w:spacing w:before="0" w:after="0"/>
              <w:jc w:val="center"/>
              <w:rPr>
                <w:rFonts w:cs="Calibri"/>
                <w:i/>
                <w:color w:val="000000"/>
                <w:sz w:val="22"/>
                <w:szCs w:val="22"/>
              </w:rPr>
            </w:pPr>
            <w:r w:rsidRPr="007C1538">
              <w:rPr>
                <w:rFonts w:cs="Calibri"/>
                <w:i/>
                <w:color w:val="000000"/>
                <w:sz w:val="22"/>
                <w:szCs w:val="22"/>
              </w:rPr>
              <w:t>6,886</w:t>
            </w:r>
          </w:p>
        </w:tc>
        <w:tc>
          <w:tcPr>
            <w:tcW w:w="1231" w:type="pct"/>
            <w:tcBorders>
              <w:bottom w:val="single" w:sz="4" w:space="0" w:color="006666"/>
            </w:tcBorders>
            <w:shd w:val="clear" w:color="auto" w:fill="auto"/>
            <w:noWrap/>
          </w:tcPr>
          <w:p w14:paraId="26B1E7FF" w14:textId="77777777" w:rsidR="001F27D2" w:rsidRPr="007C1538" w:rsidRDefault="001F27D2" w:rsidP="007C1538">
            <w:pPr>
              <w:spacing w:before="0" w:after="0"/>
              <w:jc w:val="center"/>
              <w:rPr>
                <w:rFonts w:cs="Calibri"/>
                <w:i/>
                <w:color w:val="000000"/>
                <w:sz w:val="22"/>
                <w:szCs w:val="22"/>
              </w:rPr>
            </w:pPr>
            <w:r w:rsidRPr="007C1538">
              <w:rPr>
                <w:rFonts w:cs="Calibri"/>
                <w:i/>
                <w:color w:val="000000"/>
                <w:sz w:val="22"/>
                <w:szCs w:val="22"/>
              </w:rPr>
              <w:t>1,756</w:t>
            </w:r>
          </w:p>
        </w:tc>
      </w:tr>
    </w:tbl>
    <w:p w14:paraId="224B343F" w14:textId="77777777" w:rsidR="001F27D2" w:rsidRPr="002B2A7F" w:rsidRDefault="001F27D2" w:rsidP="001F27D2">
      <w:pPr>
        <w:rPr>
          <w:rFonts w:asciiTheme="minorHAnsi" w:hAnsiTheme="minorHAnsi" w:cs="Calibri"/>
          <w:sz w:val="20"/>
          <w:szCs w:val="20"/>
        </w:rPr>
      </w:pPr>
      <w:r w:rsidRPr="002B2A7F">
        <w:rPr>
          <w:rFonts w:asciiTheme="minorHAnsi" w:hAnsiTheme="minorHAnsi" w:cs="Calibri"/>
          <w:sz w:val="20"/>
          <w:szCs w:val="20"/>
        </w:rPr>
        <w:t>Source: 2018 Household Survey</w:t>
      </w:r>
    </w:p>
    <w:p w14:paraId="3A20152D" w14:textId="77777777" w:rsidR="001F27D2" w:rsidRPr="002B2A7F" w:rsidRDefault="001F27D2" w:rsidP="001F27D2">
      <w:pPr>
        <w:rPr>
          <w:rFonts w:asciiTheme="minorHAnsi" w:hAnsiTheme="minorHAnsi" w:cs="Calibri"/>
          <w:sz w:val="20"/>
          <w:szCs w:val="20"/>
          <w:lang w:val="x-none"/>
        </w:rPr>
      </w:pPr>
    </w:p>
    <w:p w14:paraId="7BD93357" w14:textId="77777777" w:rsidR="001F27D2" w:rsidRPr="002B2A7F" w:rsidRDefault="001F27D2" w:rsidP="001F27D2">
      <w:pPr>
        <w:pStyle w:val="Reporttext"/>
      </w:pPr>
      <w:r w:rsidRPr="002B2A7F">
        <w:t>In terms of housing need (</w:t>
      </w:r>
      <w:r w:rsidRPr="002B2A7F">
        <w:rPr>
          <w:lang w:val="en-US"/>
        </w:rPr>
        <w:t>see</w:t>
      </w:r>
      <w:r w:rsidRPr="002B2A7F">
        <w:t xml:space="preserve"> Table 5.4), compared with the overall proportion of households in need of 11.1%, around 15.5% of all families are in housing need. Overall, 15.7% of couples with children under 18 are in housing need and 16.4% of couples with </w:t>
      </w:r>
      <w:r w:rsidRPr="002B2A7F">
        <w:lastRenderedPageBreak/>
        <w:t xml:space="preserve">adult children living at home are in housing need. The proportion of households in need is highest amongst lone parents with 3 or more children under 18 (33.1%) and lone parents with child(ren) under 18 (23.1%) </w:t>
      </w:r>
    </w:p>
    <w:p w14:paraId="56938232" w14:textId="77777777" w:rsidR="001F27D2" w:rsidRPr="002B2A7F" w:rsidRDefault="001F27D2" w:rsidP="001F27D2">
      <w:pPr>
        <w:pStyle w:val="Reporttext"/>
      </w:pPr>
      <w:r w:rsidRPr="002B2A7F">
        <w:t xml:space="preserve">Modelling of affordable housing requirements suggests that a range of affordable dwellings are required which will help to address the needs of families. </w:t>
      </w:r>
    </w:p>
    <w:p w14:paraId="73F6A016" w14:textId="77777777" w:rsidR="001F27D2" w:rsidRPr="002B2A7F" w:rsidRDefault="001F27D2" w:rsidP="001F27D2">
      <w:pPr>
        <w:pStyle w:val="Reporttext"/>
      </w:pPr>
      <w:r w:rsidRPr="002B2A7F">
        <w:t xml:space="preserve">Looking further into the tenure occupied by families in housing need suggests that around 40.9% of families in housing need currently live in private rented accommodation, 34.8% are owner occupiers and 24.3% live in affordable accommodation. </w:t>
      </w:r>
    </w:p>
    <w:p w14:paraId="5BACB041" w14:textId="77777777" w:rsidR="001F27D2" w:rsidRPr="002B2A7F" w:rsidRDefault="001F27D2" w:rsidP="001F27D2">
      <w:pPr>
        <w:rPr>
          <w:rFonts w:asciiTheme="minorHAnsi" w:hAnsiTheme="minorHAnsi" w:cs="Calibri"/>
        </w:rPr>
      </w:pPr>
    </w:p>
    <w:p w14:paraId="0AF2837C" w14:textId="77777777" w:rsidR="001F27D2" w:rsidRPr="002B2A7F" w:rsidRDefault="001F27D2" w:rsidP="001F27D2">
      <w:pPr>
        <w:pStyle w:val="Heading2"/>
        <w:rPr>
          <w:rFonts w:asciiTheme="minorHAnsi" w:hAnsiTheme="minorHAnsi"/>
          <w:lang w:val="x-none"/>
        </w:rPr>
      </w:pPr>
      <w:bookmarkStart w:id="467" w:name="_Toc529780767"/>
      <w:bookmarkStart w:id="468" w:name="_Toc531122891"/>
      <w:bookmarkStart w:id="469" w:name="_Toc532812423"/>
      <w:r w:rsidRPr="002B2A7F">
        <w:rPr>
          <w:rFonts w:asciiTheme="minorHAnsi" w:hAnsiTheme="minorHAnsi"/>
        </w:rPr>
        <w:t>Housing for o</w:t>
      </w:r>
      <w:r w:rsidRPr="002B2A7F">
        <w:rPr>
          <w:rFonts w:asciiTheme="minorHAnsi" w:hAnsiTheme="minorHAnsi"/>
          <w:lang w:val="x-none"/>
        </w:rPr>
        <w:t>lder people</w:t>
      </w:r>
      <w:bookmarkEnd w:id="456"/>
      <w:bookmarkEnd w:id="457"/>
      <w:bookmarkEnd w:id="458"/>
      <w:bookmarkEnd w:id="467"/>
      <w:bookmarkEnd w:id="468"/>
      <w:bookmarkEnd w:id="469"/>
    </w:p>
    <w:p w14:paraId="14AAE5AB" w14:textId="34BC87E2" w:rsidR="001F27D2" w:rsidRPr="002B2A7F" w:rsidRDefault="001F27D2" w:rsidP="001F27D2">
      <w:pPr>
        <w:pStyle w:val="Reporttext"/>
      </w:pPr>
      <w:r w:rsidRPr="002B2A7F">
        <w:t xml:space="preserve">The 2018 Planning Practice Guidance </w:t>
      </w:r>
      <w:r w:rsidRPr="002B2A7F">
        <w:rPr>
          <w:lang w:val="en-US"/>
        </w:rPr>
        <w:t>state</w:t>
      </w:r>
      <w:r w:rsidRPr="002B2A7F">
        <w:t>s that ‘</w:t>
      </w:r>
      <w:r w:rsidRPr="002B2A7F">
        <w:rPr>
          <w:lang w:val="en-US"/>
        </w:rPr>
        <w:t xml:space="preserve">The health and lifestyles of older people will differ greatly, as will their housing needs. Strategic policy-making authorities will need to determine in relation to their </w:t>
      </w:r>
      <w:r w:rsidR="002B3FC9">
        <w:rPr>
          <w:lang w:val="en-US"/>
        </w:rPr>
        <w:t>P</w:t>
      </w:r>
      <w:r w:rsidRPr="002B2A7F">
        <w:rPr>
          <w:lang w:val="en-US"/>
        </w:rPr>
        <w:t xml:space="preserve">lan </w:t>
      </w:r>
      <w:r w:rsidR="002B3FC9">
        <w:rPr>
          <w:lang w:val="en-US"/>
        </w:rPr>
        <w:t>P</w:t>
      </w:r>
      <w:r w:rsidRPr="002B2A7F">
        <w:rPr>
          <w:lang w:val="en-US"/>
        </w:rPr>
        <w:t>eriod the needs of people who will be approaching or reaching retirement as well as older people now’. It continues ‘Strategic policy-making authorities will need to consider the size, location and quality of dwellings needed in the future for older people in order to allow them to live independently and safely in their own home for as long as possible, or to move to more suitable accommodation if they so wish. Supporting independent living can help to reduce the costs to health and social services and providing more options for older people to move could also free up houses that are under occupied.’</w:t>
      </w:r>
    </w:p>
    <w:p w14:paraId="7B399EBE" w14:textId="77777777" w:rsidR="001F27D2" w:rsidRPr="002B2A7F" w:rsidRDefault="001F27D2" w:rsidP="001F27D2">
      <w:pPr>
        <w:pStyle w:val="Reporttext"/>
      </w:pPr>
      <w:r w:rsidRPr="002B2A7F">
        <w:t>The PPG recommends the following are considered in an assessment of older persons need:</w:t>
      </w:r>
    </w:p>
    <w:p w14:paraId="6C8BE61E" w14:textId="77777777" w:rsidR="001F27D2" w:rsidRPr="002B2A7F" w:rsidRDefault="001F27D2" w:rsidP="001F27D2">
      <w:pPr>
        <w:pStyle w:val="bullet"/>
        <w:spacing w:before="0"/>
        <w:jc w:val="left"/>
        <w:rPr>
          <w:rFonts w:asciiTheme="minorHAnsi" w:hAnsiTheme="minorHAnsi"/>
        </w:rPr>
      </w:pPr>
      <w:r w:rsidRPr="002B2A7F">
        <w:rPr>
          <w:rFonts w:asciiTheme="minorHAnsi" w:hAnsiTheme="minorHAnsi"/>
        </w:rPr>
        <w:t>The future need for specialist accommodation (e.g. sheltered, enhanced sheltered, extra care, registered care), broken down by type and tenure;</w:t>
      </w:r>
    </w:p>
    <w:p w14:paraId="4E07F9EB" w14:textId="77777777" w:rsidR="001F27D2" w:rsidRPr="002B2A7F" w:rsidRDefault="001F27D2" w:rsidP="001F27D2">
      <w:pPr>
        <w:pStyle w:val="bullet"/>
        <w:spacing w:before="0"/>
        <w:jc w:val="left"/>
        <w:rPr>
          <w:rFonts w:asciiTheme="minorHAnsi" w:hAnsiTheme="minorHAnsi"/>
        </w:rPr>
      </w:pPr>
      <w:r w:rsidRPr="002B2A7F">
        <w:rPr>
          <w:rFonts w:asciiTheme="minorHAnsi" w:hAnsiTheme="minorHAnsi"/>
        </w:rPr>
        <w:t>The need for care in residential institutions (C2); and</w:t>
      </w:r>
    </w:p>
    <w:p w14:paraId="230B914D" w14:textId="77777777" w:rsidR="001F27D2" w:rsidRPr="002B2A7F" w:rsidRDefault="001F27D2" w:rsidP="001F27D2">
      <w:pPr>
        <w:pStyle w:val="bullet"/>
        <w:spacing w:before="0"/>
        <w:jc w:val="left"/>
        <w:rPr>
          <w:rFonts w:asciiTheme="minorHAnsi" w:hAnsiTheme="minorHAnsi"/>
        </w:rPr>
      </w:pPr>
      <w:r w:rsidRPr="002B2A7F">
        <w:rPr>
          <w:rFonts w:asciiTheme="minorHAnsi" w:hAnsiTheme="minorHAnsi"/>
        </w:rPr>
        <w:t>The role of general housing and in particular bungalows and homes that can be adapted to meet a change in needs.</w:t>
      </w:r>
    </w:p>
    <w:p w14:paraId="0DD20427" w14:textId="75B544D9" w:rsidR="001F27D2" w:rsidRPr="002B2A7F" w:rsidRDefault="001F27D2" w:rsidP="001F27D2">
      <w:pPr>
        <w:pStyle w:val="Reporttext"/>
      </w:pPr>
      <w:bookmarkStart w:id="470" w:name="_Toc400354136"/>
      <w:r w:rsidRPr="002B2A7F">
        <w:t xml:space="preserve">A major strategic challenge for the Council is to ensure a range of appropriate housing provision, adaptation and support for the </w:t>
      </w:r>
      <w:r w:rsidR="00617740">
        <w:t>D</w:t>
      </w:r>
      <w:r w:rsidRPr="002B2A7F">
        <w:t xml:space="preserve">istrict’s older population. The number of people across the </w:t>
      </w:r>
      <w:r w:rsidR="00617740">
        <w:t>D</w:t>
      </w:r>
      <w:r w:rsidRPr="002B2A7F">
        <w:t>istrict aged 65 or over is projected to increase from 14,100 in 2018 to 18,200 by 2032 (29.1% increase)</w:t>
      </w:r>
      <w:r w:rsidRPr="002B2A7F">
        <w:rPr>
          <w:vertAlign w:val="superscript"/>
        </w:rPr>
        <w:footnoteReference w:id="16"/>
      </w:r>
      <w:r w:rsidRPr="002B2A7F">
        <w:t>.</w:t>
      </w:r>
    </w:p>
    <w:p w14:paraId="4CF60317" w14:textId="461F3ECE" w:rsidR="001F27D2" w:rsidRPr="002B2A7F" w:rsidRDefault="001F27D2" w:rsidP="001F27D2">
      <w:pPr>
        <w:pStyle w:val="Reporttext"/>
      </w:pPr>
      <w:r w:rsidRPr="002B2A7F">
        <w:t>According to 2014-based household projections</w:t>
      </w:r>
      <w:r w:rsidRPr="002B2A7F">
        <w:rPr>
          <w:rStyle w:val="FootnoteReference"/>
        </w:rPr>
        <w:footnoteReference w:id="17"/>
      </w:r>
      <w:r w:rsidRPr="002B2A7F">
        <w:t>, the number of households headed by someone aged 60 and over is expected to increase by around 3,140</w:t>
      </w:r>
      <w:r w:rsidRPr="002B2A7F">
        <w:rPr>
          <w:lang w:val="en-US"/>
        </w:rPr>
        <w:t xml:space="preserve"> by 2032.</w:t>
      </w:r>
    </w:p>
    <w:p w14:paraId="14E168AB" w14:textId="5E766A3F" w:rsidR="001F27D2" w:rsidRPr="002B2A7F" w:rsidRDefault="001F27D2" w:rsidP="001F27D2">
      <w:pPr>
        <w:pStyle w:val="Reporttext"/>
      </w:pPr>
      <w:r w:rsidRPr="002B2A7F">
        <w:rPr>
          <w:lang w:val="en-US"/>
        </w:rPr>
        <w:t xml:space="preserve">Household survey data </w:t>
      </w:r>
      <w:r w:rsidRPr="002B2A7F">
        <w:t xml:space="preserve">(Table </w:t>
      </w:r>
      <w:r w:rsidRPr="002B2A7F">
        <w:rPr>
          <w:lang w:val="en-US"/>
        </w:rPr>
        <w:t>6.2</w:t>
      </w:r>
      <w:r w:rsidRPr="002B2A7F">
        <w:t>) indicates that older people are particularly living in three</w:t>
      </w:r>
      <w:r w:rsidRPr="002B2A7F">
        <w:rPr>
          <w:lang w:val="en-US"/>
        </w:rPr>
        <w:t>-</w:t>
      </w:r>
      <w:r w:rsidRPr="002B2A7F">
        <w:t xml:space="preserve"> and four</w:t>
      </w:r>
      <w:r w:rsidRPr="002B2A7F">
        <w:rPr>
          <w:lang w:val="en-US"/>
        </w:rPr>
        <w:t>-</w:t>
      </w:r>
      <w:r w:rsidRPr="002B2A7F">
        <w:t xml:space="preserve"> bedroom houses</w:t>
      </w:r>
      <w:r w:rsidRPr="002B2A7F">
        <w:rPr>
          <w:lang w:val="en-US"/>
        </w:rPr>
        <w:t xml:space="preserve"> and around one-fifth live in bungalows. T</w:t>
      </w:r>
      <w:r w:rsidRPr="002B2A7F">
        <w:t>here are strong aspirations and expectations towards 1 and 2-bedroom flats</w:t>
      </w:r>
      <w:r w:rsidR="00617740">
        <w:t>,</w:t>
      </w:r>
      <w:r w:rsidRPr="002B2A7F">
        <w:t xml:space="preserve"> bungalows </w:t>
      </w:r>
      <w:r w:rsidRPr="002B2A7F">
        <w:rPr>
          <w:lang w:val="en-US"/>
        </w:rPr>
        <w:t xml:space="preserve">(or level-access accommodation). </w:t>
      </w:r>
      <w:r w:rsidRPr="002B2A7F">
        <w:t xml:space="preserve">Given the </w:t>
      </w:r>
      <w:r w:rsidRPr="002B2A7F">
        <w:rPr>
          <w:lang w:val="en-US"/>
        </w:rPr>
        <w:t xml:space="preserve">anticipated </w:t>
      </w:r>
      <w:r w:rsidRPr="002B2A7F">
        <w:t xml:space="preserve">increase in older person </w:t>
      </w:r>
      <w:r w:rsidRPr="002B2A7F">
        <w:lastRenderedPageBreak/>
        <w:t xml:space="preserve">households, it is important that the Council recognises the impact this will have on the range of dwelling types and sizes being developed over the plan period. </w:t>
      </w:r>
    </w:p>
    <w:p w14:paraId="26791D66" w14:textId="77777777" w:rsidR="001F27D2" w:rsidRPr="002B2A7F" w:rsidRDefault="001F27D2" w:rsidP="001F27D2">
      <w:pPr>
        <w:rPr>
          <w:rFonts w:asciiTheme="minorHAnsi" w:hAnsiTheme="minorHAnsi" w:cs="Calibri"/>
        </w:rPr>
      </w:pPr>
    </w:p>
    <w:tbl>
      <w:tblPr>
        <w:tblW w:w="4573" w:type="pct"/>
        <w:tblInd w:w="720"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863"/>
        <w:gridCol w:w="2628"/>
        <w:gridCol w:w="2905"/>
      </w:tblGrid>
      <w:tr w:rsidR="001F27D2" w:rsidRPr="007C1538" w14:paraId="5F0C1A61" w14:textId="77777777" w:rsidTr="007C1538">
        <w:trPr>
          <w:trHeight w:val="300"/>
        </w:trPr>
        <w:tc>
          <w:tcPr>
            <w:tcW w:w="5000" w:type="pct"/>
            <w:gridSpan w:val="3"/>
            <w:shd w:val="clear" w:color="auto" w:fill="009999"/>
            <w:noWrap/>
            <w:vAlign w:val="bottom"/>
            <w:hideMark/>
          </w:tcPr>
          <w:p w14:paraId="0F698B27" w14:textId="77777777" w:rsidR="001F27D2" w:rsidRPr="007C1538" w:rsidRDefault="001F27D2" w:rsidP="007C1538">
            <w:pPr>
              <w:pStyle w:val="Tableheading1"/>
              <w:rPr>
                <w:color w:val="000000"/>
              </w:rPr>
            </w:pPr>
            <w:bookmarkStart w:id="471" w:name="_Toc531122955"/>
            <w:bookmarkStart w:id="472" w:name="_Toc532812490"/>
            <w:r w:rsidRPr="007C1538">
              <w:t>Table 6</w:t>
            </w:r>
            <w:r w:rsidRPr="007C1538">
              <w:rPr>
                <w:lang w:val="en-US"/>
              </w:rPr>
              <w:t>.2</w:t>
            </w:r>
            <w:r w:rsidRPr="007C1538">
              <w:tab/>
              <w:t>Property type current and expectation – older people</w:t>
            </w:r>
            <w:bookmarkEnd w:id="471"/>
            <w:bookmarkEnd w:id="472"/>
          </w:p>
        </w:tc>
      </w:tr>
      <w:tr w:rsidR="001F27D2" w:rsidRPr="007C1538" w14:paraId="2084EDD7" w14:textId="77777777" w:rsidTr="007C1538">
        <w:trPr>
          <w:trHeight w:val="300"/>
        </w:trPr>
        <w:tc>
          <w:tcPr>
            <w:tcW w:w="1705" w:type="pct"/>
            <w:shd w:val="clear" w:color="auto" w:fill="009999"/>
            <w:noWrap/>
            <w:vAlign w:val="bottom"/>
            <w:hideMark/>
          </w:tcPr>
          <w:p w14:paraId="6E5CD274" w14:textId="77777777" w:rsidR="001F27D2" w:rsidRPr="007C1538" w:rsidRDefault="001F27D2" w:rsidP="007C1538">
            <w:pPr>
              <w:spacing w:before="0" w:after="0"/>
              <w:rPr>
                <w:rFonts w:cs="Calibri"/>
                <w:b/>
                <w:bCs/>
                <w:color w:val="FFFFFF"/>
                <w:sz w:val="22"/>
                <w:szCs w:val="22"/>
              </w:rPr>
            </w:pPr>
            <w:r w:rsidRPr="007C1538">
              <w:rPr>
                <w:rFonts w:cs="Calibri"/>
                <w:b/>
                <w:bCs/>
                <w:color w:val="FFFFFF"/>
                <w:sz w:val="22"/>
                <w:szCs w:val="22"/>
              </w:rPr>
              <w:t>Dwelling type</w:t>
            </w:r>
          </w:p>
        </w:tc>
        <w:tc>
          <w:tcPr>
            <w:tcW w:w="1565" w:type="pct"/>
            <w:shd w:val="clear" w:color="auto" w:fill="009999"/>
            <w:noWrap/>
            <w:vAlign w:val="bottom"/>
            <w:hideMark/>
          </w:tcPr>
          <w:p w14:paraId="7A029676" w14:textId="77777777" w:rsidR="001F27D2" w:rsidRPr="007C1538" w:rsidRDefault="001F27D2" w:rsidP="007C1538">
            <w:pPr>
              <w:spacing w:before="0" w:after="0"/>
              <w:jc w:val="center"/>
              <w:rPr>
                <w:rFonts w:cs="Calibri"/>
                <w:b/>
                <w:bCs/>
                <w:color w:val="FFFFFF"/>
                <w:sz w:val="22"/>
                <w:szCs w:val="22"/>
              </w:rPr>
            </w:pPr>
            <w:r w:rsidRPr="007C1538">
              <w:rPr>
                <w:rFonts w:cs="Calibri"/>
                <w:b/>
                <w:bCs/>
                <w:color w:val="FFFFFF"/>
                <w:sz w:val="22"/>
                <w:szCs w:val="22"/>
              </w:rPr>
              <w:t>Current dwelling</w:t>
            </w:r>
          </w:p>
        </w:tc>
        <w:tc>
          <w:tcPr>
            <w:tcW w:w="1731" w:type="pct"/>
            <w:shd w:val="clear" w:color="auto" w:fill="009999"/>
            <w:noWrap/>
            <w:vAlign w:val="bottom"/>
            <w:hideMark/>
          </w:tcPr>
          <w:p w14:paraId="5053237A" w14:textId="77777777" w:rsidR="001F27D2" w:rsidRPr="007C1538" w:rsidRDefault="001F27D2" w:rsidP="007C1538">
            <w:pPr>
              <w:spacing w:before="0" w:after="0"/>
              <w:jc w:val="center"/>
              <w:rPr>
                <w:rFonts w:cs="Calibri"/>
                <w:b/>
                <w:bCs/>
                <w:color w:val="FFFFFF"/>
                <w:sz w:val="22"/>
                <w:szCs w:val="22"/>
              </w:rPr>
            </w:pPr>
            <w:r w:rsidRPr="007C1538">
              <w:rPr>
                <w:rFonts w:cs="Calibri"/>
                <w:b/>
                <w:bCs/>
                <w:color w:val="FFFFFF"/>
                <w:sz w:val="22"/>
                <w:szCs w:val="22"/>
              </w:rPr>
              <w:t>Expect</w:t>
            </w:r>
          </w:p>
        </w:tc>
      </w:tr>
      <w:tr w:rsidR="001F27D2" w:rsidRPr="007C1538" w14:paraId="57314A03" w14:textId="77777777" w:rsidTr="007C1538">
        <w:trPr>
          <w:trHeight w:val="189"/>
        </w:trPr>
        <w:tc>
          <w:tcPr>
            <w:tcW w:w="1705" w:type="pct"/>
            <w:shd w:val="clear" w:color="auto" w:fill="auto"/>
            <w:noWrap/>
            <w:vAlign w:val="bottom"/>
            <w:hideMark/>
          </w:tcPr>
          <w:p w14:paraId="26A527E0" w14:textId="77777777" w:rsidR="001F27D2" w:rsidRPr="007C1538" w:rsidRDefault="001F27D2" w:rsidP="007C1538">
            <w:pPr>
              <w:spacing w:before="0" w:after="0"/>
              <w:rPr>
                <w:rFonts w:cs="Calibri"/>
                <w:color w:val="000000"/>
                <w:sz w:val="22"/>
                <w:szCs w:val="22"/>
              </w:rPr>
            </w:pPr>
            <w:r w:rsidRPr="007C1538">
              <w:rPr>
                <w:rFonts w:cs="Calibri"/>
                <w:color w:val="000000"/>
                <w:sz w:val="22"/>
                <w:szCs w:val="22"/>
              </w:rPr>
              <w:t>1 Bed House</w:t>
            </w:r>
          </w:p>
        </w:tc>
        <w:tc>
          <w:tcPr>
            <w:tcW w:w="1565" w:type="pct"/>
            <w:shd w:val="clear" w:color="auto" w:fill="auto"/>
            <w:noWrap/>
            <w:vAlign w:val="bottom"/>
          </w:tcPr>
          <w:p w14:paraId="28F77CE4" w14:textId="77777777" w:rsidR="001F27D2" w:rsidRPr="007C1538" w:rsidRDefault="001F27D2" w:rsidP="007C1538">
            <w:pPr>
              <w:spacing w:before="0" w:after="0"/>
              <w:jc w:val="center"/>
              <w:rPr>
                <w:rFonts w:cs="Calibri"/>
                <w:sz w:val="22"/>
                <w:szCs w:val="22"/>
              </w:rPr>
            </w:pPr>
            <w:r w:rsidRPr="007C1538">
              <w:rPr>
                <w:rFonts w:cs="Calibri"/>
                <w:color w:val="000000"/>
                <w:sz w:val="22"/>
                <w:szCs w:val="22"/>
              </w:rPr>
              <w:t>0.9</w:t>
            </w:r>
          </w:p>
        </w:tc>
        <w:tc>
          <w:tcPr>
            <w:tcW w:w="1731" w:type="pct"/>
            <w:shd w:val="clear" w:color="auto" w:fill="auto"/>
            <w:noWrap/>
            <w:vAlign w:val="bottom"/>
          </w:tcPr>
          <w:p w14:paraId="397EF95D" w14:textId="77777777" w:rsidR="001F27D2" w:rsidRPr="007C1538" w:rsidRDefault="001F27D2" w:rsidP="007C1538">
            <w:pPr>
              <w:spacing w:before="0" w:after="0"/>
              <w:jc w:val="center"/>
              <w:rPr>
                <w:rFonts w:cs="Calibri"/>
                <w:sz w:val="22"/>
                <w:szCs w:val="22"/>
              </w:rPr>
            </w:pPr>
            <w:r w:rsidRPr="007C1538">
              <w:rPr>
                <w:rFonts w:cs="Calibri"/>
                <w:color w:val="000000"/>
                <w:sz w:val="22"/>
                <w:szCs w:val="22"/>
              </w:rPr>
              <w:t>0.0</w:t>
            </w:r>
          </w:p>
        </w:tc>
      </w:tr>
      <w:tr w:rsidR="001F27D2" w:rsidRPr="007C1538" w14:paraId="333AAF69" w14:textId="77777777" w:rsidTr="007C1538">
        <w:trPr>
          <w:trHeight w:val="300"/>
        </w:trPr>
        <w:tc>
          <w:tcPr>
            <w:tcW w:w="1705" w:type="pct"/>
            <w:shd w:val="clear" w:color="auto" w:fill="auto"/>
            <w:noWrap/>
            <w:vAlign w:val="bottom"/>
          </w:tcPr>
          <w:p w14:paraId="18F13E24" w14:textId="77777777" w:rsidR="001F27D2" w:rsidRPr="007C1538" w:rsidRDefault="001F27D2" w:rsidP="007C1538">
            <w:pPr>
              <w:spacing w:before="0" w:after="0"/>
              <w:rPr>
                <w:rFonts w:cs="Calibri"/>
                <w:color w:val="000000"/>
                <w:sz w:val="22"/>
                <w:szCs w:val="22"/>
              </w:rPr>
            </w:pPr>
            <w:r w:rsidRPr="007C1538">
              <w:rPr>
                <w:rFonts w:cs="Calibri"/>
                <w:color w:val="000000"/>
                <w:sz w:val="22"/>
                <w:szCs w:val="22"/>
              </w:rPr>
              <w:t>2 Bed House</w:t>
            </w:r>
          </w:p>
        </w:tc>
        <w:tc>
          <w:tcPr>
            <w:tcW w:w="1565" w:type="pct"/>
            <w:shd w:val="clear" w:color="auto" w:fill="auto"/>
            <w:noWrap/>
            <w:vAlign w:val="bottom"/>
          </w:tcPr>
          <w:p w14:paraId="79E9B7E0" w14:textId="77777777" w:rsidR="001F27D2" w:rsidRPr="007C1538" w:rsidRDefault="001F27D2" w:rsidP="007C1538">
            <w:pPr>
              <w:spacing w:before="0" w:after="0"/>
              <w:jc w:val="center"/>
              <w:rPr>
                <w:rFonts w:cs="Calibri"/>
                <w:sz w:val="22"/>
                <w:szCs w:val="22"/>
              </w:rPr>
            </w:pPr>
            <w:r w:rsidRPr="007C1538">
              <w:rPr>
                <w:rFonts w:cs="Calibri"/>
                <w:color w:val="000000"/>
                <w:sz w:val="22"/>
                <w:szCs w:val="22"/>
              </w:rPr>
              <w:t>11.6</w:t>
            </w:r>
          </w:p>
        </w:tc>
        <w:tc>
          <w:tcPr>
            <w:tcW w:w="1731" w:type="pct"/>
            <w:shd w:val="clear" w:color="auto" w:fill="auto"/>
            <w:noWrap/>
            <w:vAlign w:val="bottom"/>
          </w:tcPr>
          <w:p w14:paraId="1640138C" w14:textId="77777777" w:rsidR="001F27D2" w:rsidRPr="007C1538" w:rsidRDefault="001F27D2" w:rsidP="007C1538">
            <w:pPr>
              <w:spacing w:before="0" w:after="0"/>
              <w:jc w:val="center"/>
              <w:rPr>
                <w:rFonts w:cs="Calibri"/>
                <w:sz w:val="22"/>
                <w:szCs w:val="22"/>
              </w:rPr>
            </w:pPr>
            <w:r w:rsidRPr="007C1538">
              <w:rPr>
                <w:rFonts w:cs="Calibri"/>
                <w:color w:val="000000"/>
                <w:sz w:val="22"/>
                <w:szCs w:val="22"/>
              </w:rPr>
              <w:t>11.5</w:t>
            </w:r>
          </w:p>
        </w:tc>
      </w:tr>
      <w:tr w:rsidR="001F27D2" w:rsidRPr="007C1538" w14:paraId="6DA57830" w14:textId="77777777" w:rsidTr="007C1538">
        <w:trPr>
          <w:trHeight w:val="300"/>
        </w:trPr>
        <w:tc>
          <w:tcPr>
            <w:tcW w:w="1705" w:type="pct"/>
            <w:shd w:val="clear" w:color="auto" w:fill="auto"/>
            <w:noWrap/>
            <w:vAlign w:val="bottom"/>
          </w:tcPr>
          <w:p w14:paraId="6D6828E8" w14:textId="77777777" w:rsidR="001F27D2" w:rsidRPr="007C1538" w:rsidRDefault="001F27D2" w:rsidP="007C1538">
            <w:pPr>
              <w:spacing w:before="0" w:after="0"/>
              <w:rPr>
                <w:rFonts w:cs="Calibri"/>
                <w:color w:val="000000"/>
                <w:sz w:val="22"/>
                <w:szCs w:val="22"/>
              </w:rPr>
            </w:pPr>
            <w:r w:rsidRPr="007C1538">
              <w:rPr>
                <w:rFonts w:cs="Calibri"/>
                <w:color w:val="000000"/>
                <w:sz w:val="22"/>
                <w:szCs w:val="22"/>
              </w:rPr>
              <w:t>3 Bed House</w:t>
            </w:r>
          </w:p>
        </w:tc>
        <w:tc>
          <w:tcPr>
            <w:tcW w:w="1565" w:type="pct"/>
            <w:shd w:val="clear" w:color="auto" w:fill="auto"/>
            <w:noWrap/>
            <w:vAlign w:val="bottom"/>
          </w:tcPr>
          <w:p w14:paraId="4FF63D59" w14:textId="77777777" w:rsidR="001F27D2" w:rsidRPr="007C1538" w:rsidRDefault="001F27D2" w:rsidP="007C1538">
            <w:pPr>
              <w:spacing w:before="0" w:after="0"/>
              <w:jc w:val="center"/>
              <w:rPr>
                <w:rFonts w:cs="Calibri"/>
                <w:sz w:val="22"/>
                <w:szCs w:val="22"/>
              </w:rPr>
            </w:pPr>
            <w:r w:rsidRPr="007C1538">
              <w:rPr>
                <w:rFonts w:cs="Calibri"/>
                <w:color w:val="000000"/>
                <w:sz w:val="22"/>
                <w:szCs w:val="22"/>
              </w:rPr>
              <w:t>31.1</w:t>
            </w:r>
          </w:p>
        </w:tc>
        <w:tc>
          <w:tcPr>
            <w:tcW w:w="1731" w:type="pct"/>
            <w:shd w:val="clear" w:color="auto" w:fill="auto"/>
            <w:noWrap/>
            <w:vAlign w:val="bottom"/>
          </w:tcPr>
          <w:p w14:paraId="349C5CEB" w14:textId="77777777" w:rsidR="001F27D2" w:rsidRPr="007C1538" w:rsidRDefault="001F27D2" w:rsidP="007C1538">
            <w:pPr>
              <w:spacing w:before="0" w:after="0"/>
              <w:jc w:val="center"/>
              <w:rPr>
                <w:rFonts w:cs="Calibri"/>
                <w:sz w:val="22"/>
                <w:szCs w:val="22"/>
              </w:rPr>
            </w:pPr>
            <w:r w:rsidRPr="007C1538">
              <w:rPr>
                <w:rFonts w:cs="Calibri"/>
                <w:color w:val="000000"/>
                <w:sz w:val="22"/>
                <w:szCs w:val="22"/>
              </w:rPr>
              <w:t>14.0</w:t>
            </w:r>
          </w:p>
        </w:tc>
      </w:tr>
      <w:tr w:rsidR="001F27D2" w:rsidRPr="007C1538" w14:paraId="3DBE5BBD" w14:textId="77777777" w:rsidTr="007C1538">
        <w:trPr>
          <w:trHeight w:val="300"/>
        </w:trPr>
        <w:tc>
          <w:tcPr>
            <w:tcW w:w="1705" w:type="pct"/>
            <w:shd w:val="clear" w:color="auto" w:fill="auto"/>
            <w:noWrap/>
            <w:vAlign w:val="bottom"/>
          </w:tcPr>
          <w:p w14:paraId="0000BAF5" w14:textId="77777777" w:rsidR="001F27D2" w:rsidRPr="007C1538" w:rsidRDefault="001F27D2" w:rsidP="007C1538">
            <w:pPr>
              <w:spacing w:before="0" w:after="0"/>
              <w:rPr>
                <w:rFonts w:cs="Calibri"/>
                <w:color w:val="000000"/>
                <w:sz w:val="22"/>
                <w:szCs w:val="22"/>
              </w:rPr>
            </w:pPr>
            <w:r w:rsidRPr="007C1538">
              <w:rPr>
                <w:rFonts w:cs="Calibri"/>
                <w:color w:val="000000"/>
                <w:sz w:val="22"/>
                <w:szCs w:val="22"/>
              </w:rPr>
              <w:t>4 or more Bed House</w:t>
            </w:r>
          </w:p>
        </w:tc>
        <w:tc>
          <w:tcPr>
            <w:tcW w:w="1565" w:type="pct"/>
            <w:shd w:val="clear" w:color="auto" w:fill="auto"/>
            <w:noWrap/>
            <w:vAlign w:val="bottom"/>
          </w:tcPr>
          <w:p w14:paraId="371103AC" w14:textId="77777777" w:rsidR="001F27D2" w:rsidRPr="007C1538" w:rsidRDefault="001F27D2" w:rsidP="007C1538">
            <w:pPr>
              <w:spacing w:before="0" w:after="0"/>
              <w:jc w:val="center"/>
              <w:rPr>
                <w:rFonts w:cs="Calibri"/>
                <w:sz w:val="22"/>
                <w:szCs w:val="22"/>
              </w:rPr>
            </w:pPr>
            <w:r w:rsidRPr="007C1538">
              <w:rPr>
                <w:rFonts w:cs="Calibri"/>
                <w:color w:val="000000"/>
                <w:sz w:val="22"/>
                <w:szCs w:val="22"/>
              </w:rPr>
              <w:t>22.1</w:t>
            </w:r>
          </w:p>
        </w:tc>
        <w:tc>
          <w:tcPr>
            <w:tcW w:w="1731" w:type="pct"/>
            <w:shd w:val="clear" w:color="auto" w:fill="auto"/>
            <w:noWrap/>
            <w:vAlign w:val="bottom"/>
          </w:tcPr>
          <w:p w14:paraId="22C6BFF2" w14:textId="77777777" w:rsidR="001F27D2" w:rsidRPr="007C1538" w:rsidRDefault="001F27D2" w:rsidP="007C1538">
            <w:pPr>
              <w:spacing w:before="0" w:after="0"/>
              <w:jc w:val="center"/>
              <w:rPr>
                <w:rFonts w:cs="Calibri"/>
                <w:sz w:val="22"/>
                <w:szCs w:val="22"/>
              </w:rPr>
            </w:pPr>
            <w:r w:rsidRPr="007C1538">
              <w:rPr>
                <w:rFonts w:cs="Calibri"/>
                <w:color w:val="000000"/>
                <w:sz w:val="22"/>
                <w:szCs w:val="22"/>
              </w:rPr>
              <w:t>2.4</w:t>
            </w:r>
          </w:p>
        </w:tc>
      </w:tr>
      <w:tr w:rsidR="001F27D2" w:rsidRPr="007C1538" w14:paraId="74E97B21" w14:textId="77777777" w:rsidTr="007C1538">
        <w:trPr>
          <w:trHeight w:val="300"/>
        </w:trPr>
        <w:tc>
          <w:tcPr>
            <w:tcW w:w="1705" w:type="pct"/>
            <w:shd w:val="clear" w:color="auto" w:fill="auto"/>
            <w:noWrap/>
            <w:vAlign w:val="bottom"/>
          </w:tcPr>
          <w:p w14:paraId="4AD23DAC" w14:textId="77777777" w:rsidR="001F27D2" w:rsidRPr="007C1538" w:rsidRDefault="001F27D2" w:rsidP="007C1538">
            <w:pPr>
              <w:spacing w:before="0" w:after="0"/>
              <w:rPr>
                <w:rFonts w:cs="Calibri"/>
                <w:color w:val="000000"/>
                <w:sz w:val="22"/>
                <w:szCs w:val="22"/>
              </w:rPr>
            </w:pPr>
            <w:r w:rsidRPr="007C1538">
              <w:rPr>
                <w:rFonts w:cs="Calibri"/>
                <w:color w:val="000000"/>
                <w:sz w:val="22"/>
                <w:szCs w:val="22"/>
              </w:rPr>
              <w:t>1 Bed Flat</w:t>
            </w:r>
          </w:p>
        </w:tc>
        <w:tc>
          <w:tcPr>
            <w:tcW w:w="1565" w:type="pct"/>
            <w:shd w:val="clear" w:color="auto" w:fill="auto"/>
            <w:noWrap/>
            <w:vAlign w:val="bottom"/>
          </w:tcPr>
          <w:p w14:paraId="7E94CB6B" w14:textId="77777777" w:rsidR="001F27D2" w:rsidRPr="007C1538" w:rsidRDefault="001F27D2" w:rsidP="007C1538">
            <w:pPr>
              <w:spacing w:before="0" w:after="0"/>
              <w:jc w:val="center"/>
              <w:rPr>
                <w:rFonts w:cs="Calibri"/>
                <w:sz w:val="22"/>
                <w:szCs w:val="22"/>
              </w:rPr>
            </w:pPr>
            <w:r w:rsidRPr="007C1538">
              <w:rPr>
                <w:rFonts w:cs="Calibri"/>
                <w:color w:val="000000"/>
                <w:sz w:val="22"/>
                <w:szCs w:val="22"/>
              </w:rPr>
              <w:t>4.2</w:t>
            </w:r>
          </w:p>
        </w:tc>
        <w:tc>
          <w:tcPr>
            <w:tcW w:w="1731" w:type="pct"/>
            <w:shd w:val="clear" w:color="auto" w:fill="auto"/>
            <w:noWrap/>
            <w:vAlign w:val="bottom"/>
          </w:tcPr>
          <w:p w14:paraId="2D4CC334" w14:textId="77777777" w:rsidR="001F27D2" w:rsidRPr="007C1538" w:rsidRDefault="001F27D2" w:rsidP="007C1538">
            <w:pPr>
              <w:spacing w:before="0" w:after="0"/>
              <w:jc w:val="center"/>
              <w:rPr>
                <w:rFonts w:cs="Calibri"/>
                <w:sz w:val="22"/>
                <w:szCs w:val="22"/>
              </w:rPr>
            </w:pPr>
            <w:r w:rsidRPr="007C1538">
              <w:rPr>
                <w:rFonts w:cs="Calibri"/>
                <w:color w:val="000000"/>
                <w:sz w:val="22"/>
                <w:szCs w:val="22"/>
              </w:rPr>
              <w:t>4.7</w:t>
            </w:r>
          </w:p>
        </w:tc>
      </w:tr>
      <w:tr w:rsidR="001F27D2" w:rsidRPr="007C1538" w14:paraId="0820A833" w14:textId="77777777" w:rsidTr="007C1538">
        <w:trPr>
          <w:trHeight w:val="300"/>
        </w:trPr>
        <w:tc>
          <w:tcPr>
            <w:tcW w:w="1705" w:type="pct"/>
            <w:shd w:val="clear" w:color="auto" w:fill="auto"/>
            <w:noWrap/>
            <w:vAlign w:val="bottom"/>
          </w:tcPr>
          <w:p w14:paraId="3C2587A4" w14:textId="77777777" w:rsidR="001F27D2" w:rsidRPr="007C1538" w:rsidRDefault="001F27D2" w:rsidP="007C1538">
            <w:pPr>
              <w:spacing w:before="0" w:after="0"/>
              <w:rPr>
                <w:rFonts w:cs="Calibri"/>
                <w:color w:val="000000"/>
                <w:sz w:val="22"/>
                <w:szCs w:val="22"/>
              </w:rPr>
            </w:pPr>
            <w:r w:rsidRPr="007C1538">
              <w:rPr>
                <w:rFonts w:cs="Calibri"/>
                <w:color w:val="000000"/>
                <w:sz w:val="22"/>
                <w:szCs w:val="22"/>
              </w:rPr>
              <w:t>2 Bed Flat</w:t>
            </w:r>
          </w:p>
        </w:tc>
        <w:tc>
          <w:tcPr>
            <w:tcW w:w="1565" w:type="pct"/>
            <w:shd w:val="clear" w:color="auto" w:fill="auto"/>
            <w:noWrap/>
            <w:vAlign w:val="bottom"/>
          </w:tcPr>
          <w:p w14:paraId="06D172BA" w14:textId="77777777" w:rsidR="001F27D2" w:rsidRPr="007C1538" w:rsidRDefault="001F27D2" w:rsidP="007C1538">
            <w:pPr>
              <w:spacing w:before="0" w:after="0"/>
              <w:jc w:val="center"/>
              <w:rPr>
                <w:rFonts w:cs="Calibri"/>
                <w:sz w:val="22"/>
                <w:szCs w:val="22"/>
              </w:rPr>
            </w:pPr>
            <w:r w:rsidRPr="007C1538">
              <w:rPr>
                <w:rFonts w:cs="Calibri"/>
                <w:color w:val="000000"/>
                <w:sz w:val="22"/>
                <w:szCs w:val="22"/>
              </w:rPr>
              <w:t>5.0</w:t>
            </w:r>
          </w:p>
        </w:tc>
        <w:tc>
          <w:tcPr>
            <w:tcW w:w="1731" w:type="pct"/>
            <w:shd w:val="clear" w:color="auto" w:fill="auto"/>
            <w:noWrap/>
            <w:vAlign w:val="bottom"/>
          </w:tcPr>
          <w:p w14:paraId="2C2AFC60" w14:textId="77777777" w:rsidR="001F27D2" w:rsidRPr="007C1538" w:rsidRDefault="001F27D2" w:rsidP="007C1538">
            <w:pPr>
              <w:spacing w:before="0" w:after="0"/>
              <w:jc w:val="center"/>
              <w:rPr>
                <w:rFonts w:cs="Calibri"/>
                <w:sz w:val="22"/>
                <w:szCs w:val="22"/>
              </w:rPr>
            </w:pPr>
            <w:r w:rsidRPr="007C1538">
              <w:rPr>
                <w:rFonts w:cs="Calibri"/>
                <w:color w:val="000000"/>
                <w:sz w:val="22"/>
                <w:szCs w:val="22"/>
              </w:rPr>
              <w:t>18.3</w:t>
            </w:r>
          </w:p>
        </w:tc>
      </w:tr>
      <w:tr w:rsidR="001F27D2" w:rsidRPr="007C1538" w14:paraId="518CAEF5" w14:textId="77777777" w:rsidTr="007C1538">
        <w:trPr>
          <w:trHeight w:val="300"/>
        </w:trPr>
        <w:tc>
          <w:tcPr>
            <w:tcW w:w="1705" w:type="pct"/>
            <w:shd w:val="clear" w:color="auto" w:fill="auto"/>
            <w:noWrap/>
            <w:vAlign w:val="bottom"/>
          </w:tcPr>
          <w:p w14:paraId="67E15E47" w14:textId="77777777" w:rsidR="001F27D2" w:rsidRPr="007C1538" w:rsidRDefault="001F27D2" w:rsidP="007C1538">
            <w:pPr>
              <w:spacing w:before="0" w:after="0"/>
              <w:rPr>
                <w:rFonts w:cs="Calibri"/>
                <w:color w:val="000000"/>
                <w:sz w:val="22"/>
                <w:szCs w:val="22"/>
              </w:rPr>
            </w:pPr>
            <w:r w:rsidRPr="007C1538">
              <w:rPr>
                <w:rFonts w:cs="Calibri"/>
                <w:color w:val="000000"/>
                <w:sz w:val="22"/>
                <w:szCs w:val="22"/>
              </w:rPr>
              <w:t>3+ Bed Flat</w:t>
            </w:r>
          </w:p>
        </w:tc>
        <w:tc>
          <w:tcPr>
            <w:tcW w:w="1565" w:type="pct"/>
            <w:shd w:val="clear" w:color="auto" w:fill="auto"/>
            <w:noWrap/>
            <w:vAlign w:val="bottom"/>
          </w:tcPr>
          <w:p w14:paraId="4BEABB02" w14:textId="77777777" w:rsidR="001F27D2" w:rsidRPr="007C1538" w:rsidRDefault="001F27D2" w:rsidP="007C1538">
            <w:pPr>
              <w:spacing w:before="0" w:after="0"/>
              <w:jc w:val="center"/>
              <w:rPr>
                <w:rFonts w:cs="Calibri"/>
                <w:sz w:val="22"/>
                <w:szCs w:val="22"/>
              </w:rPr>
            </w:pPr>
            <w:r w:rsidRPr="007C1538">
              <w:rPr>
                <w:rFonts w:cs="Calibri"/>
                <w:color w:val="000000"/>
                <w:sz w:val="22"/>
                <w:szCs w:val="22"/>
              </w:rPr>
              <w:t>0.4</w:t>
            </w:r>
          </w:p>
        </w:tc>
        <w:tc>
          <w:tcPr>
            <w:tcW w:w="1731" w:type="pct"/>
            <w:shd w:val="clear" w:color="auto" w:fill="auto"/>
            <w:noWrap/>
            <w:vAlign w:val="bottom"/>
          </w:tcPr>
          <w:p w14:paraId="0715272D" w14:textId="77777777" w:rsidR="001F27D2" w:rsidRPr="007C1538" w:rsidRDefault="001F27D2" w:rsidP="007C1538">
            <w:pPr>
              <w:spacing w:before="0" w:after="0"/>
              <w:jc w:val="center"/>
              <w:rPr>
                <w:rFonts w:cs="Calibri"/>
                <w:sz w:val="22"/>
                <w:szCs w:val="22"/>
              </w:rPr>
            </w:pPr>
            <w:r w:rsidRPr="007C1538">
              <w:rPr>
                <w:rFonts w:cs="Calibri"/>
                <w:color w:val="000000"/>
                <w:sz w:val="22"/>
                <w:szCs w:val="22"/>
              </w:rPr>
              <w:t>0.0</w:t>
            </w:r>
          </w:p>
        </w:tc>
      </w:tr>
      <w:tr w:rsidR="001F27D2" w:rsidRPr="007C1538" w14:paraId="5724D341" w14:textId="77777777" w:rsidTr="007C1538">
        <w:trPr>
          <w:trHeight w:val="300"/>
        </w:trPr>
        <w:tc>
          <w:tcPr>
            <w:tcW w:w="1705" w:type="pct"/>
            <w:shd w:val="clear" w:color="auto" w:fill="auto"/>
            <w:noWrap/>
            <w:vAlign w:val="bottom"/>
            <w:hideMark/>
          </w:tcPr>
          <w:p w14:paraId="1D20BD08" w14:textId="77777777" w:rsidR="001F27D2" w:rsidRPr="007C1538" w:rsidRDefault="001F27D2" w:rsidP="007C1538">
            <w:pPr>
              <w:spacing w:before="0" w:after="0"/>
              <w:rPr>
                <w:rFonts w:cs="Calibri"/>
                <w:color w:val="000000"/>
                <w:sz w:val="22"/>
                <w:szCs w:val="22"/>
              </w:rPr>
            </w:pPr>
            <w:r w:rsidRPr="007C1538">
              <w:rPr>
                <w:rFonts w:cs="Calibri"/>
                <w:color w:val="000000"/>
                <w:sz w:val="22"/>
                <w:szCs w:val="22"/>
              </w:rPr>
              <w:t>1 Bed Bungalow</w:t>
            </w:r>
          </w:p>
        </w:tc>
        <w:tc>
          <w:tcPr>
            <w:tcW w:w="1565" w:type="pct"/>
            <w:shd w:val="clear" w:color="auto" w:fill="auto"/>
            <w:noWrap/>
            <w:vAlign w:val="bottom"/>
          </w:tcPr>
          <w:p w14:paraId="0C008F16" w14:textId="77777777" w:rsidR="001F27D2" w:rsidRPr="007C1538" w:rsidRDefault="001F27D2" w:rsidP="007C1538">
            <w:pPr>
              <w:spacing w:before="0" w:after="0"/>
              <w:jc w:val="center"/>
              <w:rPr>
                <w:rFonts w:cs="Calibri"/>
                <w:sz w:val="22"/>
                <w:szCs w:val="22"/>
              </w:rPr>
            </w:pPr>
            <w:r w:rsidRPr="007C1538">
              <w:rPr>
                <w:rFonts w:cs="Calibri"/>
                <w:color w:val="000000"/>
                <w:sz w:val="22"/>
                <w:szCs w:val="22"/>
              </w:rPr>
              <w:t>2.3</w:t>
            </w:r>
          </w:p>
        </w:tc>
        <w:tc>
          <w:tcPr>
            <w:tcW w:w="1731" w:type="pct"/>
            <w:shd w:val="clear" w:color="auto" w:fill="auto"/>
            <w:noWrap/>
            <w:vAlign w:val="bottom"/>
          </w:tcPr>
          <w:p w14:paraId="0C7DF4CB" w14:textId="77777777" w:rsidR="001F27D2" w:rsidRPr="007C1538" w:rsidRDefault="001F27D2" w:rsidP="007C1538">
            <w:pPr>
              <w:spacing w:before="0" w:after="0"/>
              <w:jc w:val="center"/>
              <w:rPr>
                <w:rFonts w:cs="Calibri"/>
                <w:sz w:val="22"/>
                <w:szCs w:val="22"/>
              </w:rPr>
            </w:pPr>
            <w:r w:rsidRPr="007C1538">
              <w:rPr>
                <w:rFonts w:cs="Calibri"/>
                <w:color w:val="000000"/>
                <w:sz w:val="22"/>
                <w:szCs w:val="22"/>
              </w:rPr>
              <w:t>2.2</w:t>
            </w:r>
          </w:p>
        </w:tc>
      </w:tr>
      <w:tr w:rsidR="001F27D2" w:rsidRPr="007C1538" w14:paraId="75F7A832" w14:textId="77777777" w:rsidTr="007C1538">
        <w:trPr>
          <w:trHeight w:val="300"/>
        </w:trPr>
        <w:tc>
          <w:tcPr>
            <w:tcW w:w="1705" w:type="pct"/>
            <w:shd w:val="clear" w:color="auto" w:fill="auto"/>
            <w:noWrap/>
            <w:vAlign w:val="bottom"/>
            <w:hideMark/>
          </w:tcPr>
          <w:p w14:paraId="3AC957B4" w14:textId="77777777" w:rsidR="001F27D2" w:rsidRPr="007C1538" w:rsidRDefault="001F27D2" w:rsidP="007C1538">
            <w:pPr>
              <w:spacing w:before="0" w:after="0"/>
              <w:rPr>
                <w:rFonts w:cs="Calibri"/>
                <w:color w:val="000000"/>
                <w:sz w:val="22"/>
                <w:szCs w:val="22"/>
              </w:rPr>
            </w:pPr>
            <w:r w:rsidRPr="007C1538">
              <w:rPr>
                <w:rFonts w:cs="Calibri"/>
                <w:color w:val="000000"/>
                <w:sz w:val="22"/>
                <w:szCs w:val="22"/>
              </w:rPr>
              <w:t>2 Bed Bungalow</w:t>
            </w:r>
          </w:p>
        </w:tc>
        <w:tc>
          <w:tcPr>
            <w:tcW w:w="1565" w:type="pct"/>
            <w:shd w:val="clear" w:color="auto" w:fill="auto"/>
            <w:noWrap/>
            <w:vAlign w:val="bottom"/>
          </w:tcPr>
          <w:p w14:paraId="59366E3A" w14:textId="77777777" w:rsidR="001F27D2" w:rsidRPr="007C1538" w:rsidRDefault="001F27D2" w:rsidP="007C1538">
            <w:pPr>
              <w:spacing w:before="0" w:after="0"/>
              <w:jc w:val="center"/>
              <w:rPr>
                <w:rFonts w:cs="Calibri"/>
                <w:sz w:val="22"/>
                <w:szCs w:val="22"/>
              </w:rPr>
            </w:pPr>
            <w:r w:rsidRPr="007C1538">
              <w:rPr>
                <w:rFonts w:cs="Calibri"/>
                <w:color w:val="000000"/>
                <w:sz w:val="22"/>
                <w:szCs w:val="22"/>
              </w:rPr>
              <w:t>8.2</w:t>
            </w:r>
          </w:p>
        </w:tc>
        <w:tc>
          <w:tcPr>
            <w:tcW w:w="1731" w:type="pct"/>
            <w:shd w:val="clear" w:color="auto" w:fill="auto"/>
            <w:noWrap/>
            <w:vAlign w:val="bottom"/>
          </w:tcPr>
          <w:p w14:paraId="182F9F1C" w14:textId="77777777" w:rsidR="001F27D2" w:rsidRPr="007C1538" w:rsidRDefault="001F27D2" w:rsidP="007C1538">
            <w:pPr>
              <w:spacing w:before="0" w:after="0"/>
              <w:jc w:val="center"/>
              <w:rPr>
                <w:rFonts w:cs="Calibri"/>
                <w:sz w:val="22"/>
                <w:szCs w:val="22"/>
              </w:rPr>
            </w:pPr>
            <w:r w:rsidRPr="007C1538">
              <w:rPr>
                <w:rFonts w:cs="Calibri"/>
                <w:color w:val="000000"/>
                <w:sz w:val="22"/>
                <w:szCs w:val="22"/>
              </w:rPr>
              <w:t>23.9</w:t>
            </w:r>
          </w:p>
        </w:tc>
      </w:tr>
      <w:tr w:rsidR="001F27D2" w:rsidRPr="007C1538" w14:paraId="645ABC01" w14:textId="77777777" w:rsidTr="007C1538">
        <w:trPr>
          <w:trHeight w:val="300"/>
        </w:trPr>
        <w:tc>
          <w:tcPr>
            <w:tcW w:w="1705" w:type="pct"/>
            <w:shd w:val="clear" w:color="auto" w:fill="auto"/>
            <w:noWrap/>
            <w:vAlign w:val="bottom"/>
            <w:hideMark/>
          </w:tcPr>
          <w:p w14:paraId="38FC7AC1" w14:textId="77777777" w:rsidR="001F27D2" w:rsidRPr="007C1538" w:rsidRDefault="001F27D2" w:rsidP="007C1538">
            <w:pPr>
              <w:spacing w:before="0" w:after="0"/>
              <w:rPr>
                <w:rFonts w:cs="Calibri"/>
                <w:color w:val="000000"/>
                <w:sz w:val="22"/>
                <w:szCs w:val="22"/>
              </w:rPr>
            </w:pPr>
            <w:r w:rsidRPr="007C1538">
              <w:rPr>
                <w:rFonts w:cs="Calibri"/>
                <w:color w:val="000000"/>
                <w:sz w:val="22"/>
                <w:szCs w:val="22"/>
              </w:rPr>
              <w:t>3 or more Bed Bungalow</w:t>
            </w:r>
          </w:p>
        </w:tc>
        <w:tc>
          <w:tcPr>
            <w:tcW w:w="1565" w:type="pct"/>
            <w:shd w:val="clear" w:color="auto" w:fill="auto"/>
            <w:noWrap/>
            <w:vAlign w:val="bottom"/>
          </w:tcPr>
          <w:p w14:paraId="48FE09DE" w14:textId="77777777" w:rsidR="001F27D2" w:rsidRPr="007C1538" w:rsidRDefault="001F27D2" w:rsidP="007C1538">
            <w:pPr>
              <w:spacing w:before="0" w:after="0"/>
              <w:jc w:val="center"/>
              <w:rPr>
                <w:rFonts w:cs="Calibri"/>
                <w:sz w:val="22"/>
                <w:szCs w:val="22"/>
              </w:rPr>
            </w:pPr>
            <w:r w:rsidRPr="007C1538">
              <w:rPr>
                <w:rFonts w:cs="Calibri"/>
                <w:color w:val="000000"/>
                <w:sz w:val="22"/>
                <w:szCs w:val="22"/>
              </w:rPr>
              <w:t>11.6</w:t>
            </w:r>
          </w:p>
        </w:tc>
        <w:tc>
          <w:tcPr>
            <w:tcW w:w="1731" w:type="pct"/>
            <w:shd w:val="clear" w:color="auto" w:fill="auto"/>
            <w:noWrap/>
            <w:vAlign w:val="bottom"/>
          </w:tcPr>
          <w:p w14:paraId="54CD55A0" w14:textId="77777777" w:rsidR="001F27D2" w:rsidRPr="007C1538" w:rsidRDefault="001F27D2" w:rsidP="007C1538">
            <w:pPr>
              <w:spacing w:before="0" w:after="0"/>
              <w:jc w:val="center"/>
              <w:rPr>
                <w:rFonts w:cs="Calibri"/>
                <w:sz w:val="22"/>
                <w:szCs w:val="22"/>
              </w:rPr>
            </w:pPr>
            <w:r w:rsidRPr="007C1538">
              <w:rPr>
                <w:rFonts w:cs="Calibri"/>
                <w:color w:val="000000"/>
                <w:sz w:val="22"/>
                <w:szCs w:val="22"/>
              </w:rPr>
              <w:t>16.0</w:t>
            </w:r>
          </w:p>
        </w:tc>
      </w:tr>
      <w:tr w:rsidR="001F27D2" w:rsidRPr="007C1538" w14:paraId="3EA08230" w14:textId="77777777" w:rsidTr="007C1538">
        <w:trPr>
          <w:trHeight w:val="300"/>
        </w:trPr>
        <w:tc>
          <w:tcPr>
            <w:tcW w:w="1705" w:type="pct"/>
            <w:shd w:val="clear" w:color="auto" w:fill="auto"/>
            <w:noWrap/>
            <w:vAlign w:val="bottom"/>
            <w:hideMark/>
          </w:tcPr>
          <w:p w14:paraId="07EB6D40" w14:textId="77777777" w:rsidR="001F27D2" w:rsidRPr="007C1538" w:rsidRDefault="001F27D2" w:rsidP="007C1538">
            <w:pPr>
              <w:spacing w:before="0" w:after="0"/>
              <w:rPr>
                <w:rFonts w:cs="Calibri"/>
                <w:color w:val="000000"/>
                <w:sz w:val="22"/>
                <w:szCs w:val="22"/>
              </w:rPr>
            </w:pPr>
            <w:r w:rsidRPr="007C1538">
              <w:rPr>
                <w:rFonts w:cs="Calibri"/>
                <w:color w:val="000000"/>
                <w:sz w:val="22"/>
                <w:szCs w:val="22"/>
              </w:rPr>
              <w:t>1 Bed Other</w:t>
            </w:r>
          </w:p>
        </w:tc>
        <w:tc>
          <w:tcPr>
            <w:tcW w:w="1565" w:type="pct"/>
            <w:shd w:val="clear" w:color="auto" w:fill="auto"/>
            <w:noWrap/>
            <w:vAlign w:val="bottom"/>
          </w:tcPr>
          <w:p w14:paraId="6DCADF87" w14:textId="77777777" w:rsidR="001F27D2" w:rsidRPr="007C1538" w:rsidRDefault="001F27D2" w:rsidP="007C1538">
            <w:pPr>
              <w:spacing w:before="0" w:after="0"/>
              <w:jc w:val="center"/>
              <w:rPr>
                <w:rFonts w:cs="Calibri"/>
                <w:sz w:val="22"/>
                <w:szCs w:val="22"/>
              </w:rPr>
            </w:pPr>
            <w:r w:rsidRPr="007C1538">
              <w:rPr>
                <w:rFonts w:cs="Calibri"/>
                <w:color w:val="000000"/>
                <w:sz w:val="22"/>
                <w:szCs w:val="22"/>
              </w:rPr>
              <w:t>0.0</w:t>
            </w:r>
          </w:p>
        </w:tc>
        <w:tc>
          <w:tcPr>
            <w:tcW w:w="1731" w:type="pct"/>
            <w:shd w:val="clear" w:color="auto" w:fill="auto"/>
            <w:noWrap/>
            <w:vAlign w:val="bottom"/>
          </w:tcPr>
          <w:p w14:paraId="1AEE2F7D" w14:textId="77777777" w:rsidR="001F27D2" w:rsidRPr="007C1538" w:rsidRDefault="001F27D2" w:rsidP="007C1538">
            <w:pPr>
              <w:spacing w:before="0" w:after="0"/>
              <w:jc w:val="center"/>
              <w:rPr>
                <w:rFonts w:cs="Calibri"/>
                <w:sz w:val="22"/>
                <w:szCs w:val="22"/>
              </w:rPr>
            </w:pPr>
            <w:r w:rsidRPr="007C1538">
              <w:rPr>
                <w:rFonts w:cs="Calibri"/>
                <w:color w:val="000000"/>
                <w:sz w:val="22"/>
                <w:szCs w:val="22"/>
              </w:rPr>
              <w:t>1.5</w:t>
            </w:r>
          </w:p>
        </w:tc>
      </w:tr>
      <w:tr w:rsidR="001F27D2" w:rsidRPr="007C1538" w14:paraId="66040B7F" w14:textId="77777777" w:rsidTr="007C1538">
        <w:trPr>
          <w:trHeight w:val="300"/>
        </w:trPr>
        <w:tc>
          <w:tcPr>
            <w:tcW w:w="1705" w:type="pct"/>
            <w:shd w:val="clear" w:color="auto" w:fill="auto"/>
            <w:noWrap/>
            <w:vAlign w:val="bottom"/>
            <w:hideMark/>
          </w:tcPr>
          <w:p w14:paraId="2EAF329F" w14:textId="77777777" w:rsidR="001F27D2" w:rsidRPr="007C1538" w:rsidRDefault="001F27D2" w:rsidP="007C1538">
            <w:pPr>
              <w:spacing w:before="0" w:after="0"/>
              <w:rPr>
                <w:rFonts w:cs="Calibri"/>
                <w:color w:val="000000"/>
                <w:sz w:val="22"/>
                <w:szCs w:val="22"/>
              </w:rPr>
            </w:pPr>
            <w:r w:rsidRPr="007C1538">
              <w:rPr>
                <w:rFonts w:cs="Calibri"/>
                <w:color w:val="000000"/>
                <w:sz w:val="22"/>
                <w:szCs w:val="22"/>
              </w:rPr>
              <w:t>2 Bed Other</w:t>
            </w:r>
          </w:p>
        </w:tc>
        <w:tc>
          <w:tcPr>
            <w:tcW w:w="1565" w:type="pct"/>
            <w:shd w:val="clear" w:color="auto" w:fill="auto"/>
            <w:noWrap/>
            <w:vAlign w:val="bottom"/>
          </w:tcPr>
          <w:p w14:paraId="1235C6AC" w14:textId="77777777" w:rsidR="001F27D2" w:rsidRPr="007C1538" w:rsidRDefault="001F27D2" w:rsidP="007C1538">
            <w:pPr>
              <w:spacing w:before="0" w:after="0"/>
              <w:jc w:val="center"/>
              <w:rPr>
                <w:rFonts w:cs="Calibri"/>
                <w:sz w:val="22"/>
                <w:szCs w:val="22"/>
              </w:rPr>
            </w:pPr>
            <w:r w:rsidRPr="007C1538">
              <w:rPr>
                <w:rFonts w:cs="Calibri"/>
                <w:color w:val="000000"/>
                <w:sz w:val="22"/>
                <w:szCs w:val="22"/>
              </w:rPr>
              <w:t>1.3</w:t>
            </w:r>
          </w:p>
        </w:tc>
        <w:tc>
          <w:tcPr>
            <w:tcW w:w="1731" w:type="pct"/>
            <w:shd w:val="clear" w:color="auto" w:fill="auto"/>
            <w:noWrap/>
            <w:vAlign w:val="bottom"/>
          </w:tcPr>
          <w:p w14:paraId="34135DD9" w14:textId="77777777" w:rsidR="001F27D2" w:rsidRPr="007C1538" w:rsidRDefault="001F27D2" w:rsidP="007C1538">
            <w:pPr>
              <w:spacing w:before="0" w:after="0"/>
              <w:jc w:val="center"/>
              <w:rPr>
                <w:rFonts w:cs="Calibri"/>
                <w:sz w:val="22"/>
                <w:szCs w:val="22"/>
              </w:rPr>
            </w:pPr>
            <w:r w:rsidRPr="007C1538">
              <w:rPr>
                <w:rFonts w:cs="Calibri"/>
                <w:color w:val="000000"/>
                <w:sz w:val="22"/>
                <w:szCs w:val="22"/>
              </w:rPr>
              <w:t>4.5</w:t>
            </w:r>
          </w:p>
        </w:tc>
      </w:tr>
      <w:tr w:rsidR="001F27D2" w:rsidRPr="007C1538" w14:paraId="44F29361" w14:textId="77777777" w:rsidTr="007C1538">
        <w:trPr>
          <w:trHeight w:val="300"/>
        </w:trPr>
        <w:tc>
          <w:tcPr>
            <w:tcW w:w="1705" w:type="pct"/>
            <w:shd w:val="clear" w:color="auto" w:fill="auto"/>
            <w:noWrap/>
            <w:vAlign w:val="bottom"/>
            <w:hideMark/>
          </w:tcPr>
          <w:p w14:paraId="4439F3C8" w14:textId="77777777" w:rsidR="001F27D2" w:rsidRPr="007C1538" w:rsidRDefault="001F27D2" w:rsidP="007C1538">
            <w:pPr>
              <w:spacing w:before="0" w:after="0"/>
              <w:rPr>
                <w:rFonts w:cs="Calibri"/>
                <w:color w:val="000000"/>
                <w:sz w:val="22"/>
                <w:szCs w:val="22"/>
              </w:rPr>
            </w:pPr>
            <w:r w:rsidRPr="007C1538">
              <w:rPr>
                <w:rFonts w:cs="Calibri"/>
                <w:color w:val="000000"/>
                <w:sz w:val="22"/>
                <w:szCs w:val="22"/>
              </w:rPr>
              <w:t>3+ Bed Other</w:t>
            </w:r>
          </w:p>
        </w:tc>
        <w:tc>
          <w:tcPr>
            <w:tcW w:w="1565" w:type="pct"/>
            <w:shd w:val="clear" w:color="auto" w:fill="auto"/>
            <w:noWrap/>
            <w:vAlign w:val="bottom"/>
          </w:tcPr>
          <w:p w14:paraId="7E4A2807" w14:textId="77777777" w:rsidR="001F27D2" w:rsidRPr="007C1538" w:rsidRDefault="001F27D2" w:rsidP="007C1538">
            <w:pPr>
              <w:spacing w:before="0" w:after="0"/>
              <w:jc w:val="center"/>
              <w:rPr>
                <w:rFonts w:cs="Calibri"/>
                <w:sz w:val="22"/>
                <w:szCs w:val="22"/>
              </w:rPr>
            </w:pPr>
            <w:r w:rsidRPr="007C1538">
              <w:rPr>
                <w:rFonts w:cs="Calibri"/>
                <w:color w:val="000000"/>
                <w:sz w:val="22"/>
                <w:szCs w:val="22"/>
              </w:rPr>
              <w:t>1.5</w:t>
            </w:r>
          </w:p>
        </w:tc>
        <w:tc>
          <w:tcPr>
            <w:tcW w:w="1731" w:type="pct"/>
            <w:shd w:val="clear" w:color="auto" w:fill="auto"/>
            <w:noWrap/>
            <w:vAlign w:val="bottom"/>
          </w:tcPr>
          <w:p w14:paraId="7DEE95B7" w14:textId="77777777" w:rsidR="001F27D2" w:rsidRPr="007C1538" w:rsidRDefault="001F27D2" w:rsidP="007C1538">
            <w:pPr>
              <w:spacing w:before="0" w:after="0"/>
              <w:jc w:val="center"/>
              <w:rPr>
                <w:rFonts w:cs="Calibri"/>
                <w:sz w:val="22"/>
                <w:szCs w:val="22"/>
              </w:rPr>
            </w:pPr>
            <w:r w:rsidRPr="007C1538">
              <w:rPr>
                <w:rFonts w:cs="Calibri"/>
                <w:color w:val="000000"/>
                <w:sz w:val="22"/>
                <w:szCs w:val="22"/>
              </w:rPr>
              <w:t>1.0</w:t>
            </w:r>
          </w:p>
        </w:tc>
      </w:tr>
      <w:tr w:rsidR="001F27D2" w:rsidRPr="007C1538" w14:paraId="71C7A3D0" w14:textId="77777777" w:rsidTr="007C1538">
        <w:trPr>
          <w:trHeight w:val="300"/>
        </w:trPr>
        <w:tc>
          <w:tcPr>
            <w:tcW w:w="1705" w:type="pct"/>
            <w:shd w:val="clear" w:color="auto" w:fill="auto"/>
            <w:noWrap/>
            <w:vAlign w:val="bottom"/>
          </w:tcPr>
          <w:p w14:paraId="290CBA7E" w14:textId="77777777" w:rsidR="001F27D2" w:rsidRPr="007C1538" w:rsidRDefault="001F27D2" w:rsidP="007C1538">
            <w:pPr>
              <w:spacing w:before="0" w:after="0"/>
              <w:rPr>
                <w:rFonts w:cs="Calibri"/>
                <w:color w:val="000000"/>
                <w:sz w:val="22"/>
                <w:szCs w:val="22"/>
              </w:rPr>
            </w:pPr>
            <w:r w:rsidRPr="007C1538">
              <w:rPr>
                <w:rFonts w:cs="Calibri"/>
                <w:color w:val="000000"/>
                <w:sz w:val="22"/>
                <w:szCs w:val="22"/>
              </w:rPr>
              <w:t>Total</w:t>
            </w:r>
          </w:p>
        </w:tc>
        <w:tc>
          <w:tcPr>
            <w:tcW w:w="1565" w:type="pct"/>
            <w:shd w:val="clear" w:color="auto" w:fill="auto"/>
            <w:noWrap/>
            <w:vAlign w:val="bottom"/>
          </w:tcPr>
          <w:p w14:paraId="685B4DD6" w14:textId="77777777" w:rsidR="001F27D2" w:rsidRPr="007C1538" w:rsidRDefault="001F27D2" w:rsidP="007C1538">
            <w:pPr>
              <w:spacing w:before="0" w:after="0"/>
              <w:jc w:val="center"/>
              <w:rPr>
                <w:rFonts w:cs="Calibri"/>
                <w:color w:val="000000"/>
                <w:sz w:val="22"/>
                <w:szCs w:val="22"/>
              </w:rPr>
            </w:pPr>
            <w:r w:rsidRPr="007C1538">
              <w:rPr>
                <w:rFonts w:cs="Calibri"/>
                <w:color w:val="000000"/>
                <w:sz w:val="22"/>
                <w:szCs w:val="22"/>
              </w:rPr>
              <w:t>100.0</w:t>
            </w:r>
          </w:p>
        </w:tc>
        <w:tc>
          <w:tcPr>
            <w:tcW w:w="1731" w:type="pct"/>
            <w:shd w:val="clear" w:color="auto" w:fill="auto"/>
            <w:noWrap/>
            <w:vAlign w:val="bottom"/>
          </w:tcPr>
          <w:p w14:paraId="11C5F152" w14:textId="77777777" w:rsidR="001F27D2" w:rsidRPr="007C1538" w:rsidRDefault="001F27D2" w:rsidP="007C1538">
            <w:pPr>
              <w:spacing w:before="0" w:after="0"/>
              <w:jc w:val="center"/>
              <w:rPr>
                <w:rFonts w:cs="Calibri"/>
                <w:sz w:val="22"/>
                <w:szCs w:val="22"/>
              </w:rPr>
            </w:pPr>
            <w:r w:rsidRPr="007C1538">
              <w:rPr>
                <w:rFonts w:cs="Calibri"/>
                <w:color w:val="000000"/>
                <w:sz w:val="22"/>
                <w:szCs w:val="22"/>
              </w:rPr>
              <w:t>100.0</w:t>
            </w:r>
          </w:p>
        </w:tc>
      </w:tr>
      <w:tr w:rsidR="001F27D2" w:rsidRPr="007C1538" w14:paraId="59E2D6EE" w14:textId="77777777" w:rsidTr="007C1538">
        <w:trPr>
          <w:trHeight w:val="300"/>
        </w:trPr>
        <w:tc>
          <w:tcPr>
            <w:tcW w:w="1705" w:type="pct"/>
            <w:tcBorders>
              <w:bottom w:val="single" w:sz="4" w:space="0" w:color="006666"/>
            </w:tcBorders>
            <w:shd w:val="clear" w:color="auto" w:fill="auto"/>
            <w:noWrap/>
            <w:vAlign w:val="bottom"/>
          </w:tcPr>
          <w:p w14:paraId="12E45847" w14:textId="77777777" w:rsidR="001F27D2" w:rsidRPr="007C1538" w:rsidRDefault="001F27D2" w:rsidP="007C1538">
            <w:pPr>
              <w:spacing w:before="0" w:after="0"/>
              <w:rPr>
                <w:rFonts w:cs="Calibri"/>
                <w:i/>
                <w:color w:val="000000"/>
                <w:sz w:val="22"/>
                <w:szCs w:val="22"/>
              </w:rPr>
            </w:pPr>
            <w:r w:rsidRPr="007C1538">
              <w:rPr>
                <w:rFonts w:cs="Calibri"/>
                <w:i/>
                <w:color w:val="000000"/>
                <w:sz w:val="22"/>
                <w:szCs w:val="22"/>
              </w:rPr>
              <w:t>Base (Valid responses)</w:t>
            </w:r>
          </w:p>
        </w:tc>
        <w:tc>
          <w:tcPr>
            <w:tcW w:w="1565" w:type="pct"/>
            <w:tcBorders>
              <w:bottom w:val="single" w:sz="4" w:space="0" w:color="006666"/>
            </w:tcBorders>
            <w:shd w:val="clear" w:color="auto" w:fill="auto"/>
            <w:noWrap/>
          </w:tcPr>
          <w:p w14:paraId="5D1B5D0E" w14:textId="77777777" w:rsidR="001F27D2" w:rsidRPr="007C1538" w:rsidRDefault="001F27D2" w:rsidP="007C1538">
            <w:pPr>
              <w:spacing w:before="0" w:after="0"/>
              <w:jc w:val="center"/>
              <w:rPr>
                <w:rFonts w:cs="Calibri"/>
                <w:i/>
                <w:color w:val="000000"/>
                <w:sz w:val="22"/>
                <w:szCs w:val="22"/>
              </w:rPr>
            </w:pPr>
            <w:r w:rsidRPr="007C1538">
              <w:rPr>
                <w:rFonts w:cs="Calibri"/>
                <w:i/>
                <w:color w:val="000000"/>
                <w:sz w:val="22"/>
                <w:szCs w:val="22"/>
              </w:rPr>
              <w:t>7,777</w:t>
            </w:r>
          </w:p>
        </w:tc>
        <w:tc>
          <w:tcPr>
            <w:tcW w:w="1731" w:type="pct"/>
            <w:tcBorders>
              <w:bottom w:val="single" w:sz="4" w:space="0" w:color="006666"/>
            </w:tcBorders>
            <w:shd w:val="clear" w:color="auto" w:fill="auto"/>
            <w:noWrap/>
          </w:tcPr>
          <w:p w14:paraId="7DCDC3F0" w14:textId="77777777" w:rsidR="001F27D2" w:rsidRPr="007C1538" w:rsidRDefault="001F27D2" w:rsidP="007C1538">
            <w:pPr>
              <w:spacing w:before="0" w:after="0"/>
              <w:jc w:val="center"/>
              <w:rPr>
                <w:rFonts w:cs="Calibri"/>
                <w:i/>
                <w:color w:val="000000"/>
                <w:sz w:val="22"/>
                <w:szCs w:val="22"/>
              </w:rPr>
            </w:pPr>
            <w:r w:rsidRPr="007C1538">
              <w:rPr>
                <w:rFonts w:cs="Calibri"/>
                <w:i/>
                <w:color w:val="000000"/>
                <w:sz w:val="22"/>
                <w:szCs w:val="22"/>
              </w:rPr>
              <w:t>919</w:t>
            </w:r>
          </w:p>
        </w:tc>
      </w:tr>
    </w:tbl>
    <w:p w14:paraId="6E5C5554" w14:textId="77777777" w:rsidR="001F27D2" w:rsidRPr="002B2A7F" w:rsidRDefault="001F27D2" w:rsidP="003106AD">
      <w:pPr>
        <w:ind w:left="709"/>
        <w:rPr>
          <w:rFonts w:asciiTheme="minorHAnsi" w:hAnsiTheme="minorHAnsi" w:cs="Calibri"/>
          <w:sz w:val="20"/>
          <w:szCs w:val="20"/>
        </w:rPr>
      </w:pPr>
      <w:r w:rsidRPr="002B2A7F">
        <w:rPr>
          <w:rFonts w:asciiTheme="minorHAnsi" w:hAnsiTheme="minorHAnsi" w:cs="Calibri"/>
          <w:sz w:val="20"/>
          <w:szCs w:val="20"/>
        </w:rPr>
        <w:t>Source: 2018 Household Survey</w:t>
      </w:r>
    </w:p>
    <w:p w14:paraId="674274CB" w14:textId="77777777" w:rsidR="001F27D2" w:rsidRPr="002B2A7F" w:rsidRDefault="001F27D2" w:rsidP="001F27D2">
      <w:pPr>
        <w:rPr>
          <w:rFonts w:asciiTheme="minorHAnsi" w:hAnsiTheme="minorHAnsi"/>
          <w:lang w:val="x-none"/>
        </w:rPr>
      </w:pPr>
    </w:p>
    <w:p w14:paraId="18F5429C" w14:textId="77777777" w:rsidR="001F27D2" w:rsidRPr="002B2A7F" w:rsidRDefault="001F27D2" w:rsidP="001F27D2">
      <w:pPr>
        <w:pStyle w:val="Heading2"/>
        <w:ind w:left="720" w:hanging="11"/>
        <w:rPr>
          <w:rFonts w:asciiTheme="minorHAnsi" w:hAnsiTheme="minorHAnsi"/>
        </w:rPr>
      </w:pPr>
      <w:bookmarkStart w:id="473" w:name="_Toc529651999"/>
      <w:bookmarkStart w:id="474" w:name="_Toc529780768"/>
      <w:bookmarkStart w:id="475" w:name="_Toc531122892"/>
      <w:bookmarkStart w:id="476" w:name="_Toc532812424"/>
      <w:r w:rsidRPr="002B2A7F">
        <w:rPr>
          <w:rFonts w:asciiTheme="minorHAnsi" w:hAnsiTheme="minorHAnsi" w:cs="Calibri"/>
          <w:sz w:val="28"/>
        </w:rPr>
        <w:t>Future need for specialist older person accommodation and residential care institutions</w:t>
      </w:r>
      <w:bookmarkEnd w:id="470"/>
      <w:bookmarkEnd w:id="473"/>
      <w:bookmarkEnd w:id="474"/>
      <w:bookmarkEnd w:id="475"/>
      <w:bookmarkEnd w:id="476"/>
    </w:p>
    <w:p w14:paraId="14091A70" w14:textId="21772153" w:rsidR="001F27D2" w:rsidRDefault="001F27D2" w:rsidP="001F27D2">
      <w:pPr>
        <w:pStyle w:val="Reporttext"/>
      </w:pPr>
      <w:r w:rsidRPr="002B2A7F">
        <w:rPr>
          <w:lang w:val="en-US"/>
        </w:rPr>
        <w:t>Table</w:t>
      </w:r>
      <w:r w:rsidRPr="002B2A7F">
        <w:t xml:space="preserve"> </w:t>
      </w:r>
      <w:r w:rsidRPr="002B2A7F">
        <w:rPr>
          <w:lang w:val="en-US"/>
        </w:rPr>
        <w:t>6.3</w:t>
      </w:r>
      <w:r w:rsidRPr="002B2A7F">
        <w:t xml:space="preserve"> sets out the categories of specialist older person accommodation as shown on the Elderly Accommodation Counsel (EAC) website</w:t>
      </w:r>
      <w:r w:rsidRPr="002B2A7F">
        <w:rPr>
          <w:rStyle w:val="FootnoteReference"/>
        </w:rPr>
        <w:footnoteReference w:id="18"/>
      </w:r>
      <w:r w:rsidRPr="002B2A7F">
        <w:t xml:space="preserve"> and the Private Registered Provider Social Housing Stock Statistical Data Return (SDR) 2017 return. </w:t>
      </w:r>
    </w:p>
    <w:p w14:paraId="72462C17" w14:textId="7E1A26D6" w:rsidR="000B1473" w:rsidRDefault="000B1473" w:rsidP="000B1473">
      <w:pPr>
        <w:pStyle w:val="Reporttext"/>
        <w:numPr>
          <w:ilvl w:val="0"/>
          <w:numId w:val="0"/>
        </w:numPr>
        <w:ind w:left="709"/>
      </w:pPr>
    </w:p>
    <w:p w14:paraId="4C50E7D0" w14:textId="56D9EB01" w:rsidR="000B1473" w:rsidRDefault="000B1473">
      <w:pPr>
        <w:spacing w:before="0" w:after="0"/>
        <w:jc w:val="left"/>
        <w:rPr>
          <w:rFonts w:asciiTheme="minorHAnsi" w:hAnsiTheme="minorHAnsi" w:cs="Calibri"/>
        </w:rPr>
      </w:pPr>
      <w:r>
        <w:br w:type="page"/>
      </w:r>
    </w:p>
    <w:tbl>
      <w:tblPr>
        <w:tblStyle w:val="TableGrid"/>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1766"/>
        <w:gridCol w:w="1660"/>
        <w:gridCol w:w="5754"/>
      </w:tblGrid>
      <w:tr w:rsidR="001F27D2" w:rsidRPr="000B1473" w14:paraId="31D88CC8" w14:textId="77777777" w:rsidTr="001F27D2">
        <w:tc>
          <w:tcPr>
            <w:tcW w:w="5000" w:type="pct"/>
            <w:gridSpan w:val="3"/>
            <w:shd w:val="clear" w:color="auto" w:fill="009999"/>
          </w:tcPr>
          <w:p w14:paraId="3C480445" w14:textId="543A45DF" w:rsidR="001F27D2" w:rsidRPr="000B1473" w:rsidRDefault="001F27D2" w:rsidP="000B1473">
            <w:pPr>
              <w:pStyle w:val="Tableheading1"/>
            </w:pPr>
            <w:bookmarkStart w:id="477" w:name="_Toc400208593"/>
            <w:bookmarkStart w:id="478" w:name="_Toc529739457"/>
            <w:bookmarkStart w:id="479" w:name="_Toc531122956"/>
            <w:bookmarkStart w:id="480" w:name="_Toc532812491"/>
            <w:r w:rsidRPr="000B1473">
              <w:lastRenderedPageBreak/>
              <w:t>Table 6.3</w:t>
            </w:r>
            <w:r w:rsidR="00B34315">
              <w:t>A</w:t>
            </w:r>
            <w:r w:rsidRPr="000B1473">
              <w:tab/>
              <w:t>Categories of older person accommodation</w:t>
            </w:r>
            <w:bookmarkEnd w:id="477"/>
            <w:bookmarkEnd w:id="478"/>
            <w:bookmarkEnd w:id="479"/>
            <w:bookmarkEnd w:id="480"/>
          </w:p>
        </w:tc>
      </w:tr>
      <w:tr w:rsidR="000B1473" w:rsidRPr="000B1473" w14:paraId="773D6349" w14:textId="77777777" w:rsidTr="00B34315">
        <w:tc>
          <w:tcPr>
            <w:tcW w:w="962" w:type="pct"/>
            <w:shd w:val="clear" w:color="auto" w:fill="009999"/>
            <w:vAlign w:val="bottom"/>
          </w:tcPr>
          <w:p w14:paraId="5B9D9398" w14:textId="77777777" w:rsidR="001F27D2" w:rsidRPr="000B1473" w:rsidRDefault="001F27D2" w:rsidP="000B1473">
            <w:pPr>
              <w:pStyle w:val="Reporttext"/>
              <w:numPr>
                <w:ilvl w:val="0"/>
                <w:numId w:val="0"/>
              </w:numPr>
              <w:spacing w:before="30" w:after="30"/>
              <w:jc w:val="left"/>
              <w:rPr>
                <w:rFonts w:ascii="Calibri" w:hAnsi="Calibri"/>
                <w:b/>
                <w:color w:val="FFFFFF" w:themeColor="background1"/>
                <w:sz w:val="22"/>
                <w:szCs w:val="22"/>
              </w:rPr>
            </w:pPr>
            <w:r w:rsidRPr="000B1473">
              <w:rPr>
                <w:rFonts w:ascii="Calibri" w:hAnsi="Calibri"/>
                <w:b/>
                <w:color w:val="FFFFFF" w:themeColor="background1"/>
                <w:sz w:val="22"/>
                <w:szCs w:val="22"/>
              </w:rPr>
              <w:t>Category</w:t>
            </w:r>
          </w:p>
        </w:tc>
        <w:tc>
          <w:tcPr>
            <w:tcW w:w="904" w:type="pct"/>
            <w:shd w:val="clear" w:color="auto" w:fill="009999"/>
            <w:vAlign w:val="bottom"/>
          </w:tcPr>
          <w:p w14:paraId="47341E3D" w14:textId="77777777" w:rsidR="001F27D2" w:rsidRPr="000B1473" w:rsidRDefault="001F27D2" w:rsidP="000B1473">
            <w:pPr>
              <w:spacing w:before="30" w:after="30"/>
              <w:jc w:val="center"/>
              <w:rPr>
                <w:rFonts w:cs="Calibri"/>
                <w:b/>
                <w:color w:val="FFFFFF" w:themeColor="background1"/>
                <w:sz w:val="22"/>
                <w:szCs w:val="22"/>
              </w:rPr>
            </w:pPr>
            <w:r w:rsidRPr="000B1473">
              <w:rPr>
                <w:rFonts w:cs="Calibri"/>
                <w:b/>
                <w:color w:val="FFFFFF" w:themeColor="background1"/>
                <w:sz w:val="22"/>
                <w:szCs w:val="22"/>
              </w:rPr>
              <w:t>Number of units</w:t>
            </w:r>
          </w:p>
        </w:tc>
        <w:tc>
          <w:tcPr>
            <w:tcW w:w="3134" w:type="pct"/>
            <w:shd w:val="clear" w:color="auto" w:fill="009999"/>
            <w:vAlign w:val="bottom"/>
          </w:tcPr>
          <w:p w14:paraId="3578D2D7" w14:textId="77777777" w:rsidR="001F27D2" w:rsidRPr="000B1473" w:rsidRDefault="001F27D2" w:rsidP="000B1473">
            <w:pPr>
              <w:spacing w:before="30" w:after="30"/>
              <w:jc w:val="center"/>
              <w:rPr>
                <w:rFonts w:cs="Calibri"/>
                <w:b/>
                <w:color w:val="FFFFFF" w:themeColor="background1"/>
                <w:sz w:val="22"/>
                <w:szCs w:val="22"/>
              </w:rPr>
            </w:pPr>
            <w:r w:rsidRPr="000B1473">
              <w:rPr>
                <w:rFonts w:cs="Calibri"/>
                <w:b/>
                <w:color w:val="FFFFFF" w:themeColor="background1"/>
                <w:sz w:val="22"/>
                <w:szCs w:val="22"/>
              </w:rPr>
              <w:t>Description</w:t>
            </w:r>
          </w:p>
        </w:tc>
      </w:tr>
      <w:tr w:rsidR="001F27D2" w:rsidRPr="000B1473" w14:paraId="5A3D2F6E" w14:textId="77777777" w:rsidTr="00B34315">
        <w:tc>
          <w:tcPr>
            <w:tcW w:w="962" w:type="pct"/>
          </w:tcPr>
          <w:p w14:paraId="0916D7EA" w14:textId="77777777" w:rsidR="001F27D2" w:rsidRPr="000B1473" w:rsidRDefault="001F27D2" w:rsidP="00B34315">
            <w:pPr>
              <w:pStyle w:val="Reporttext"/>
              <w:numPr>
                <w:ilvl w:val="0"/>
                <w:numId w:val="0"/>
              </w:numPr>
              <w:spacing w:before="30" w:after="30"/>
              <w:jc w:val="left"/>
              <w:rPr>
                <w:rFonts w:ascii="Calibri" w:hAnsi="Calibri"/>
                <w:sz w:val="22"/>
                <w:szCs w:val="22"/>
              </w:rPr>
            </w:pPr>
            <w:r w:rsidRPr="000B1473">
              <w:rPr>
                <w:rFonts w:ascii="Calibri" w:hAnsi="Calibri"/>
                <w:sz w:val="22"/>
                <w:szCs w:val="22"/>
              </w:rPr>
              <w:t>Age-exclusive housing</w:t>
            </w:r>
          </w:p>
        </w:tc>
        <w:tc>
          <w:tcPr>
            <w:tcW w:w="904" w:type="pct"/>
          </w:tcPr>
          <w:p w14:paraId="4C65F12B" w14:textId="77777777" w:rsidR="001F27D2" w:rsidRPr="000B1473" w:rsidRDefault="001F27D2" w:rsidP="000B1473">
            <w:pPr>
              <w:spacing w:before="30" w:after="30"/>
              <w:jc w:val="center"/>
              <w:rPr>
                <w:rFonts w:cs="Calibri"/>
                <w:color w:val="101010"/>
                <w:sz w:val="22"/>
                <w:szCs w:val="22"/>
              </w:rPr>
            </w:pPr>
            <w:r w:rsidRPr="000B1473">
              <w:rPr>
                <w:rFonts w:cs="Calibri"/>
                <w:color w:val="101010"/>
                <w:sz w:val="22"/>
                <w:szCs w:val="22"/>
              </w:rPr>
              <w:t>88</w:t>
            </w:r>
          </w:p>
        </w:tc>
        <w:tc>
          <w:tcPr>
            <w:tcW w:w="3134" w:type="pct"/>
          </w:tcPr>
          <w:p w14:paraId="7DE1CB32" w14:textId="77777777" w:rsidR="001F27D2" w:rsidRPr="000B1473" w:rsidRDefault="001F27D2" w:rsidP="000B1473">
            <w:pPr>
              <w:spacing w:before="30" w:after="30"/>
              <w:rPr>
                <w:rFonts w:cs="Calibri"/>
                <w:sz w:val="22"/>
                <w:szCs w:val="22"/>
              </w:rPr>
            </w:pPr>
            <w:r w:rsidRPr="000B1473">
              <w:rPr>
                <w:rFonts w:cs="Calibri"/>
                <w:color w:val="101010"/>
                <w:sz w:val="22"/>
                <w:szCs w:val="22"/>
              </w:rPr>
              <w:t>Schemes or developments that cater exclusively for older people, usually incorporate design features helpful to older people, and may have communal facilities such as a residents' lounge, guest suite and shared garden, but do not provide any regular on-site support to residents.</w:t>
            </w:r>
          </w:p>
        </w:tc>
      </w:tr>
      <w:tr w:rsidR="001F27D2" w:rsidRPr="000B1473" w14:paraId="615707F2" w14:textId="77777777" w:rsidTr="00B34315">
        <w:tc>
          <w:tcPr>
            <w:tcW w:w="962" w:type="pct"/>
          </w:tcPr>
          <w:p w14:paraId="785168F2" w14:textId="77777777" w:rsidR="001F27D2" w:rsidRPr="000B1473" w:rsidRDefault="001F27D2" w:rsidP="00B34315">
            <w:pPr>
              <w:pStyle w:val="Reporttext"/>
              <w:numPr>
                <w:ilvl w:val="0"/>
                <w:numId w:val="0"/>
              </w:numPr>
              <w:spacing w:before="30" w:after="30"/>
              <w:jc w:val="left"/>
              <w:rPr>
                <w:rFonts w:ascii="Calibri" w:hAnsi="Calibri"/>
                <w:sz w:val="22"/>
                <w:szCs w:val="22"/>
              </w:rPr>
            </w:pPr>
            <w:r w:rsidRPr="000B1473">
              <w:rPr>
                <w:rFonts w:ascii="Calibri" w:hAnsi="Calibri"/>
                <w:sz w:val="22"/>
                <w:szCs w:val="22"/>
              </w:rPr>
              <w:t>Care homes</w:t>
            </w:r>
          </w:p>
        </w:tc>
        <w:tc>
          <w:tcPr>
            <w:tcW w:w="904" w:type="pct"/>
          </w:tcPr>
          <w:p w14:paraId="663411E2" w14:textId="77777777" w:rsidR="001F27D2" w:rsidRPr="000B1473" w:rsidRDefault="001F27D2" w:rsidP="000B1473">
            <w:pPr>
              <w:spacing w:before="30" w:after="30"/>
              <w:jc w:val="center"/>
              <w:rPr>
                <w:rFonts w:cs="Calibri"/>
                <w:color w:val="101010"/>
                <w:sz w:val="22"/>
                <w:szCs w:val="22"/>
              </w:rPr>
            </w:pPr>
            <w:r w:rsidRPr="000B1473">
              <w:rPr>
                <w:rFonts w:cs="Calibri"/>
                <w:color w:val="101010"/>
                <w:sz w:val="22"/>
                <w:szCs w:val="22"/>
              </w:rPr>
              <w:t>221</w:t>
            </w:r>
          </w:p>
        </w:tc>
        <w:tc>
          <w:tcPr>
            <w:tcW w:w="3134" w:type="pct"/>
          </w:tcPr>
          <w:p w14:paraId="769F029C" w14:textId="77777777" w:rsidR="001F27D2" w:rsidRPr="000B1473" w:rsidRDefault="001F27D2" w:rsidP="000B1473">
            <w:pPr>
              <w:spacing w:before="30" w:after="30"/>
              <w:rPr>
                <w:rFonts w:cs="Calibri"/>
                <w:sz w:val="22"/>
                <w:szCs w:val="22"/>
              </w:rPr>
            </w:pPr>
            <w:r w:rsidRPr="000B1473">
              <w:rPr>
                <w:rFonts w:cs="Calibri"/>
                <w:color w:val="101010"/>
                <w:sz w:val="22"/>
                <w:szCs w:val="22"/>
              </w:rPr>
              <w:t>A residential setting where a number of older people live, usually in single rooms, and have access to on-site care services. Since April 2002 all homes in England, Scotland and Wales are known as ‘care homes’, but are registered to provide different levels of care</w:t>
            </w:r>
          </w:p>
          <w:p w14:paraId="4D341002" w14:textId="77777777" w:rsidR="001F27D2" w:rsidRPr="000B1473" w:rsidRDefault="001F27D2" w:rsidP="000B1473">
            <w:pPr>
              <w:spacing w:before="30" w:after="30"/>
              <w:rPr>
                <w:rFonts w:cs="Calibri"/>
                <w:sz w:val="22"/>
                <w:szCs w:val="22"/>
              </w:rPr>
            </w:pPr>
            <w:r w:rsidRPr="000B1473">
              <w:rPr>
                <w:rFonts w:cs="Calibri"/>
                <w:color w:val="101010"/>
                <w:sz w:val="22"/>
                <w:szCs w:val="22"/>
              </w:rPr>
              <w:t>A home registered simply as a </w:t>
            </w:r>
            <w:r w:rsidRPr="000B1473">
              <w:rPr>
                <w:rFonts w:cs="Calibri"/>
                <w:b/>
                <w:bCs/>
                <w:color w:val="101010"/>
                <w:sz w:val="22"/>
                <w:szCs w:val="22"/>
              </w:rPr>
              <w:t>care home </w:t>
            </w:r>
            <w:r w:rsidRPr="000B1473">
              <w:rPr>
                <w:rFonts w:cs="Calibri"/>
                <w:color w:val="101010"/>
                <w:sz w:val="22"/>
                <w:szCs w:val="22"/>
              </w:rPr>
              <w:t>will provide personal care only - help with washing, dressing and giving medication</w:t>
            </w:r>
          </w:p>
        </w:tc>
      </w:tr>
      <w:tr w:rsidR="001F27D2" w:rsidRPr="000B1473" w14:paraId="49EB1FAF" w14:textId="77777777" w:rsidTr="00B34315">
        <w:tc>
          <w:tcPr>
            <w:tcW w:w="962" w:type="pct"/>
          </w:tcPr>
          <w:p w14:paraId="62D8CC58" w14:textId="77777777" w:rsidR="001F27D2" w:rsidRPr="000B1473" w:rsidRDefault="001F27D2" w:rsidP="00B34315">
            <w:pPr>
              <w:pStyle w:val="Reporttext"/>
              <w:numPr>
                <w:ilvl w:val="0"/>
                <w:numId w:val="0"/>
              </w:numPr>
              <w:spacing w:before="30" w:after="30"/>
              <w:jc w:val="left"/>
              <w:rPr>
                <w:rFonts w:ascii="Calibri" w:hAnsi="Calibri"/>
                <w:sz w:val="22"/>
                <w:szCs w:val="22"/>
              </w:rPr>
            </w:pPr>
            <w:r w:rsidRPr="000B1473">
              <w:rPr>
                <w:rFonts w:ascii="Calibri" w:hAnsi="Calibri"/>
                <w:sz w:val="22"/>
                <w:szCs w:val="22"/>
              </w:rPr>
              <w:t>Care home with nursing</w:t>
            </w:r>
          </w:p>
        </w:tc>
        <w:tc>
          <w:tcPr>
            <w:tcW w:w="904" w:type="pct"/>
          </w:tcPr>
          <w:p w14:paraId="3224285B" w14:textId="77777777" w:rsidR="001F27D2" w:rsidRPr="000B1473" w:rsidRDefault="001F27D2" w:rsidP="000B1473">
            <w:pPr>
              <w:spacing w:before="30" w:after="30"/>
              <w:jc w:val="center"/>
              <w:rPr>
                <w:rFonts w:cs="Calibri"/>
                <w:color w:val="101010"/>
                <w:sz w:val="22"/>
                <w:szCs w:val="22"/>
              </w:rPr>
            </w:pPr>
            <w:r w:rsidRPr="000B1473">
              <w:rPr>
                <w:rFonts w:cs="Calibri"/>
                <w:color w:val="101010"/>
                <w:sz w:val="22"/>
                <w:szCs w:val="22"/>
              </w:rPr>
              <w:t>32</w:t>
            </w:r>
          </w:p>
        </w:tc>
        <w:tc>
          <w:tcPr>
            <w:tcW w:w="3134" w:type="pct"/>
          </w:tcPr>
          <w:p w14:paraId="302D037A" w14:textId="77777777" w:rsidR="001F27D2" w:rsidRPr="000B1473" w:rsidRDefault="001F27D2" w:rsidP="000B1473">
            <w:pPr>
              <w:spacing w:before="30" w:after="30"/>
              <w:rPr>
                <w:rFonts w:cs="Calibri"/>
                <w:sz w:val="22"/>
                <w:szCs w:val="22"/>
              </w:rPr>
            </w:pPr>
            <w:r w:rsidRPr="000B1473">
              <w:rPr>
                <w:rFonts w:cs="Calibri"/>
                <w:color w:val="101010"/>
                <w:sz w:val="22"/>
                <w:szCs w:val="22"/>
              </w:rPr>
              <w:t>A home registered as a </w:t>
            </w:r>
            <w:r w:rsidRPr="000B1473">
              <w:rPr>
                <w:rFonts w:cs="Calibri"/>
                <w:b/>
                <w:bCs/>
                <w:color w:val="101010"/>
                <w:sz w:val="22"/>
                <w:szCs w:val="22"/>
              </w:rPr>
              <w:t>care home with nursing </w:t>
            </w:r>
            <w:r w:rsidRPr="000B1473">
              <w:rPr>
                <w:rFonts w:cs="Calibri"/>
                <w:color w:val="101010"/>
                <w:sz w:val="22"/>
                <w:szCs w:val="22"/>
              </w:rPr>
              <w:t>will provide the same personal care but also have a qualified nurse on duty twenty-four hours a day to carry out nursing tasks. These homes are for people who are physically or mentally frail or people who need regular attention from a nurse.</w:t>
            </w:r>
          </w:p>
        </w:tc>
      </w:tr>
      <w:tr w:rsidR="001F27D2" w:rsidRPr="000B1473" w14:paraId="615F6EB6" w14:textId="77777777" w:rsidTr="00B34315">
        <w:tc>
          <w:tcPr>
            <w:tcW w:w="962" w:type="pct"/>
          </w:tcPr>
          <w:p w14:paraId="5C2B5789" w14:textId="77777777" w:rsidR="001F27D2" w:rsidRPr="000B1473" w:rsidRDefault="001F27D2" w:rsidP="00B34315">
            <w:pPr>
              <w:pStyle w:val="Reporttext"/>
              <w:numPr>
                <w:ilvl w:val="0"/>
                <w:numId w:val="0"/>
              </w:numPr>
              <w:spacing w:before="30" w:after="30"/>
              <w:jc w:val="left"/>
              <w:rPr>
                <w:rFonts w:ascii="Calibri" w:hAnsi="Calibri"/>
                <w:sz w:val="22"/>
                <w:szCs w:val="22"/>
              </w:rPr>
            </w:pPr>
            <w:r w:rsidRPr="000B1473">
              <w:rPr>
                <w:rFonts w:ascii="Calibri" w:hAnsi="Calibri"/>
                <w:sz w:val="22"/>
                <w:szCs w:val="22"/>
              </w:rPr>
              <w:t>Enhanced sheltered/close case</w:t>
            </w:r>
          </w:p>
        </w:tc>
        <w:tc>
          <w:tcPr>
            <w:tcW w:w="904" w:type="pct"/>
          </w:tcPr>
          <w:p w14:paraId="05CA103E" w14:textId="77777777" w:rsidR="001F27D2" w:rsidRPr="000B1473" w:rsidRDefault="001F27D2" w:rsidP="000B1473">
            <w:pPr>
              <w:spacing w:before="30" w:after="30"/>
              <w:jc w:val="center"/>
              <w:rPr>
                <w:rFonts w:cs="Calibri"/>
                <w:color w:val="101010"/>
                <w:sz w:val="22"/>
                <w:szCs w:val="22"/>
              </w:rPr>
            </w:pPr>
            <w:r w:rsidRPr="000B1473">
              <w:rPr>
                <w:rFonts w:cs="Calibri"/>
                <w:color w:val="101010"/>
                <w:sz w:val="22"/>
                <w:szCs w:val="22"/>
              </w:rPr>
              <w:t>0</w:t>
            </w:r>
          </w:p>
        </w:tc>
        <w:tc>
          <w:tcPr>
            <w:tcW w:w="3134" w:type="pct"/>
          </w:tcPr>
          <w:p w14:paraId="33DDDC76" w14:textId="77777777" w:rsidR="001F27D2" w:rsidRPr="000B1473" w:rsidRDefault="001F27D2" w:rsidP="000B1473">
            <w:pPr>
              <w:spacing w:before="30" w:after="30"/>
              <w:rPr>
                <w:rFonts w:cs="Calibri"/>
                <w:color w:val="101010"/>
                <w:sz w:val="22"/>
                <w:szCs w:val="22"/>
              </w:rPr>
            </w:pPr>
            <w:r w:rsidRPr="000B1473">
              <w:rPr>
                <w:rFonts w:cs="Calibri"/>
                <w:color w:val="101010"/>
                <w:sz w:val="22"/>
                <w:szCs w:val="22"/>
              </w:rPr>
              <w:t>Sheltered housing that provides more in facilities and services than traditional sheltered housing but does not offer the full range of provision that is found in an Extra Care housing scheme</w:t>
            </w:r>
          </w:p>
        </w:tc>
      </w:tr>
      <w:tr w:rsidR="001F27D2" w:rsidRPr="000B1473" w14:paraId="5E141BF2" w14:textId="77777777" w:rsidTr="00B34315">
        <w:tc>
          <w:tcPr>
            <w:tcW w:w="962" w:type="pct"/>
          </w:tcPr>
          <w:p w14:paraId="25271FC6" w14:textId="77777777" w:rsidR="001F27D2" w:rsidRPr="000B1473" w:rsidRDefault="001F27D2" w:rsidP="00B34315">
            <w:pPr>
              <w:pStyle w:val="Reporttext"/>
              <w:numPr>
                <w:ilvl w:val="0"/>
                <w:numId w:val="0"/>
              </w:numPr>
              <w:spacing w:before="30" w:after="30"/>
              <w:jc w:val="left"/>
              <w:rPr>
                <w:rFonts w:ascii="Calibri" w:hAnsi="Calibri"/>
                <w:sz w:val="22"/>
                <w:szCs w:val="22"/>
              </w:rPr>
            </w:pPr>
            <w:r w:rsidRPr="000B1473">
              <w:rPr>
                <w:rFonts w:ascii="Calibri" w:hAnsi="Calibri"/>
                <w:sz w:val="22"/>
                <w:szCs w:val="22"/>
              </w:rPr>
              <w:t>Retirement housing</w:t>
            </w:r>
          </w:p>
        </w:tc>
        <w:tc>
          <w:tcPr>
            <w:tcW w:w="904" w:type="pct"/>
          </w:tcPr>
          <w:p w14:paraId="68FAB8BB" w14:textId="77777777" w:rsidR="001F27D2" w:rsidRPr="000B1473" w:rsidRDefault="001F27D2" w:rsidP="000B1473">
            <w:pPr>
              <w:spacing w:before="30" w:after="30"/>
              <w:jc w:val="center"/>
              <w:rPr>
                <w:rFonts w:cs="Calibri"/>
                <w:color w:val="101010"/>
                <w:sz w:val="22"/>
                <w:szCs w:val="22"/>
              </w:rPr>
            </w:pPr>
            <w:r w:rsidRPr="000B1473">
              <w:rPr>
                <w:rFonts w:cs="Calibri"/>
                <w:color w:val="101010"/>
                <w:sz w:val="22"/>
                <w:szCs w:val="22"/>
              </w:rPr>
              <w:t>301</w:t>
            </w:r>
          </w:p>
        </w:tc>
        <w:tc>
          <w:tcPr>
            <w:tcW w:w="3134" w:type="pct"/>
          </w:tcPr>
          <w:p w14:paraId="758DDAE9" w14:textId="77777777" w:rsidR="001F27D2" w:rsidRPr="000B1473" w:rsidRDefault="001F27D2" w:rsidP="000B1473">
            <w:pPr>
              <w:spacing w:before="30" w:after="30"/>
              <w:rPr>
                <w:rFonts w:cs="Calibri"/>
                <w:sz w:val="22"/>
                <w:szCs w:val="22"/>
              </w:rPr>
            </w:pPr>
            <w:r w:rsidRPr="000B1473">
              <w:rPr>
                <w:rFonts w:cs="Calibri"/>
                <w:color w:val="101010"/>
                <w:sz w:val="22"/>
                <w:szCs w:val="22"/>
              </w:rPr>
              <w:t>Housing developments of a similar type to sheltered housing (see below), but built for sale, usually on a leasehold basis.</w:t>
            </w:r>
          </w:p>
        </w:tc>
      </w:tr>
      <w:tr w:rsidR="001F27D2" w:rsidRPr="000B1473" w14:paraId="19BD62A3" w14:textId="77777777" w:rsidTr="00B34315">
        <w:tc>
          <w:tcPr>
            <w:tcW w:w="962" w:type="pct"/>
          </w:tcPr>
          <w:p w14:paraId="44810421" w14:textId="77777777" w:rsidR="001F27D2" w:rsidRPr="000B1473" w:rsidRDefault="001F27D2" w:rsidP="00B34315">
            <w:pPr>
              <w:pStyle w:val="Reporttext"/>
              <w:numPr>
                <w:ilvl w:val="0"/>
                <w:numId w:val="0"/>
              </w:numPr>
              <w:spacing w:before="30" w:after="30"/>
              <w:jc w:val="left"/>
              <w:rPr>
                <w:rFonts w:ascii="Calibri" w:hAnsi="Calibri"/>
                <w:sz w:val="22"/>
                <w:szCs w:val="22"/>
              </w:rPr>
            </w:pPr>
            <w:r w:rsidRPr="000B1473">
              <w:rPr>
                <w:rFonts w:ascii="Calibri" w:hAnsi="Calibri"/>
                <w:sz w:val="22"/>
                <w:szCs w:val="22"/>
              </w:rPr>
              <w:t>Extra Care housing</w:t>
            </w:r>
          </w:p>
        </w:tc>
        <w:tc>
          <w:tcPr>
            <w:tcW w:w="904" w:type="pct"/>
          </w:tcPr>
          <w:p w14:paraId="24885170" w14:textId="77777777" w:rsidR="001F27D2" w:rsidRPr="000B1473" w:rsidRDefault="001F27D2" w:rsidP="000B1473">
            <w:pPr>
              <w:spacing w:before="30" w:after="30"/>
              <w:jc w:val="center"/>
              <w:rPr>
                <w:rFonts w:cs="Calibri"/>
                <w:color w:val="101010"/>
                <w:sz w:val="22"/>
                <w:szCs w:val="22"/>
              </w:rPr>
            </w:pPr>
            <w:r w:rsidRPr="000B1473">
              <w:rPr>
                <w:rFonts w:cs="Calibri"/>
                <w:color w:val="101010"/>
                <w:sz w:val="22"/>
                <w:szCs w:val="22"/>
              </w:rPr>
              <w:t>122</w:t>
            </w:r>
          </w:p>
        </w:tc>
        <w:tc>
          <w:tcPr>
            <w:tcW w:w="3134" w:type="pct"/>
          </w:tcPr>
          <w:p w14:paraId="1CA8FB4C" w14:textId="77777777" w:rsidR="001F27D2" w:rsidRPr="000B1473" w:rsidRDefault="001F27D2" w:rsidP="000B1473">
            <w:pPr>
              <w:spacing w:before="30" w:after="30"/>
              <w:rPr>
                <w:rFonts w:cs="Calibri"/>
                <w:sz w:val="22"/>
                <w:szCs w:val="22"/>
              </w:rPr>
            </w:pPr>
            <w:r w:rsidRPr="000B1473">
              <w:rPr>
                <w:rFonts w:cs="Calibri"/>
                <w:color w:val="101010"/>
                <w:sz w:val="22"/>
                <w:szCs w:val="22"/>
              </w:rPr>
              <w:t>Extra Care Housing is housing designed with the needs of frailer older people in mind and with varying levels of care and support available on site. People who live in Extra Care Housing have their own self contained homes, their own front doors and a legal right to occupy the property. Extra Care Housing is also known as very sheltered housing, assisted living, or simply as 'housing with care'.  It comes in many built forms, including blocks of flats, bungalow estates and retirement villages. It is a popular choice among older people because it can sometimes provide an alternative to a care home.</w:t>
            </w:r>
          </w:p>
        </w:tc>
      </w:tr>
      <w:tr w:rsidR="001F27D2" w:rsidRPr="000B1473" w14:paraId="062DE840" w14:textId="77777777" w:rsidTr="00B34315">
        <w:tc>
          <w:tcPr>
            <w:tcW w:w="962" w:type="pct"/>
          </w:tcPr>
          <w:p w14:paraId="117DBA65" w14:textId="77777777" w:rsidR="001F27D2" w:rsidRPr="000B1473" w:rsidRDefault="001F27D2" w:rsidP="00B34315">
            <w:pPr>
              <w:pStyle w:val="Reporttext"/>
              <w:numPr>
                <w:ilvl w:val="0"/>
                <w:numId w:val="0"/>
              </w:numPr>
              <w:spacing w:before="30" w:after="30"/>
              <w:jc w:val="left"/>
              <w:rPr>
                <w:rFonts w:ascii="Calibri" w:hAnsi="Calibri"/>
                <w:sz w:val="22"/>
                <w:szCs w:val="22"/>
              </w:rPr>
            </w:pPr>
            <w:r w:rsidRPr="000B1473">
              <w:rPr>
                <w:rFonts w:ascii="Calibri" w:hAnsi="Calibri"/>
                <w:sz w:val="22"/>
                <w:szCs w:val="22"/>
              </w:rPr>
              <w:t>Sheltered housing*</w:t>
            </w:r>
          </w:p>
        </w:tc>
        <w:tc>
          <w:tcPr>
            <w:tcW w:w="904" w:type="pct"/>
          </w:tcPr>
          <w:p w14:paraId="1F646A7E" w14:textId="77777777" w:rsidR="001F27D2" w:rsidRPr="000B1473" w:rsidRDefault="001F27D2" w:rsidP="000B1473">
            <w:pPr>
              <w:spacing w:before="30" w:after="30"/>
              <w:jc w:val="center"/>
              <w:rPr>
                <w:rFonts w:cs="Calibri"/>
                <w:color w:val="101010"/>
                <w:sz w:val="22"/>
                <w:szCs w:val="22"/>
              </w:rPr>
            </w:pPr>
            <w:r w:rsidRPr="000B1473">
              <w:rPr>
                <w:rFonts w:cs="Calibri"/>
                <w:color w:val="101010"/>
                <w:sz w:val="22"/>
                <w:szCs w:val="22"/>
              </w:rPr>
              <w:t>Included in retirement housing</w:t>
            </w:r>
          </w:p>
        </w:tc>
        <w:tc>
          <w:tcPr>
            <w:tcW w:w="3134" w:type="pct"/>
          </w:tcPr>
          <w:p w14:paraId="6A562748" w14:textId="77777777" w:rsidR="001F27D2" w:rsidRPr="000B1473" w:rsidRDefault="001F27D2" w:rsidP="000B1473">
            <w:pPr>
              <w:spacing w:before="30" w:after="30"/>
              <w:rPr>
                <w:rFonts w:cs="Calibri"/>
                <w:sz w:val="22"/>
                <w:szCs w:val="22"/>
              </w:rPr>
            </w:pPr>
            <w:r w:rsidRPr="000B1473">
              <w:rPr>
                <w:rFonts w:cs="Calibri"/>
                <w:color w:val="101010"/>
                <w:sz w:val="22"/>
                <w:szCs w:val="22"/>
              </w:rPr>
              <w:t>Sheltered housing means having your own flat or bungalow in a block, or on a small estate, where all the other residents are older people (usually over 55). With a few exceptions, all developments (or 'schemes') provide independent, self-contained homes with their own front doors.</w:t>
            </w:r>
          </w:p>
        </w:tc>
      </w:tr>
      <w:tr w:rsidR="001F27D2" w:rsidRPr="000B1473" w14:paraId="1B1E693C" w14:textId="77777777" w:rsidTr="00B34315">
        <w:tc>
          <w:tcPr>
            <w:tcW w:w="962" w:type="pct"/>
          </w:tcPr>
          <w:p w14:paraId="2A3392BA" w14:textId="77777777" w:rsidR="001F27D2" w:rsidRPr="000B1473" w:rsidRDefault="001F27D2" w:rsidP="000B1473">
            <w:pPr>
              <w:pStyle w:val="Reporttext"/>
              <w:numPr>
                <w:ilvl w:val="0"/>
                <w:numId w:val="0"/>
              </w:numPr>
              <w:spacing w:before="30" w:after="30"/>
              <w:rPr>
                <w:rFonts w:ascii="Calibri" w:hAnsi="Calibri"/>
                <w:sz w:val="22"/>
                <w:szCs w:val="22"/>
              </w:rPr>
            </w:pPr>
            <w:r w:rsidRPr="000B1473">
              <w:rPr>
                <w:rFonts w:ascii="Calibri" w:hAnsi="Calibri"/>
                <w:sz w:val="22"/>
                <w:szCs w:val="22"/>
              </w:rPr>
              <w:t>Total</w:t>
            </w:r>
          </w:p>
        </w:tc>
        <w:tc>
          <w:tcPr>
            <w:tcW w:w="904" w:type="pct"/>
          </w:tcPr>
          <w:p w14:paraId="1790BB3F" w14:textId="77777777" w:rsidR="001F27D2" w:rsidRPr="000B1473" w:rsidRDefault="001F27D2" w:rsidP="000B1473">
            <w:pPr>
              <w:spacing w:before="30" w:after="30"/>
              <w:jc w:val="center"/>
              <w:rPr>
                <w:rFonts w:cs="Calibri"/>
                <w:color w:val="101010"/>
                <w:sz w:val="22"/>
                <w:szCs w:val="22"/>
              </w:rPr>
            </w:pPr>
            <w:r w:rsidRPr="000B1473">
              <w:rPr>
                <w:rFonts w:cs="Calibri"/>
                <w:color w:val="101010"/>
                <w:sz w:val="22"/>
                <w:szCs w:val="22"/>
              </w:rPr>
              <w:t>764</w:t>
            </w:r>
          </w:p>
        </w:tc>
        <w:tc>
          <w:tcPr>
            <w:tcW w:w="3134" w:type="pct"/>
          </w:tcPr>
          <w:p w14:paraId="266C12EA" w14:textId="77777777" w:rsidR="001F27D2" w:rsidRPr="000B1473" w:rsidRDefault="001F27D2" w:rsidP="000B1473">
            <w:pPr>
              <w:spacing w:before="30" w:after="30"/>
              <w:rPr>
                <w:rFonts w:cs="Calibri"/>
                <w:color w:val="101010"/>
                <w:sz w:val="22"/>
                <w:szCs w:val="22"/>
              </w:rPr>
            </w:pPr>
            <w:r w:rsidRPr="000B1473">
              <w:rPr>
                <w:rFonts w:cs="Calibri"/>
                <w:color w:val="101010"/>
                <w:sz w:val="22"/>
                <w:szCs w:val="22"/>
              </w:rPr>
              <w:t>Including Registered Provider dwellings</w:t>
            </w:r>
          </w:p>
        </w:tc>
      </w:tr>
    </w:tbl>
    <w:p w14:paraId="78B7EE8C" w14:textId="77777777" w:rsidR="001F27D2" w:rsidRPr="00B34315" w:rsidRDefault="001F27D2" w:rsidP="001F27D2">
      <w:pPr>
        <w:pStyle w:val="Reporttext"/>
        <w:numPr>
          <w:ilvl w:val="0"/>
          <w:numId w:val="0"/>
        </w:numPr>
        <w:rPr>
          <w:sz w:val="20"/>
        </w:rPr>
      </w:pPr>
      <w:r w:rsidRPr="00B34315">
        <w:rPr>
          <w:sz w:val="20"/>
        </w:rPr>
        <w:t xml:space="preserve">Source: EAC database www.housingcare.org; </w:t>
      </w:r>
    </w:p>
    <w:p w14:paraId="43476333" w14:textId="77777777" w:rsidR="001F27D2" w:rsidRPr="00B34315" w:rsidRDefault="001F27D2" w:rsidP="001F27D2">
      <w:pPr>
        <w:pStyle w:val="Reporttext"/>
        <w:numPr>
          <w:ilvl w:val="0"/>
          <w:numId w:val="0"/>
        </w:numPr>
        <w:rPr>
          <w:sz w:val="20"/>
        </w:rPr>
      </w:pPr>
      <w:r w:rsidRPr="00B34315">
        <w:rPr>
          <w:sz w:val="20"/>
        </w:rPr>
        <w:t>* No sheltered housing was reported in the EAC database however it did include 3912 units of PRP rented dwellings. The Private Registered Provider Statistical Data Return (SDR) 2017 reports a total of 341 older person dwellings so it is assumed that the EAC data covers all social rented older person housing.</w:t>
      </w:r>
    </w:p>
    <w:p w14:paraId="0A067E23" w14:textId="3621B618" w:rsidR="00B34315" w:rsidRPr="00617740" w:rsidRDefault="00617740" w:rsidP="00617740">
      <w:pPr>
        <w:spacing w:before="0" w:after="0"/>
        <w:jc w:val="left"/>
        <w:rPr>
          <w:rFonts w:asciiTheme="minorHAnsi" w:hAnsiTheme="minorHAnsi" w:cs="Calibri"/>
        </w:rPr>
      </w:pPr>
      <w:r>
        <w:br w:type="page"/>
      </w:r>
    </w:p>
    <w:p w14:paraId="31C27E5D" w14:textId="5FFFD75E" w:rsidR="001F27D2" w:rsidRPr="002B2A7F" w:rsidRDefault="001F27D2" w:rsidP="001F27D2">
      <w:pPr>
        <w:pStyle w:val="Reporttext"/>
      </w:pPr>
      <w:r w:rsidRPr="002B2A7F">
        <w:rPr>
          <w:lang w:val="en-US"/>
        </w:rPr>
        <w:lastRenderedPageBreak/>
        <w:t>Across</w:t>
      </w:r>
      <w:r w:rsidRPr="002B2A7F">
        <w:t xml:space="preserve"> the </w:t>
      </w:r>
      <w:r w:rsidR="00617740">
        <w:t>D</w:t>
      </w:r>
      <w:r w:rsidRPr="002B2A7F">
        <w:t xml:space="preserve">istrict, there are around 764 units of specialist older persons accommodation. This includes 253 units of residential care (C2) dwellings. </w:t>
      </w:r>
    </w:p>
    <w:p w14:paraId="0D768B48" w14:textId="77777777" w:rsidR="001F27D2" w:rsidRPr="002B2A7F" w:rsidRDefault="001F27D2" w:rsidP="001F27D2">
      <w:pPr>
        <w:pStyle w:val="Reporttext"/>
      </w:pPr>
      <w:r w:rsidRPr="002B2A7F">
        <w:t xml:space="preserve">Analysis would indicate that 58% of specialist older person provision including sheltered housing is owned/managed by Registered Providers and 42% owned/managed by private organisations. </w:t>
      </w:r>
    </w:p>
    <w:p w14:paraId="17CA064D" w14:textId="77777777" w:rsidR="001F27D2" w:rsidRPr="002B2A7F" w:rsidRDefault="001F27D2" w:rsidP="001F27D2">
      <w:pPr>
        <w:pStyle w:val="Reporttext"/>
      </w:pPr>
      <w:r w:rsidRPr="002B2A7F">
        <w:t xml:space="preserve">Table </w:t>
      </w:r>
      <w:r w:rsidRPr="002B2A7F">
        <w:rPr>
          <w:lang w:val="en-US"/>
        </w:rPr>
        <w:t>6.4</w:t>
      </w:r>
      <w:r w:rsidRPr="002B2A7F">
        <w:t xml:space="preserve"> considers the ratio of older people to current provision and then applies this ratio to future household projections. This results in the need for 248 additional specialist older persons accommodation (C3) and 123 additional units of residential care provision (C2) over the plan period to 2032.</w:t>
      </w:r>
    </w:p>
    <w:p w14:paraId="3C6073D7" w14:textId="77777777" w:rsidR="001F27D2" w:rsidRPr="002B2A7F" w:rsidRDefault="001F27D2" w:rsidP="001F27D2">
      <w:pPr>
        <w:pStyle w:val="Reporttext"/>
        <w:numPr>
          <w:ilvl w:val="0"/>
          <w:numId w:val="0"/>
        </w:numPr>
      </w:pP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318"/>
        <w:gridCol w:w="1384"/>
        <w:gridCol w:w="2212"/>
        <w:gridCol w:w="2352"/>
        <w:gridCol w:w="914"/>
      </w:tblGrid>
      <w:tr w:rsidR="001F27D2" w:rsidRPr="00D318B6" w14:paraId="157824ED" w14:textId="77777777" w:rsidTr="001F27D2">
        <w:trPr>
          <w:trHeight w:val="300"/>
        </w:trPr>
        <w:tc>
          <w:tcPr>
            <w:tcW w:w="5000" w:type="pct"/>
            <w:gridSpan w:val="5"/>
            <w:shd w:val="clear" w:color="auto" w:fill="009999"/>
            <w:vAlign w:val="bottom"/>
            <w:hideMark/>
          </w:tcPr>
          <w:p w14:paraId="5B48DDF7" w14:textId="77777777" w:rsidR="001F27D2" w:rsidRPr="00D318B6" w:rsidRDefault="001F27D2" w:rsidP="00D318B6">
            <w:pPr>
              <w:pStyle w:val="Tableheading1"/>
            </w:pPr>
            <w:bookmarkStart w:id="481" w:name="_Toc400208594"/>
            <w:bookmarkStart w:id="482" w:name="_Toc529739458"/>
            <w:bookmarkStart w:id="483" w:name="_Toc531122957"/>
            <w:bookmarkStart w:id="484" w:name="_Toc532812492"/>
            <w:r w:rsidRPr="00D318B6">
              <w:t>Table 6.4</w:t>
            </w:r>
            <w:r w:rsidRPr="00D318B6">
              <w:tab/>
              <w:t>Analysis of future need for specialist older person accommodation</w:t>
            </w:r>
            <w:bookmarkEnd w:id="481"/>
            <w:bookmarkEnd w:id="482"/>
            <w:bookmarkEnd w:id="483"/>
            <w:bookmarkEnd w:id="484"/>
          </w:p>
        </w:tc>
      </w:tr>
      <w:tr w:rsidR="001F27D2" w:rsidRPr="00D318B6" w14:paraId="31F9C8FA" w14:textId="77777777" w:rsidTr="001F27D2">
        <w:trPr>
          <w:trHeight w:val="560"/>
        </w:trPr>
        <w:tc>
          <w:tcPr>
            <w:tcW w:w="1262" w:type="pct"/>
            <w:shd w:val="clear" w:color="auto" w:fill="009999"/>
            <w:vAlign w:val="bottom"/>
            <w:hideMark/>
          </w:tcPr>
          <w:p w14:paraId="3D2D438E" w14:textId="77777777" w:rsidR="001F27D2" w:rsidRPr="00D318B6" w:rsidRDefault="001F27D2" w:rsidP="00D318B6">
            <w:pPr>
              <w:spacing w:before="0" w:after="0"/>
              <w:rPr>
                <w:rFonts w:cs="Calibri"/>
                <w:b/>
                <w:bCs/>
                <w:color w:val="FFFFFF"/>
                <w:sz w:val="22"/>
                <w:szCs w:val="22"/>
              </w:rPr>
            </w:pPr>
            <w:r w:rsidRPr="00D318B6">
              <w:rPr>
                <w:rFonts w:cs="Calibri"/>
                <w:b/>
                <w:bCs/>
                <w:color w:val="FFFFFF"/>
                <w:sz w:val="22"/>
                <w:szCs w:val="22"/>
              </w:rPr>
              <w:t>Current provision</w:t>
            </w:r>
          </w:p>
        </w:tc>
        <w:tc>
          <w:tcPr>
            <w:tcW w:w="754" w:type="pct"/>
            <w:shd w:val="clear" w:color="auto" w:fill="009999"/>
            <w:vAlign w:val="bottom"/>
            <w:hideMark/>
          </w:tcPr>
          <w:p w14:paraId="0C8585EA" w14:textId="77777777" w:rsidR="001F27D2" w:rsidRPr="00D318B6" w:rsidRDefault="001F27D2" w:rsidP="00D318B6">
            <w:pPr>
              <w:spacing w:before="0" w:after="0"/>
              <w:jc w:val="center"/>
              <w:rPr>
                <w:rFonts w:cs="Calibri"/>
                <w:b/>
                <w:bCs/>
                <w:color w:val="FFFFFF"/>
                <w:sz w:val="22"/>
                <w:szCs w:val="22"/>
              </w:rPr>
            </w:pPr>
            <w:r w:rsidRPr="00D318B6">
              <w:rPr>
                <w:rFonts w:cs="Calibri"/>
                <w:b/>
                <w:bCs/>
                <w:color w:val="FFFFFF"/>
                <w:sz w:val="22"/>
                <w:szCs w:val="22"/>
              </w:rPr>
              <w:t>Number of units 2018</w:t>
            </w:r>
          </w:p>
        </w:tc>
        <w:tc>
          <w:tcPr>
            <w:tcW w:w="1205" w:type="pct"/>
            <w:shd w:val="clear" w:color="auto" w:fill="009999"/>
            <w:vAlign w:val="bottom"/>
            <w:hideMark/>
          </w:tcPr>
          <w:p w14:paraId="796F27FD" w14:textId="77777777" w:rsidR="001F27D2" w:rsidRPr="00D318B6" w:rsidRDefault="001F27D2" w:rsidP="00D318B6">
            <w:pPr>
              <w:spacing w:before="0" w:after="0"/>
              <w:jc w:val="center"/>
              <w:rPr>
                <w:rFonts w:cs="Calibri"/>
                <w:b/>
                <w:bCs/>
                <w:color w:val="FFFFFF"/>
                <w:sz w:val="22"/>
                <w:szCs w:val="22"/>
              </w:rPr>
            </w:pPr>
            <w:r w:rsidRPr="00D318B6">
              <w:rPr>
                <w:rFonts w:cs="Calibri"/>
                <w:b/>
                <w:bCs/>
                <w:color w:val="FFFFFF"/>
                <w:sz w:val="22"/>
                <w:szCs w:val="22"/>
              </w:rPr>
              <w:t>Number aged 75 and over 2018</w:t>
            </w:r>
          </w:p>
        </w:tc>
        <w:tc>
          <w:tcPr>
            <w:tcW w:w="1281" w:type="pct"/>
            <w:shd w:val="clear" w:color="auto" w:fill="009999"/>
            <w:vAlign w:val="bottom"/>
            <w:hideMark/>
          </w:tcPr>
          <w:p w14:paraId="385E07C7" w14:textId="77777777" w:rsidR="001F27D2" w:rsidRPr="00D318B6" w:rsidRDefault="001F27D2" w:rsidP="00D318B6">
            <w:pPr>
              <w:spacing w:before="0" w:after="0"/>
              <w:jc w:val="center"/>
              <w:rPr>
                <w:rFonts w:cs="Calibri"/>
                <w:b/>
                <w:bCs/>
                <w:color w:val="FFFFFF"/>
                <w:sz w:val="22"/>
                <w:szCs w:val="22"/>
              </w:rPr>
            </w:pPr>
            <w:r w:rsidRPr="00D318B6">
              <w:rPr>
                <w:rFonts w:cs="Calibri"/>
                <w:b/>
                <w:bCs/>
                <w:color w:val="FFFFFF"/>
                <w:sz w:val="22"/>
                <w:szCs w:val="22"/>
              </w:rPr>
              <w:t>Number aged 75 and over 2032 (projected)</w:t>
            </w:r>
          </w:p>
        </w:tc>
        <w:tc>
          <w:tcPr>
            <w:tcW w:w="498" w:type="pct"/>
            <w:shd w:val="clear" w:color="auto" w:fill="009999"/>
            <w:vAlign w:val="bottom"/>
            <w:hideMark/>
          </w:tcPr>
          <w:p w14:paraId="0A5D224E" w14:textId="77777777" w:rsidR="001F27D2" w:rsidRPr="00D318B6" w:rsidRDefault="001F27D2" w:rsidP="00D318B6">
            <w:pPr>
              <w:spacing w:before="0" w:after="0"/>
              <w:jc w:val="center"/>
              <w:rPr>
                <w:rFonts w:cs="Calibri"/>
                <w:b/>
                <w:bCs/>
                <w:color w:val="FFFFFF"/>
                <w:sz w:val="22"/>
                <w:szCs w:val="22"/>
              </w:rPr>
            </w:pPr>
            <w:r w:rsidRPr="00D318B6">
              <w:rPr>
                <w:rFonts w:cs="Calibri"/>
                <w:b/>
                <w:bCs/>
                <w:color w:val="FFFFFF"/>
                <w:sz w:val="22"/>
                <w:szCs w:val="22"/>
              </w:rPr>
              <w:t>Change in need</w:t>
            </w:r>
          </w:p>
        </w:tc>
      </w:tr>
      <w:tr w:rsidR="001F27D2" w:rsidRPr="00D318B6" w14:paraId="77936892" w14:textId="77777777" w:rsidTr="001F27D2">
        <w:trPr>
          <w:trHeight w:val="300"/>
        </w:trPr>
        <w:tc>
          <w:tcPr>
            <w:tcW w:w="1262" w:type="pct"/>
            <w:vMerge w:val="restart"/>
            <w:shd w:val="clear" w:color="auto" w:fill="auto"/>
            <w:vAlign w:val="center"/>
            <w:hideMark/>
          </w:tcPr>
          <w:p w14:paraId="569FF2F7" w14:textId="77777777" w:rsidR="001F27D2" w:rsidRPr="00D318B6" w:rsidRDefault="001F27D2" w:rsidP="00D318B6">
            <w:pPr>
              <w:spacing w:before="0" w:after="0"/>
              <w:rPr>
                <w:rFonts w:cs="Calibri"/>
                <w:color w:val="000000"/>
                <w:sz w:val="22"/>
                <w:szCs w:val="22"/>
              </w:rPr>
            </w:pPr>
            <w:r w:rsidRPr="00D318B6">
              <w:rPr>
                <w:rFonts w:cs="Calibri"/>
                <w:color w:val="000000"/>
                <w:sz w:val="22"/>
                <w:szCs w:val="22"/>
              </w:rPr>
              <w:t>  </w:t>
            </w:r>
          </w:p>
        </w:tc>
        <w:tc>
          <w:tcPr>
            <w:tcW w:w="754" w:type="pct"/>
            <w:vMerge w:val="restart"/>
            <w:shd w:val="clear" w:color="auto" w:fill="auto"/>
            <w:vAlign w:val="center"/>
            <w:hideMark/>
          </w:tcPr>
          <w:p w14:paraId="5138C6E5" w14:textId="77777777" w:rsidR="001F27D2" w:rsidRPr="00D318B6" w:rsidRDefault="001F27D2" w:rsidP="00D318B6">
            <w:pPr>
              <w:spacing w:before="0" w:after="0"/>
              <w:jc w:val="center"/>
              <w:rPr>
                <w:rFonts w:cs="Calibri"/>
                <w:color w:val="000000"/>
                <w:sz w:val="22"/>
                <w:szCs w:val="22"/>
                <w:u w:val="single"/>
              </w:rPr>
            </w:pPr>
          </w:p>
        </w:tc>
        <w:tc>
          <w:tcPr>
            <w:tcW w:w="1205" w:type="pct"/>
            <w:shd w:val="clear" w:color="auto" w:fill="auto"/>
            <w:vAlign w:val="center"/>
            <w:hideMark/>
          </w:tcPr>
          <w:p w14:paraId="0A331EE1" w14:textId="77777777" w:rsidR="001F27D2" w:rsidRPr="00D318B6" w:rsidRDefault="001F27D2" w:rsidP="00D318B6">
            <w:pPr>
              <w:spacing w:before="0" w:after="0"/>
              <w:jc w:val="center"/>
              <w:rPr>
                <w:rFonts w:cs="Calibri"/>
                <w:b/>
                <w:color w:val="000000"/>
                <w:sz w:val="22"/>
                <w:szCs w:val="22"/>
              </w:rPr>
            </w:pPr>
            <w:r w:rsidRPr="00D318B6">
              <w:rPr>
                <w:rFonts w:cs="Calibri"/>
                <w:b/>
                <w:color w:val="000000"/>
                <w:sz w:val="22"/>
                <w:szCs w:val="22"/>
              </w:rPr>
              <w:t>6,400</w:t>
            </w:r>
          </w:p>
        </w:tc>
        <w:tc>
          <w:tcPr>
            <w:tcW w:w="1281" w:type="pct"/>
            <w:shd w:val="clear" w:color="auto" w:fill="auto"/>
            <w:vAlign w:val="center"/>
            <w:hideMark/>
          </w:tcPr>
          <w:p w14:paraId="66344F7D" w14:textId="77777777" w:rsidR="001F27D2" w:rsidRPr="00D318B6" w:rsidRDefault="001F27D2" w:rsidP="00D318B6">
            <w:pPr>
              <w:spacing w:before="0" w:after="0"/>
              <w:jc w:val="center"/>
              <w:rPr>
                <w:rFonts w:cs="Calibri"/>
                <w:b/>
                <w:color w:val="000000"/>
                <w:sz w:val="22"/>
                <w:szCs w:val="22"/>
              </w:rPr>
            </w:pPr>
            <w:r w:rsidRPr="00D318B6">
              <w:rPr>
                <w:rFonts w:cs="Calibri"/>
                <w:b/>
                <w:color w:val="000000"/>
                <w:sz w:val="22"/>
                <w:szCs w:val="22"/>
              </w:rPr>
              <w:t>9,500</w:t>
            </w:r>
          </w:p>
        </w:tc>
        <w:tc>
          <w:tcPr>
            <w:tcW w:w="498" w:type="pct"/>
            <w:shd w:val="clear" w:color="auto" w:fill="auto"/>
            <w:vAlign w:val="center"/>
            <w:hideMark/>
          </w:tcPr>
          <w:p w14:paraId="7FDA5FA0" w14:textId="77777777" w:rsidR="001F27D2" w:rsidRPr="00D318B6" w:rsidRDefault="001F27D2" w:rsidP="00D318B6">
            <w:pPr>
              <w:spacing w:before="0" w:after="0"/>
              <w:jc w:val="center"/>
              <w:rPr>
                <w:rFonts w:cs="Calibri"/>
                <w:color w:val="000000"/>
                <w:sz w:val="22"/>
                <w:szCs w:val="22"/>
              </w:rPr>
            </w:pPr>
            <w:r w:rsidRPr="00D318B6">
              <w:rPr>
                <w:rFonts w:cs="Calibri"/>
                <w:color w:val="000000"/>
                <w:sz w:val="22"/>
                <w:szCs w:val="22"/>
              </w:rPr>
              <w:t> </w:t>
            </w:r>
          </w:p>
        </w:tc>
      </w:tr>
      <w:tr w:rsidR="001F27D2" w:rsidRPr="00D318B6" w14:paraId="174191D0" w14:textId="77777777" w:rsidTr="001F27D2">
        <w:trPr>
          <w:trHeight w:val="560"/>
        </w:trPr>
        <w:tc>
          <w:tcPr>
            <w:tcW w:w="1262" w:type="pct"/>
            <w:vMerge/>
            <w:shd w:val="clear" w:color="auto" w:fill="auto"/>
            <w:vAlign w:val="center"/>
            <w:hideMark/>
          </w:tcPr>
          <w:p w14:paraId="6D1F9528" w14:textId="77777777" w:rsidR="001F27D2" w:rsidRPr="00D318B6" w:rsidRDefault="001F27D2" w:rsidP="00D318B6">
            <w:pPr>
              <w:spacing w:before="0" w:after="0"/>
              <w:rPr>
                <w:rFonts w:cs="Calibri"/>
                <w:color w:val="000000"/>
                <w:sz w:val="22"/>
                <w:szCs w:val="22"/>
              </w:rPr>
            </w:pPr>
          </w:p>
        </w:tc>
        <w:tc>
          <w:tcPr>
            <w:tcW w:w="754" w:type="pct"/>
            <w:vMerge/>
            <w:shd w:val="clear" w:color="auto" w:fill="auto"/>
            <w:vAlign w:val="center"/>
            <w:hideMark/>
          </w:tcPr>
          <w:p w14:paraId="6FAA23ED" w14:textId="77777777" w:rsidR="001F27D2" w:rsidRPr="00D318B6" w:rsidRDefault="001F27D2" w:rsidP="00D318B6">
            <w:pPr>
              <w:spacing w:before="0" w:after="0"/>
              <w:jc w:val="center"/>
              <w:rPr>
                <w:rFonts w:cs="Calibri"/>
                <w:color w:val="000000"/>
                <w:sz w:val="22"/>
                <w:szCs w:val="22"/>
                <w:u w:val="single"/>
              </w:rPr>
            </w:pPr>
          </w:p>
        </w:tc>
        <w:tc>
          <w:tcPr>
            <w:tcW w:w="1205" w:type="pct"/>
            <w:shd w:val="clear" w:color="auto" w:fill="auto"/>
            <w:vAlign w:val="center"/>
            <w:hideMark/>
          </w:tcPr>
          <w:p w14:paraId="6D3139CD" w14:textId="77777777" w:rsidR="001F27D2" w:rsidRPr="00D318B6" w:rsidRDefault="001F27D2" w:rsidP="00D318B6">
            <w:pPr>
              <w:spacing w:before="0" w:after="0"/>
              <w:jc w:val="center"/>
              <w:rPr>
                <w:rFonts w:cs="Calibri"/>
                <w:b/>
                <w:color w:val="000000"/>
                <w:sz w:val="22"/>
                <w:szCs w:val="22"/>
              </w:rPr>
            </w:pPr>
            <w:r w:rsidRPr="00D318B6">
              <w:rPr>
                <w:rFonts w:cs="Calibri"/>
                <w:b/>
                <w:color w:val="000000"/>
                <w:sz w:val="22"/>
                <w:szCs w:val="22"/>
              </w:rPr>
              <w:t>Ratio of population to current provision</w:t>
            </w:r>
          </w:p>
        </w:tc>
        <w:tc>
          <w:tcPr>
            <w:tcW w:w="1281" w:type="pct"/>
            <w:shd w:val="clear" w:color="auto" w:fill="auto"/>
            <w:vAlign w:val="center"/>
            <w:hideMark/>
          </w:tcPr>
          <w:p w14:paraId="14834D4F" w14:textId="77777777" w:rsidR="001F27D2" w:rsidRPr="00D318B6" w:rsidRDefault="001F27D2" w:rsidP="00D318B6">
            <w:pPr>
              <w:spacing w:before="0" w:after="0"/>
              <w:jc w:val="center"/>
              <w:rPr>
                <w:rFonts w:cs="Calibri"/>
                <w:b/>
                <w:color w:val="000000"/>
                <w:sz w:val="22"/>
                <w:szCs w:val="22"/>
              </w:rPr>
            </w:pPr>
            <w:r w:rsidRPr="00D318B6">
              <w:rPr>
                <w:rFonts w:cs="Calibri"/>
                <w:b/>
                <w:color w:val="000000"/>
                <w:sz w:val="22"/>
                <w:szCs w:val="22"/>
              </w:rPr>
              <w:t>Ratio applied to 2032 population</w:t>
            </w:r>
          </w:p>
        </w:tc>
        <w:tc>
          <w:tcPr>
            <w:tcW w:w="498" w:type="pct"/>
            <w:shd w:val="clear" w:color="auto" w:fill="auto"/>
            <w:vAlign w:val="center"/>
            <w:hideMark/>
          </w:tcPr>
          <w:p w14:paraId="0C398F77" w14:textId="77777777" w:rsidR="001F27D2" w:rsidRPr="00D318B6" w:rsidRDefault="001F27D2" w:rsidP="00D318B6">
            <w:pPr>
              <w:spacing w:before="0" w:after="0"/>
              <w:jc w:val="center"/>
              <w:rPr>
                <w:rFonts w:cs="Calibri"/>
                <w:color w:val="000000"/>
                <w:sz w:val="22"/>
                <w:szCs w:val="22"/>
              </w:rPr>
            </w:pPr>
            <w:r w:rsidRPr="00D318B6">
              <w:rPr>
                <w:rFonts w:cs="Calibri"/>
                <w:color w:val="000000"/>
                <w:sz w:val="22"/>
                <w:szCs w:val="22"/>
              </w:rPr>
              <w:t> </w:t>
            </w:r>
          </w:p>
        </w:tc>
      </w:tr>
      <w:tr w:rsidR="001F27D2" w:rsidRPr="00D318B6" w14:paraId="7BAD9A7C" w14:textId="77777777" w:rsidTr="001F27D2">
        <w:trPr>
          <w:trHeight w:val="300"/>
        </w:trPr>
        <w:tc>
          <w:tcPr>
            <w:tcW w:w="1262" w:type="pct"/>
            <w:shd w:val="clear" w:color="auto" w:fill="auto"/>
            <w:vAlign w:val="center"/>
            <w:hideMark/>
          </w:tcPr>
          <w:p w14:paraId="49839A46" w14:textId="77777777" w:rsidR="001F27D2" w:rsidRPr="00D318B6" w:rsidRDefault="001F27D2" w:rsidP="00D318B6">
            <w:pPr>
              <w:spacing w:before="0" w:after="0"/>
              <w:rPr>
                <w:rFonts w:cs="Calibri"/>
                <w:color w:val="000000"/>
                <w:sz w:val="22"/>
                <w:szCs w:val="22"/>
              </w:rPr>
            </w:pPr>
            <w:r w:rsidRPr="00D318B6">
              <w:rPr>
                <w:rFonts w:cs="Calibri"/>
                <w:color w:val="000000"/>
                <w:sz w:val="22"/>
                <w:szCs w:val="22"/>
              </w:rPr>
              <w:t>Specialist older person</w:t>
            </w:r>
          </w:p>
        </w:tc>
        <w:tc>
          <w:tcPr>
            <w:tcW w:w="754" w:type="pct"/>
            <w:shd w:val="clear" w:color="auto" w:fill="auto"/>
            <w:vAlign w:val="center"/>
            <w:hideMark/>
          </w:tcPr>
          <w:p w14:paraId="58C254BB" w14:textId="77777777" w:rsidR="001F27D2" w:rsidRPr="00D318B6" w:rsidRDefault="001F27D2" w:rsidP="00D318B6">
            <w:pPr>
              <w:spacing w:before="0" w:after="0"/>
              <w:jc w:val="center"/>
              <w:rPr>
                <w:rFonts w:cs="Calibri"/>
                <w:color w:val="000000"/>
                <w:sz w:val="22"/>
                <w:szCs w:val="22"/>
              </w:rPr>
            </w:pPr>
            <w:r w:rsidRPr="00D318B6">
              <w:rPr>
                <w:rFonts w:cs="Calibri"/>
                <w:color w:val="000000"/>
                <w:sz w:val="22"/>
                <w:szCs w:val="22"/>
              </w:rPr>
              <w:t>511</w:t>
            </w:r>
          </w:p>
        </w:tc>
        <w:tc>
          <w:tcPr>
            <w:tcW w:w="1205" w:type="pct"/>
            <w:shd w:val="clear" w:color="auto" w:fill="auto"/>
            <w:vAlign w:val="center"/>
            <w:hideMark/>
          </w:tcPr>
          <w:p w14:paraId="323979F4" w14:textId="77777777" w:rsidR="001F27D2" w:rsidRPr="00D318B6" w:rsidRDefault="001F27D2" w:rsidP="00D318B6">
            <w:pPr>
              <w:spacing w:before="0" w:after="0"/>
              <w:jc w:val="center"/>
              <w:rPr>
                <w:rFonts w:cs="Calibri"/>
                <w:color w:val="000000"/>
                <w:sz w:val="22"/>
                <w:szCs w:val="22"/>
              </w:rPr>
            </w:pPr>
            <w:r w:rsidRPr="00D318B6">
              <w:rPr>
                <w:rFonts w:cs="Calibri"/>
                <w:color w:val="000000"/>
                <w:sz w:val="22"/>
                <w:szCs w:val="22"/>
              </w:rPr>
              <w:t>0.07984375</w:t>
            </w:r>
          </w:p>
        </w:tc>
        <w:tc>
          <w:tcPr>
            <w:tcW w:w="1281" w:type="pct"/>
            <w:shd w:val="clear" w:color="auto" w:fill="auto"/>
            <w:vAlign w:val="center"/>
            <w:hideMark/>
          </w:tcPr>
          <w:p w14:paraId="62084E52" w14:textId="77777777" w:rsidR="001F27D2" w:rsidRPr="00D318B6" w:rsidRDefault="001F27D2" w:rsidP="00D318B6">
            <w:pPr>
              <w:spacing w:before="0" w:after="0"/>
              <w:jc w:val="center"/>
              <w:rPr>
                <w:rFonts w:cs="Calibri"/>
                <w:color w:val="000000"/>
                <w:sz w:val="22"/>
                <w:szCs w:val="22"/>
              </w:rPr>
            </w:pPr>
            <w:r w:rsidRPr="00D318B6">
              <w:rPr>
                <w:rFonts w:cs="Calibri"/>
                <w:color w:val="000000"/>
                <w:sz w:val="22"/>
                <w:szCs w:val="22"/>
              </w:rPr>
              <w:t>759</w:t>
            </w:r>
          </w:p>
        </w:tc>
        <w:tc>
          <w:tcPr>
            <w:tcW w:w="498" w:type="pct"/>
            <w:shd w:val="clear" w:color="auto" w:fill="auto"/>
            <w:vAlign w:val="center"/>
            <w:hideMark/>
          </w:tcPr>
          <w:p w14:paraId="73B180F8" w14:textId="77777777" w:rsidR="001F27D2" w:rsidRPr="00D318B6" w:rsidRDefault="001F27D2" w:rsidP="00D318B6">
            <w:pPr>
              <w:spacing w:before="0" w:after="0"/>
              <w:jc w:val="center"/>
              <w:rPr>
                <w:rFonts w:cs="Calibri"/>
                <w:color w:val="000000"/>
                <w:sz w:val="22"/>
                <w:szCs w:val="22"/>
              </w:rPr>
            </w:pPr>
            <w:r w:rsidRPr="00D318B6">
              <w:rPr>
                <w:rFonts w:cs="Calibri"/>
                <w:color w:val="000000"/>
                <w:sz w:val="22"/>
                <w:szCs w:val="22"/>
              </w:rPr>
              <w:t>248</w:t>
            </w:r>
          </w:p>
        </w:tc>
      </w:tr>
      <w:tr w:rsidR="001F27D2" w:rsidRPr="00D318B6" w14:paraId="7828E071" w14:textId="77777777" w:rsidTr="001F27D2">
        <w:trPr>
          <w:trHeight w:val="300"/>
        </w:trPr>
        <w:tc>
          <w:tcPr>
            <w:tcW w:w="1262" w:type="pct"/>
            <w:shd w:val="clear" w:color="auto" w:fill="auto"/>
            <w:vAlign w:val="center"/>
            <w:hideMark/>
          </w:tcPr>
          <w:p w14:paraId="4E0C7292" w14:textId="77777777" w:rsidR="001F27D2" w:rsidRPr="00D318B6" w:rsidRDefault="001F27D2" w:rsidP="00D318B6">
            <w:pPr>
              <w:spacing w:before="0" w:after="0"/>
              <w:rPr>
                <w:rFonts w:cs="Calibri"/>
                <w:color w:val="000000"/>
                <w:sz w:val="22"/>
                <w:szCs w:val="22"/>
              </w:rPr>
            </w:pPr>
            <w:r w:rsidRPr="00D318B6">
              <w:rPr>
                <w:rFonts w:cs="Calibri"/>
                <w:color w:val="000000"/>
                <w:sz w:val="22"/>
                <w:szCs w:val="22"/>
              </w:rPr>
              <w:t>Residential Care</w:t>
            </w:r>
          </w:p>
        </w:tc>
        <w:tc>
          <w:tcPr>
            <w:tcW w:w="754" w:type="pct"/>
            <w:shd w:val="clear" w:color="auto" w:fill="auto"/>
            <w:vAlign w:val="center"/>
            <w:hideMark/>
          </w:tcPr>
          <w:p w14:paraId="4E9417B1" w14:textId="77777777" w:rsidR="001F27D2" w:rsidRPr="00D318B6" w:rsidRDefault="001F27D2" w:rsidP="00D318B6">
            <w:pPr>
              <w:spacing w:before="0" w:after="0"/>
              <w:jc w:val="center"/>
              <w:rPr>
                <w:rFonts w:cs="Calibri"/>
                <w:color w:val="000000"/>
                <w:sz w:val="22"/>
                <w:szCs w:val="22"/>
              </w:rPr>
            </w:pPr>
            <w:r w:rsidRPr="00D318B6">
              <w:rPr>
                <w:rFonts w:cs="Calibri"/>
                <w:color w:val="000000"/>
                <w:sz w:val="22"/>
                <w:szCs w:val="22"/>
              </w:rPr>
              <w:t>253</w:t>
            </w:r>
          </w:p>
        </w:tc>
        <w:tc>
          <w:tcPr>
            <w:tcW w:w="1205" w:type="pct"/>
            <w:shd w:val="clear" w:color="auto" w:fill="auto"/>
            <w:vAlign w:val="center"/>
            <w:hideMark/>
          </w:tcPr>
          <w:p w14:paraId="225DB42C" w14:textId="77777777" w:rsidR="001F27D2" w:rsidRPr="00D318B6" w:rsidRDefault="001F27D2" w:rsidP="00D318B6">
            <w:pPr>
              <w:spacing w:before="0" w:after="0"/>
              <w:jc w:val="center"/>
              <w:rPr>
                <w:rFonts w:cs="Calibri"/>
                <w:color w:val="000000"/>
                <w:sz w:val="22"/>
                <w:szCs w:val="22"/>
              </w:rPr>
            </w:pPr>
            <w:r w:rsidRPr="00D318B6">
              <w:rPr>
                <w:rFonts w:cs="Calibri"/>
                <w:color w:val="000000"/>
                <w:sz w:val="22"/>
                <w:szCs w:val="22"/>
              </w:rPr>
              <w:t>0.03953125</w:t>
            </w:r>
          </w:p>
        </w:tc>
        <w:tc>
          <w:tcPr>
            <w:tcW w:w="1281" w:type="pct"/>
            <w:shd w:val="clear" w:color="auto" w:fill="auto"/>
            <w:vAlign w:val="center"/>
            <w:hideMark/>
          </w:tcPr>
          <w:p w14:paraId="7FD5D1C6" w14:textId="77777777" w:rsidR="001F27D2" w:rsidRPr="00D318B6" w:rsidRDefault="001F27D2" w:rsidP="00D318B6">
            <w:pPr>
              <w:spacing w:before="0" w:after="0"/>
              <w:jc w:val="center"/>
              <w:rPr>
                <w:rFonts w:cs="Calibri"/>
                <w:color w:val="000000"/>
                <w:sz w:val="22"/>
                <w:szCs w:val="22"/>
              </w:rPr>
            </w:pPr>
            <w:r w:rsidRPr="00D318B6">
              <w:rPr>
                <w:rFonts w:cs="Calibri"/>
                <w:color w:val="000000"/>
                <w:sz w:val="22"/>
                <w:szCs w:val="22"/>
              </w:rPr>
              <w:t>376</w:t>
            </w:r>
          </w:p>
        </w:tc>
        <w:tc>
          <w:tcPr>
            <w:tcW w:w="498" w:type="pct"/>
            <w:shd w:val="clear" w:color="auto" w:fill="auto"/>
            <w:vAlign w:val="center"/>
            <w:hideMark/>
          </w:tcPr>
          <w:p w14:paraId="48DD984F" w14:textId="77777777" w:rsidR="001F27D2" w:rsidRPr="00D318B6" w:rsidRDefault="001F27D2" w:rsidP="00D318B6">
            <w:pPr>
              <w:spacing w:before="0" w:after="0"/>
              <w:jc w:val="center"/>
              <w:rPr>
                <w:rFonts w:cs="Calibri"/>
                <w:color w:val="000000"/>
                <w:sz w:val="22"/>
                <w:szCs w:val="22"/>
              </w:rPr>
            </w:pPr>
            <w:r w:rsidRPr="00D318B6">
              <w:rPr>
                <w:rFonts w:cs="Calibri"/>
                <w:color w:val="000000"/>
                <w:sz w:val="22"/>
                <w:szCs w:val="22"/>
              </w:rPr>
              <w:t>123</w:t>
            </w:r>
          </w:p>
        </w:tc>
      </w:tr>
      <w:tr w:rsidR="001F27D2" w:rsidRPr="00D318B6" w14:paraId="0CF47BC8" w14:textId="77777777" w:rsidTr="001F27D2">
        <w:trPr>
          <w:trHeight w:val="300"/>
        </w:trPr>
        <w:tc>
          <w:tcPr>
            <w:tcW w:w="1262" w:type="pct"/>
            <w:shd w:val="clear" w:color="auto" w:fill="auto"/>
            <w:vAlign w:val="center"/>
            <w:hideMark/>
          </w:tcPr>
          <w:p w14:paraId="533755C5" w14:textId="77777777" w:rsidR="001F27D2" w:rsidRPr="00D318B6" w:rsidRDefault="001F27D2" w:rsidP="00D318B6">
            <w:pPr>
              <w:spacing w:before="0" w:after="0"/>
              <w:rPr>
                <w:rFonts w:cs="Calibri"/>
                <w:color w:val="000000"/>
                <w:sz w:val="22"/>
                <w:szCs w:val="22"/>
              </w:rPr>
            </w:pPr>
            <w:r w:rsidRPr="00D318B6">
              <w:rPr>
                <w:rFonts w:cs="Calibri"/>
                <w:color w:val="000000"/>
                <w:sz w:val="22"/>
                <w:szCs w:val="22"/>
              </w:rPr>
              <w:t>Total</w:t>
            </w:r>
          </w:p>
        </w:tc>
        <w:tc>
          <w:tcPr>
            <w:tcW w:w="754" w:type="pct"/>
            <w:shd w:val="clear" w:color="auto" w:fill="auto"/>
            <w:vAlign w:val="center"/>
            <w:hideMark/>
          </w:tcPr>
          <w:p w14:paraId="0CE25730" w14:textId="77777777" w:rsidR="001F27D2" w:rsidRPr="00D318B6" w:rsidRDefault="001F27D2" w:rsidP="00D318B6">
            <w:pPr>
              <w:spacing w:before="0" w:after="0"/>
              <w:jc w:val="center"/>
              <w:rPr>
                <w:rFonts w:cs="Calibri"/>
                <w:color w:val="000000"/>
                <w:sz w:val="22"/>
                <w:szCs w:val="22"/>
              </w:rPr>
            </w:pPr>
            <w:r w:rsidRPr="00D318B6">
              <w:rPr>
                <w:rFonts w:cs="Calibri"/>
                <w:color w:val="000000"/>
                <w:sz w:val="22"/>
                <w:szCs w:val="22"/>
              </w:rPr>
              <w:t>764</w:t>
            </w:r>
          </w:p>
        </w:tc>
        <w:tc>
          <w:tcPr>
            <w:tcW w:w="1205" w:type="pct"/>
            <w:shd w:val="clear" w:color="auto" w:fill="auto"/>
            <w:vAlign w:val="center"/>
            <w:hideMark/>
          </w:tcPr>
          <w:p w14:paraId="62378023" w14:textId="77777777" w:rsidR="001F27D2" w:rsidRPr="00D318B6" w:rsidRDefault="001F27D2" w:rsidP="00D318B6">
            <w:pPr>
              <w:spacing w:before="0" w:after="0"/>
              <w:jc w:val="center"/>
              <w:rPr>
                <w:rFonts w:cs="Calibri"/>
                <w:color w:val="000000"/>
                <w:sz w:val="22"/>
                <w:szCs w:val="22"/>
              </w:rPr>
            </w:pPr>
            <w:r w:rsidRPr="00D318B6">
              <w:rPr>
                <w:rFonts w:cs="Calibri"/>
                <w:color w:val="000000"/>
                <w:sz w:val="22"/>
                <w:szCs w:val="22"/>
              </w:rPr>
              <w:t> </w:t>
            </w:r>
          </w:p>
        </w:tc>
        <w:tc>
          <w:tcPr>
            <w:tcW w:w="1281" w:type="pct"/>
            <w:shd w:val="clear" w:color="auto" w:fill="auto"/>
            <w:vAlign w:val="center"/>
            <w:hideMark/>
          </w:tcPr>
          <w:p w14:paraId="063BA54C" w14:textId="77777777" w:rsidR="001F27D2" w:rsidRPr="00D318B6" w:rsidRDefault="001F27D2" w:rsidP="00D318B6">
            <w:pPr>
              <w:spacing w:before="0" w:after="0"/>
              <w:jc w:val="center"/>
              <w:rPr>
                <w:rFonts w:cs="Calibri"/>
                <w:color w:val="000000"/>
                <w:sz w:val="22"/>
                <w:szCs w:val="22"/>
              </w:rPr>
            </w:pPr>
            <w:r w:rsidRPr="00D318B6">
              <w:rPr>
                <w:rFonts w:cs="Calibri"/>
                <w:color w:val="000000"/>
                <w:sz w:val="22"/>
                <w:szCs w:val="22"/>
              </w:rPr>
              <w:t>1,134</w:t>
            </w:r>
          </w:p>
        </w:tc>
        <w:tc>
          <w:tcPr>
            <w:tcW w:w="498" w:type="pct"/>
            <w:shd w:val="clear" w:color="auto" w:fill="auto"/>
            <w:vAlign w:val="center"/>
            <w:hideMark/>
          </w:tcPr>
          <w:p w14:paraId="3940FB46" w14:textId="77777777" w:rsidR="001F27D2" w:rsidRPr="00D318B6" w:rsidRDefault="001F27D2" w:rsidP="00D318B6">
            <w:pPr>
              <w:spacing w:before="0" w:after="0"/>
              <w:jc w:val="center"/>
              <w:rPr>
                <w:rFonts w:cs="Calibri"/>
                <w:color w:val="000000"/>
                <w:sz w:val="22"/>
                <w:szCs w:val="22"/>
              </w:rPr>
            </w:pPr>
            <w:r w:rsidRPr="00D318B6">
              <w:rPr>
                <w:rFonts w:cs="Calibri"/>
                <w:color w:val="000000"/>
                <w:sz w:val="22"/>
                <w:szCs w:val="22"/>
              </w:rPr>
              <w:t>370</w:t>
            </w:r>
          </w:p>
        </w:tc>
      </w:tr>
    </w:tbl>
    <w:p w14:paraId="1A3D68D9" w14:textId="77777777" w:rsidR="001F27D2" w:rsidRPr="002B2A7F" w:rsidRDefault="001F27D2" w:rsidP="001F27D2">
      <w:pPr>
        <w:pStyle w:val="Reporttext"/>
        <w:numPr>
          <w:ilvl w:val="0"/>
          <w:numId w:val="0"/>
        </w:numPr>
      </w:pPr>
    </w:p>
    <w:p w14:paraId="40EC015B" w14:textId="5229C4D9" w:rsidR="001F27D2" w:rsidRPr="002B2A7F" w:rsidRDefault="001F27D2" w:rsidP="001F27D2">
      <w:pPr>
        <w:pStyle w:val="Reporttext"/>
        <w:rPr>
          <w:lang w:val="en-US"/>
        </w:rPr>
      </w:pPr>
      <w:r w:rsidRPr="002B2A7F">
        <w:rPr>
          <w:lang w:val="en-US"/>
        </w:rPr>
        <w:t>Regarding current and future need for older person’s accommodation, comments received from stakeholders</w:t>
      </w:r>
      <w:r w:rsidR="00E76510">
        <w:rPr>
          <w:lang w:val="en-US"/>
        </w:rPr>
        <w:t xml:space="preserve"> commented that more homes for older people were needed and there was a particular shortage of extra care and general older persons housing. </w:t>
      </w:r>
    </w:p>
    <w:p w14:paraId="03E1EEA5" w14:textId="77777777" w:rsidR="00E76510" w:rsidRDefault="00E76510" w:rsidP="003106AD"/>
    <w:p w14:paraId="1E5057FC" w14:textId="77F4C2CB" w:rsidR="001F27D2" w:rsidRPr="002B2A7F" w:rsidRDefault="001F27D2" w:rsidP="001F27D2">
      <w:pPr>
        <w:pStyle w:val="Heading3"/>
        <w:rPr>
          <w:rFonts w:asciiTheme="minorHAnsi" w:hAnsiTheme="minorHAnsi"/>
        </w:rPr>
      </w:pPr>
      <w:r w:rsidRPr="002B2A7F">
        <w:rPr>
          <w:rFonts w:asciiTheme="minorHAnsi" w:hAnsiTheme="minorHAnsi"/>
        </w:rPr>
        <w:t xml:space="preserve">Need for specialist older person housing evidenced in the </w:t>
      </w:r>
      <w:r w:rsidR="00617740">
        <w:rPr>
          <w:rFonts w:asciiTheme="minorHAnsi" w:hAnsiTheme="minorHAnsi"/>
        </w:rPr>
        <w:t>h</w:t>
      </w:r>
      <w:r w:rsidRPr="002B2A7F">
        <w:rPr>
          <w:rFonts w:asciiTheme="minorHAnsi" w:hAnsiTheme="minorHAnsi"/>
        </w:rPr>
        <w:t xml:space="preserve">ousehold </w:t>
      </w:r>
      <w:r w:rsidR="00617740">
        <w:rPr>
          <w:rFonts w:asciiTheme="minorHAnsi" w:hAnsiTheme="minorHAnsi"/>
        </w:rPr>
        <w:t>s</w:t>
      </w:r>
      <w:r w:rsidRPr="002B2A7F">
        <w:rPr>
          <w:rFonts w:asciiTheme="minorHAnsi" w:hAnsiTheme="minorHAnsi"/>
        </w:rPr>
        <w:t>urvey</w:t>
      </w:r>
    </w:p>
    <w:p w14:paraId="0B4C1F5D" w14:textId="57768294" w:rsidR="001F27D2" w:rsidRPr="002B2A7F" w:rsidRDefault="001F27D2" w:rsidP="001F27D2">
      <w:pPr>
        <w:pStyle w:val="Reporttext"/>
      </w:pPr>
      <w:r w:rsidRPr="002B2A7F">
        <w:rPr>
          <w:lang w:val="en-US"/>
        </w:rPr>
        <w:t>Question</w:t>
      </w:r>
      <w:r w:rsidRPr="002B2A7F">
        <w:t xml:space="preserve"> 11a of the Household Survey asked ‘If you think it is relevant to you, which of the following older persons’ housing options would you seriously consider either now or in the next 5 years</w:t>
      </w:r>
      <w:r w:rsidR="00617740">
        <w:t>?’</w:t>
      </w:r>
      <w:r w:rsidRPr="002B2A7F">
        <w:rPr>
          <w:lang w:val="en-US"/>
        </w:rPr>
        <w:t xml:space="preserve">. </w:t>
      </w:r>
      <w:r w:rsidRPr="002B2A7F">
        <w:t>As summarised in Table 6.5, 76.1% were planning to continue to live in their current home with support when needed. Of additional note, 31.8% would consider buying a property on the open market, 25% would consider buying extra care housing, 24.9% would consider rent</w:t>
      </w:r>
      <w:r w:rsidR="008D1B29">
        <w:t>ing</w:t>
      </w:r>
      <w:r w:rsidRPr="002B2A7F">
        <w:t xml:space="preserve"> sheltered housing and around 20% would consider residential care homes. </w:t>
      </w:r>
    </w:p>
    <w:p w14:paraId="025BEAD6" w14:textId="787C450C" w:rsidR="001F27D2" w:rsidRPr="002B2A7F" w:rsidRDefault="001F27D2" w:rsidP="001F27D2">
      <w:pPr>
        <w:pStyle w:val="Reporttext"/>
      </w:pPr>
      <w:r w:rsidRPr="002B2A7F">
        <w:t xml:space="preserve">Table </w:t>
      </w:r>
      <w:r w:rsidRPr="002B2A7F">
        <w:rPr>
          <w:lang w:val="en-US"/>
        </w:rPr>
        <w:t>6.6</w:t>
      </w:r>
      <w:r w:rsidRPr="002B2A7F">
        <w:t xml:space="preserve"> reports the number of households who would consider different older persons’ housing option</w:t>
      </w:r>
      <w:r w:rsidR="008D1B29">
        <w:t>s</w:t>
      </w:r>
      <w:r w:rsidRPr="002B2A7F">
        <w:t xml:space="preserve"> by broad age group and shows that the proportion considering staying in their own home increases with age. Table 6.7 then indicates the potential number of residents in each hosing market area who would consider particular housing options. This evidence suggests a need to continue to diversify the range of older persons’ housing provision. Additionally, providing a wider range of older persons’ accommodation has the potential to free-up larger family accommodation.</w:t>
      </w:r>
    </w:p>
    <w:p w14:paraId="1B4CC220" w14:textId="170D9F4E" w:rsidR="001F27D2" w:rsidRDefault="001F27D2" w:rsidP="001F27D2">
      <w:pPr>
        <w:rPr>
          <w:rFonts w:asciiTheme="minorHAnsi" w:hAnsiTheme="minorHAnsi"/>
        </w:rPr>
      </w:pPr>
    </w:p>
    <w:p w14:paraId="00A52FCF" w14:textId="5C27BBB7" w:rsidR="003106AD" w:rsidRDefault="003106AD">
      <w:pPr>
        <w:spacing w:before="0" w:after="0"/>
        <w:jc w:val="left"/>
        <w:rPr>
          <w:rFonts w:asciiTheme="minorHAnsi" w:hAnsiTheme="minorHAnsi"/>
        </w:rPr>
      </w:pPr>
      <w:r>
        <w:rPr>
          <w:rFonts w:asciiTheme="minorHAnsi" w:hAnsiTheme="minorHAnsi"/>
        </w:rPr>
        <w:br w:type="page"/>
      </w: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6476"/>
        <w:gridCol w:w="2704"/>
      </w:tblGrid>
      <w:tr w:rsidR="001F27D2" w:rsidRPr="00D318B6" w14:paraId="64454647" w14:textId="77777777" w:rsidTr="001F27D2">
        <w:tc>
          <w:tcPr>
            <w:tcW w:w="5000" w:type="pct"/>
            <w:gridSpan w:val="2"/>
            <w:shd w:val="clear" w:color="auto" w:fill="009999"/>
            <w:noWrap/>
            <w:vAlign w:val="bottom"/>
          </w:tcPr>
          <w:p w14:paraId="6AC009CF" w14:textId="77777777" w:rsidR="001F27D2" w:rsidRPr="00D318B6" w:rsidRDefault="001F27D2" w:rsidP="00D318B6">
            <w:pPr>
              <w:pStyle w:val="Tableheading1"/>
              <w:rPr>
                <w:color w:val="FFFFFF"/>
              </w:rPr>
            </w:pPr>
            <w:bookmarkStart w:id="485" w:name="_Toc529652130"/>
            <w:bookmarkStart w:id="486" w:name="_Toc529739459"/>
            <w:bookmarkStart w:id="487" w:name="_Toc531122958"/>
            <w:bookmarkStart w:id="488" w:name="_Toc532812493"/>
            <w:r w:rsidRPr="00D318B6">
              <w:lastRenderedPageBreak/>
              <w:t>Table 6</w:t>
            </w:r>
            <w:r w:rsidRPr="00D318B6">
              <w:rPr>
                <w:lang w:val="en-US"/>
              </w:rPr>
              <w:t>.5</w:t>
            </w:r>
            <w:r w:rsidRPr="00D318B6">
              <w:tab/>
              <w:t>Older persons’ housing options</w:t>
            </w:r>
            <w:bookmarkEnd w:id="485"/>
            <w:bookmarkEnd w:id="486"/>
            <w:bookmarkEnd w:id="487"/>
            <w:bookmarkEnd w:id="488"/>
          </w:p>
        </w:tc>
      </w:tr>
      <w:tr w:rsidR="001F27D2" w:rsidRPr="00D318B6" w14:paraId="5F27EC75" w14:textId="77777777" w:rsidTr="001F27D2">
        <w:tc>
          <w:tcPr>
            <w:tcW w:w="3527" w:type="pct"/>
            <w:shd w:val="clear" w:color="auto" w:fill="009999"/>
            <w:noWrap/>
            <w:vAlign w:val="bottom"/>
            <w:hideMark/>
          </w:tcPr>
          <w:p w14:paraId="50A60A34" w14:textId="77777777" w:rsidR="001F27D2" w:rsidRPr="00D318B6" w:rsidRDefault="001F27D2" w:rsidP="00D318B6">
            <w:pPr>
              <w:spacing w:before="40" w:after="40"/>
              <w:rPr>
                <w:rFonts w:cs="Calibri"/>
                <w:b/>
                <w:bCs/>
                <w:color w:val="FFFFFF"/>
                <w:sz w:val="22"/>
                <w:szCs w:val="22"/>
              </w:rPr>
            </w:pPr>
            <w:r w:rsidRPr="00D318B6">
              <w:rPr>
                <w:rFonts w:cs="Calibri"/>
                <w:b/>
                <w:bCs/>
                <w:color w:val="FFFFFF"/>
                <w:sz w:val="22"/>
                <w:szCs w:val="22"/>
              </w:rPr>
              <w:t>Housing option</w:t>
            </w:r>
          </w:p>
        </w:tc>
        <w:tc>
          <w:tcPr>
            <w:tcW w:w="1473" w:type="pct"/>
            <w:shd w:val="clear" w:color="auto" w:fill="009999"/>
            <w:noWrap/>
            <w:vAlign w:val="bottom"/>
            <w:hideMark/>
          </w:tcPr>
          <w:p w14:paraId="0CE242C3" w14:textId="77777777" w:rsidR="001F27D2" w:rsidRPr="00D318B6" w:rsidRDefault="001F27D2" w:rsidP="00D318B6">
            <w:pPr>
              <w:spacing w:before="40" w:after="40"/>
              <w:jc w:val="center"/>
              <w:rPr>
                <w:rFonts w:cs="Calibri"/>
                <w:b/>
                <w:bCs/>
                <w:color w:val="FFFFFF"/>
                <w:sz w:val="22"/>
                <w:szCs w:val="22"/>
              </w:rPr>
            </w:pPr>
            <w:r w:rsidRPr="00D318B6">
              <w:rPr>
                <w:rFonts w:cs="Calibri"/>
                <w:b/>
                <w:bCs/>
                <w:color w:val="FFFFFF"/>
                <w:sz w:val="22"/>
                <w:szCs w:val="22"/>
              </w:rPr>
              <w:t>% would consider</w:t>
            </w:r>
          </w:p>
        </w:tc>
      </w:tr>
      <w:tr w:rsidR="001F27D2" w:rsidRPr="00D318B6" w14:paraId="0D18B3D0" w14:textId="77777777" w:rsidTr="00D318B6">
        <w:tc>
          <w:tcPr>
            <w:tcW w:w="3527" w:type="pct"/>
            <w:shd w:val="clear" w:color="auto" w:fill="auto"/>
            <w:vAlign w:val="bottom"/>
          </w:tcPr>
          <w:p w14:paraId="19A7387F" w14:textId="77777777" w:rsidR="001F27D2" w:rsidRPr="00D318B6" w:rsidRDefault="001F27D2" w:rsidP="00D318B6">
            <w:pPr>
              <w:spacing w:before="40" w:after="40"/>
              <w:rPr>
                <w:rFonts w:cs="Calibri"/>
                <w:color w:val="000000"/>
                <w:sz w:val="22"/>
                <w:szCs w:val="22"/>
              </w:rPr>
            </w:pPr>
            <w:r w:rsidRPr="00D318B6">
              <w:rPr>
                <w:rFonts w:cs="Calibri"/>
                <w:color w:val="000000"/>
                <w:sz w:val="22"/>
                <w:szCs w:val="22"/>
              </w:rPr>
              <w:t>1 - Continue to live in current home with support when needed (e.g. home visits, ‘call for help’ alarm)</w:t>
            </w:r>
          </w:p>
        </w:tc>
        <w:tc>
          <w:tcPr>
            <w:tcW w:w="1473" w:type="pct"/>
            <w:shd w:val="clear" w:color="auto" w:fill="auto"/>
            <w:noWrap/>
            <w:vAlign w:val="center"/>
          </w:tcPr>
          <w:p w14:paraId="3F2F1A82" w14:textId="77777777" w:rsidR="001F27D2" w:rsidRPr="00D318B6" w:rsidRDefault="001F27D2" w:rsidP="00D318B6">
            <w:pPr>
              <w:spacing w:before="40" w:after="40"/>
              <w:jc w:val="center"/>
              <w:rPr>
                <w:rFonts w:cs="Calibri"/>
                <w:color w:val="000000"/>
                <w:sz w:val="22"/>
                <w:szCs w:val="22"/>
              </w:rPr>
            </w:pPr>
            <w:r w:rsidRPr="00D318B6">
              <w:rPr>
                <w:rFonts w:cs="Calibri"/>
                <w:color w:val="000000"/>
                <w:sz w:val="22"/>
                <w:szCs w:val="22"/>
              </w:rPr>
              <w:t>76.1</w:t>
            </w:r>
          </w:p>
        </w:tc>
      </w:tr>
      <w:tr w:rsidR="001F27D2" w:rsidRPr="00D318B6" w14:paraId="0294E2D3" w14:textId="77777777" w:rsidTr="00D318B6">
        <w:tc>
          <w:tcPr>
            <w:tcW w:w="3527" w:type="pct"/>
            <w:shd w:val="clear" w:color="auto" w:fill="auto"/>
            <w:vAlign w:val="bottom"/>
          </w:tcPr>
          <w:p w14:paraId="07B6EA17" w14:textId="77777777" w:rsidR="001F27D2" w:rsidRPr="00D318B6" w:rsidRDefault="001F27D2" w:rsidP="00D318B6">
            <w:pPr>
              <w:spacing w:before="40" w:after="40"/>
              <w:rPr>
                <w:rFonts w:cs="Calibri"/>
                <w:color w:val="000000"/>
                <w:sz w:val="22"/>
                <w:szCs w:val="22"/>
              </w:rPr>
            </w:pPr>
            <w:r w:rsidRPr="00D318B6">
              <w:rPr>
                <w:rFonts w:cs="Calibri"/>
                <w:color w:val="000000"/>
                <w:sz w:val="22"/>
                <w:szCs w:val="22"/>
              </w:rPr>
              <w:t>2 - Buying a suitable property on the open market</w:t>
            </w:r>
          </w:p>
        </w:tc>
        <w:tc>
          <w:tcPr>
            <w:tcW w:w="1473" w:type="pct"/>
            <w:shd w:val="clear" w:color="auto" w:fill="auto"/>
            <w:noWrap/>
            <w:vAlign w:val="center"/>
          </w:tcPr>
          <w:p w14:paraId="0F3F1853" w14:textId="77777777" w:rsidR="001F27D2" w:rsidRPr="00D318B6" w:rsidRDefault="001F27D2" w:rsidP="00D318B6">
            <w:pPr>
              <w:spacing w:before="40" w:after="40"/>
              <w:jc w:val="center"/>
              <w:rPr>
                <w:rFonts w:cs="Calibri"/>
                <w:color w:val="000000"/>
                <w:sz w:val="22"/>
                <w:szCs w:val="22"/>
              </w:rPr>
            </w:pPr>
            <w:r w:rsidRPr="00D318B6">
              <w:rPr>
                <w:rFonts w:cs="Calibri"/>
                <w:color w:val="000000"/>
                <w:sz w:val="22"/>
                <w:szCs w:val="22"/>
              </w:rPr>
              <w:t>31.8</w:t>
            </w:r>
          </w:p>
        </w:tc>
      </w:tr>
      <w:tr w:rsidR="001F27D2" w:rsidRPr="00D318B6" w14:paraId="7CFC7836" w14:textId="77777777" w:rsidTr="00D318B6">
        <w:tc>
          <w:tcPr>
            <w:tcW w:w="3527" w:type="pct"/>
            <w:shd w:val="clear" w:color="auto" w:fill="auto"/>
            <w:vAlign w:val="bottom"/>
          </w:tcPr>
          <w:p w14:paraId="24CE74BF" w14:textId="77777777" w:rsidR="001F27D2" w:rsidRPr="00D318B6" w:rsidRDefault="001F27D2" w:rsidP="00D318B6">
            <w:pPr>
              <w:spacing w:before="40" w:after="40"/>
              <w:rPr>
                <w:rFonts w:cs="Calibri"/>
                <w:color w:val="000000"/>
                <w:sz w:val="22"/>
                <w:szCs w:val="22"/>
              </w:rPr>
            </w:pPr>
            <w:r w:rsidRPr="00D318B6">
              <w:rPr>
                <w:rFonts w:cs="Calibri"/>
                <w:color w:val="000000"/>
                <w:sz w:val="22"/>
                <w:szCs w:val="22"/>
              </w:rPr>
              <w:t>3 - Rent a more suitable property from a private landlord</w:t>
            </w:r>
          </w:p>
        </w:tc>
        <w:tc>
          <w:tcPr>
            <w:tcW w:w="1473" w:type="pct"/>
            <w:shd w:val="clear" w:color="auto" w:fill="auto"/>
            <w:noWrap/>
            <w:vAlign w:val="center"/>
          </w:tcPr>
          <w:p w14:paraId="1F6190CB" w14:textId="77777777" w:rsidR="001F27D2" w:rsidRPr="00D318B6" w:rsidRDefault="001F27D2" w:rsidP="00D318B6">
            <w:pPr>
              <w:spacing w:before="40" w:after="40"/>
              <w:jc w:val="center"/>
              <w:rPr>
                <w:rFonts w:cs="Calibri"/>
                <w:color w:val="000000"/>
                <w:sz w:val="22"/>
                <w:szCs w:val="22"/>
              </w:rPr>
            </w:pPr>
            <w:r w:rsidRPr="00D318B6">
              <w:rPr>
                <w:rFonts w:cs="Calibri"/>
                <w:color w:val="000000"/>
                <w:sz w:val="22"/>
                <w:szCs w:val="22"/>
              </w:rPr>
              <w:t>6.4</w:t>
            </w:r>
          </w:p>
        </w:tc>
      </w:tr>
      <w:tr w:rsidR="001F27D2" w:rsidRPr="00D318B6" w14:paraId="61C647DC" w14:textId="77777777" w:rsidTr="00D318B6">
        <w:tc>
          <w:tcPr>
            <w:tcW w:w="3527" w:type="pct"/>
            <w:shd w:val="clear" w:color="auto" w:fill="auto"/>
            <w:vAlign w:val="bottom"/>
          </w:tcPr>
          <w:p w14:paraId="7C9C9FDB" w14:textId="77777777" w:rsidR="001F27D2" w:rsidRPr="00D318B6" w:rsidRDefault="001F27D2" w:rsidP="00D318B6">
            <w:pPr>
              <w:spacing w:before="40" w:after="40"/>
              <w:rPr>
                <w:rFonts w:cs="Calibri"/>
                <w:color w:val="000000"/>
                <w:sz w:val="22"/>
                <w:szCs w:val="22"/>
              </w:rPr>
            </w:pPr>
            <w:r w:rsidRPr="00D318B6">
              <w:rPr>
                <w:rFonts w:cs="Calibri"/>
                <w:color w:val="000000"/>
                <w:sz w:val="22"/>
                <w:szCs w:val="22"/>
              </w:rPr>
              <w:t>4 - Rent a more suitable from a housing association</w:t>
            </w:r>
          </w:p>
        </w:tc>
        <w:tc>
          <w:tcPr>
            <w:tcW w:w="1473" w:type="pct"/>
            <w:shd w:val="clear" w:color="auto" w:fill="auto"/>
            <w:noWrap/>
            <w:vAlign w:val="center"/>
          </w:tcPr>
          <w:p w14:paraId="1FAD98A9" w14:textId="77777777" w:rsidR="001F27D2" w:rsidRPr="00D318B6" w:rsidRDefault="001F27D2" w:rsidP="00D318B6">
            <w:pPr>
              <w:spacing w:before="40" w:after="40"/>
              <w:jc w:val="center"/>
              <w:rPr>
                <w:rFonts w:cs="Calibri"/>
                <w:color w:val="000000"/>
                <w:sz w:val="22"/>
                <w:szCs w:val="22"/>
              </w:rPr>
            </w:pPr>
            <w:r w:rsidRPr="00D318B6">
              <w:rPr>
                <w:rFonts w:cs="Calibri"/>
                <w:color w:val="000000"/>
                <w:sz w:val="22"/>
                <w:szCs w:val="22"/>
              </w:rPr>
              <w:t>9.1</w:t>
            </w:r>
          </w:p>
        </w:tc>
      </w:tr>
      <w:tr w:rsidR="001F27D2" w:rsidRPr="00D318B6" w14:paraId="71BD4649" w14:textId="77777777" w:rsidTr="00D318B6">
        <w:tc>
          <w:tcPr>
            <w:tcW w:w="3527" w:type="pct"/>
            <w:shd w:val="clear" w:color="auto" w:fill="auto"/>
            <w:vAlign w:val="bottom"/>
          </w:tcPr>
          <w:p w14:paraId="0EBFB32B" w14:textId="77777777" w:rsidR="001F27D2" w:rsidRPr="00D318B6" w:rsidRDefault="001F27D2" w:rsidP="00D318B6">
            <w:pPr>
              <w:spacing w:before="40" w:after="40"/>
              <w:rPr>
                <w:rFonts w:cs="Calibri"/>
                <w:color w:val="000000"/>
                <w:sz w:val="22"/>
                <w:szCs w:val="22"/>
              </w:rPr>
            </w:pPr>
            <w:r w:rsidRPr="00D318B6">
              <w:rPr>
                <w:rFonts w:cs="Calibri"/>
                <w:color w:val="000000"/>
                <w:sz w:val="22"/>
                <w:szCs w:val="22"/>
              </w:rPr>
              <w:t>5 - Extra care housing - Renting</w:t>
            </w:r>
          </w:p>
        </w:tc>
        <w:tc>
          <w:tcPr>
            <w:tcW w:w="1473" w:type="pct"/>
            <w:shd w:val="clear" w:color="auto" w:fill="auto"/>
            <w:noWrap/>
            <w:vAlign w:val="center"/>
          </w:tcPr>
          <w:p w14:paraId="6B492FD7" w14:textId="77777777" w:rsidR="001F27D2" w:rsidRPr="00D318B6" w:rsidRDefault="001F27D2" w:rsidP="00D318B6">
            <w:pPr>
              <w:spacing w:before="40" w:after="40"/>
              <w:jc w:val="center"/>
              <w:rPr>
                <w:rFonts w:cs="Calibri"/>
                <w:color w:val="000000"/>
                <w:sz w:val="22"/>
                <w:szCs w:val="22"/>
              </w:rPr>
            </w:pPr>
            <w:r w:rsidRPr="00D318B6">
              <w:rPr>
                <w:rFonts w:cs="Calibri"/>
                <w:color w:val="000000"/>
                <w:sz w:val="22"/>
                <w:szCs w:val="22"/>
              </w:rPr>
              <w:t>22.9</w:t>
            </w:r>
          </w:p>
        </w:tc>
      </w:tr>
      <w:tr w:rsidR="001F27D2" w:rsidRPr="00D318B6" w14:paraId="5ADC4E6D" w14:textId="77777777" w:rsidTr="00D318B6">
        <w:tc>
          <w:tcPr>
            <w:tcW w:w="3527" w:type="pct"/>
            <w:shd w:val="clear" w:color="auto" w:fill="auto"/>
            <w:vAlign w:val="bottom"/>
          </w:tcPr>
          <w:p w14:paraId="053E500A" w14:textId="77777777" w:rsidR="001F27D2" w:rsidRPr="00D318B6" w:rsidRDefault="001F27D2" w:rsidP="00D318B6">
            <w:pPr>
              <w:spacing w:before="40" w:after="40"/>
              <w:rPr>
                <w:rFonts w:cs="Calibri"/>
                <w:color w:val="000000"/>
                <w:sz w:val="22"/>
                <w:szCs w:val="22"/>
              </w:rPr>
            </w:pPr>
            <w:r w:rsidRPr="00D318B6">
              <w:rPr>
                <w:rFonts w:cs="Calibri"/>
                <w:color w:val="000000"/>
                <w:sz w:val="22"/>
                <w:szCs w:val="22"/>
              </w:rPr>
              <w:t>6 - Extra care housing - Buying</w:t>
            </w:r>
          </w:p>
        </w:tc>
        <w:tc>
          <w:tcPr>
            <w:tcW w:w="1473" w:type="pct"/>
            <w:shd w:val="clear" w:color="auto" w:fill="auto"/>
            <w:noWrap/>
            <w:vAlign w:val="center"/>
          </w:tcPr>
          <w:p w14:paraId="42914A4D" w14:textId="77777777" w:rsidR="001F27D2" w:rsidRPr="00D318B6" w:rsidRDefault="001F27D2" w:rsidP="00D318B6">
            <w:pPr>
              <w:spacing w:before="40" w:after="40"/>
              <w:jc w:val="center"/>
              <w:rPr>
                <w:rFonts w:cs="Calibri"/>
                <w:color w:val="000000"/>
                <w:sz w:val="22"/>
                <w:szCs w:val="22"/>
              </w:rPr>
            </w:pPr>
            <w:r w:rsidRPr="00D318B6">
              <w:rPr>
                <w:rFonts w:cs="Calibri"/>
                <w:color w:val="000000"/>
                <w:sz w:val="22"/>
                <w:szCs w:val="22"/>
              </w:rPr>
              <w:t>25.3</w:t>
            </w:r>
          </w:p>
        </w:tc>
      </w:tr>
      <w:tr w:rsidR="001F27D2" w:rsidRPr="00D318B6" w14:paraId="78BD1FFA" w14:textId="77777777" w:rsidTr="00D318B6">
        <w:tc>
          <w:tcPr>
            <w:tcW w:w="3527" w:type="pct"/>
            <w:shd w:val="clear" w:color="auto" w:fill="auto"/>
            <w:vAlign w:val="bottom"/>
          </w:tcPr>
          <w:p w14:paraId="50B99F5C" w14:textId="77777777" w:rsidR="001F27D2" w:rsidRPr="00D318B6" w:rsidRDefault="001F27D2" w:rsidP="00D318B6">
            <w:pPr>
              <w:spacing w:before="40" w:after="40"/>
              <w:rPr>
                <w:rFonts w:cs="Calibri"/>
                <w:color w:val="000000"/>
                <w:sz w:val="22"/>
                <w:szCs w:val="22"/>
              </w:rPr>
            </w:pPr>
            <w:r w:rsidRPr="00D318B6">
              <w:rPr>
                <w:rFonts w:cs="Calibri"/>
                <w:color w:val="000000"/>
                <w:sz w:val="22"/>
                <w:szCs w:val="22"/>
              </w:rPr>
              <w:t>7 - Extra care housing - Shared ownership</w:t>
            </w:r>
          </w:p>
        </w:tc>
        <w:tc>
          <w:tcPr>
            <w:tcW w:w="1473" w:type="pct"/>
            <w:shd w:val="clear" w:color="auto" w:fill="auto"/>
            <w:noWrap/>
            <w:vAlign w:val="center"/>
          </w:tcPr>
          <w:p w14:paraId="7C237E9C" w14:textId="77777777" w:rsidR="001F27D2" w:rsidRPr="00D318B6" w:rsidRDefault="001F27D2" w:rsidP="00D318B6">
            <w:pPr>
              <w:spacing w:before="40" w:after="40"/>
              <w:jc w:val="center"/>
              <w:rPr>
                <w:rFonts w:cs="Calibri"/>
                <w:color w:val="000000"/>
                <w:sz w:val="22"/>
                <w:szCs w:val="22"/>
              </w:rPr>
            </w:pPr>
            <w:r w:rsidRPr="00D318B6">
              <w:rPr>
                <w:rFonts w:cs="Calibri"/>
                <w:color w:val="000000"/>
                <w:sz w:val="22"/>
                <w:szCs w:val="22"/>
              </w:rPr>
              <w:t>6.7</w:t>
            </w:r>
          </w:p>
        </w:tc>
      </w:tr>
      <w:tr w:rsidR="001F27D2" w:rsidRPr="00D318B6" w14:paraId="41BA7515" w14:textId="77777777" w:rsidTr="00D318B6">
        <w:tc>
          <w:tcPr>
            <w:tcW w:w="3527" w:type="pct"/>
            <w:shd w:val="clear" w:color="auto" w:fill="auto"/>
            <w:vAlign w:val="bottom"/>
          </w:tcPr>
          <w:p w14:paraId="0A80BD06" w14:textId="77777777" w:rsidR="001F27D2" w:rsidRPr="00D318B6" w:rsidRDefault="001F27D2" w:rsidP="00D318B6">
            <w:pPr>
              <w:spacing w:before="40" w:after="40"/>
              <w:rPr>
                <w:rFonts w:cs="Calibri"/>
                <w:sz w:val="22"/>
                <w:szCs w:val="22"/>
              </w:rPr>
            </w:pPr>
            <w:r w:rsidRPr="00D318B6">
              <w:rPr>
                <w:rFonts w:cs="Calibri"/>
                <w:color w:val="000000"/>
                <w:sz w:val="22"/>
                <w:szCs w:val="22"/>
              </w:rPr>
              <w:t>8 - Sheltered accommodation - Renting</w:t>
            </w:r>
          </w:p>
        </w:tc>
        <w:tc>
          <w:tcPr>
            <w:tcW w:w="1473" w:type="pct"/>
            <w:shd w:val="clear" w:color="auto" w:fill="auto"/>
            <w:noWrap/>
            <w:vAlign w:val="center"/>
          </w:tcPr>
          <w:p w14:paraId="07E044C2" w14:textId="77777777" w:rsidR="001F27D2" w:rsidRPr="00D318B6" w:rsidRDefault="001F27D2" w:rsidP="00D318B6">
            <w:pPr>
              <w:spacing w:before="40" w:after="40"/>
              <w:jc w:val="center"/>
              <w:rPr>
                <w:rFonts w:cs="Calibri"/>
                <w:color w:val="000000"/>
                <w:sz w:val="22"/>
                <w:szCs w:val="22"/>
              </w:rPr>
            </w:pPr>
            <w:r w:rsidRPr="00D318B6">
              <w:rPr>
                <w:rFonts w:cs="Calibri"/>
                <w:color w:val="000000"/>
                <w:sz w:val="22"/>
                <w:szCs w:val="22"/>
              </w:rPr>
              <w:t>24.9</w:t>
            </w:r>
          </w:p>
        </w:tc>
      </w:tr>
      <w:tr w:rsidR="001F27D2" w:rsidRPr="00D318B6" w14:paraId="6BD3E02F" w14:textId="77777777" w:rsidTr="00D318B6">
        <w:tc>
          <w:tcPr>
            <w:tcW w:w="3527" w:type="pct"/>
            <w:shd w:val="clear" w:color="auto" w:fill="auto"/>
            <w:vAlign w:val="bottom"/>
          </w:tcPr>
          <w:p w14:paraId="292A7FB8" w14:textId="77777777" w:rsidR="001F27D2" w:rsidRPr="00D318B6" w:rsidRDefault="001F27D2" w:rsidP="00D318B6">
            <w:pPr>
              <w:spacing w:before="40" w:after="40"/>
              <w:rPr>
                <w:rFonts w:cs="Calibri"/>
                <w:color w:val="000000"/>
                <w:sz w:val="22"/>
                <w:szCs w:val="22"/>
              </w:rPr>
            </w:pPr>
            <w:r w:rsidRPr="00D318B6">
              <w:rPr>
                <w:rFonts w:cs="Calibri"/>
                <w:color w:val="000000"/>
                <w:sz w:val="22"/>
                <w:szCs w:val="22"/>
              </w:rPr>
              <w:t>9 - Sheltered accommodation - Buying</w:t>
            </w:r>
          </w:p>
        </w:tc>
        <w:tc>
          <w:tcPr>
            <w:tcW w:w="1473" w:type="pct"/>
            <w:shd w:val="clear" w:color="auto" w:fill="auto"/>
            <w:noWrap/>
            <w:vAlign w:val="center"/>
          </w:tcPr>
          <w:p w14:paraId="5E728E8F" w14:textId="77777777" w:rsidR="001F27D2" w:rsidRPr="00D318B6" w:rsidRDefault="001F27D2" w:rsidP="00D318B6">
            <w:pPr>
              <w:spacing w:before="40" w:after="40"/>
              <w:jc w:val="center"/>
              <w:rPr>
                <w:rFonts w:cs="Calibri"/>
                <w:color w:val="000000"/>
                <w:sz w:val="22"/>
                <w:szCs w:val="22"/>
              </w:rPr>
            </w:pPr>
            <w:r w:rsidRPr="00D318B6">
              <w:rPr>
                <w:rFonts w:cs="Calibri"/>
                <w:color w:val="000000"/>
                <w:sz w:val="22"/>
                <w:szCs w:val="22"/>
              </w:rPr>
              <w:t>23.9</w:t>
            </w:r>
          </w:p>
        </w:tc>
      </w:tr>
      <w:tr w:rsidR="001F27D2" w:rsidRPr="00D318B6" w14:paraId="25A426C7" w14:textId="77777777" w:rsidTr="00D318B6">
        <w:tc>
          <w:tcPr>
            <w:tcW w:w="3527" w:type="pct"/>
            <w:shd w:val="clear" w:color="auto" w:fill="auto"/>
            <w:vAlign w:val="bottom"/>
          </w:tcPr>
          <w:p w14:paraId="3A4C5BEB" w14:textId="77777777" w:rsidR="001F27D2" w:rsidRPr="00D318B6" w:rsidRDefault="001F27D2" w:rsidP="00D318B6">
            <w:pPr>
              <w:spacing w:before="40" w:after="40"/>
              <w:rPr>
                <w:rFonts w:cs="Calibri"/>
                <w:color w:val="000000"/>
                <w:sz w:val="22"/>
                <w:szCs w:val="22"/>
              </w:rPr>
            </w:pPr>
            <w:r w:rsidRPr="00D318B6">
              <w:rPr>
                <w:rFonts w:cs="Calibri"/>
                <w:color w:val="000000"/>
                <w:sz w:val="22"/>
                <w:szCs w:val="22"/>
              </w:rPr>
              <w:t>10 - Sheltered accommodation - Shared ownership</w:t>
            </w:r>
          </w:p>
        </w:tc>
        <w:tc>
          <w:tcPr>
            <w:tcW w:w="1473" w:type="pct"/>
            <w:shd w:val="clear" w:color="auto" w:fill="auto"/>
            <w:noWrap/>
            <w:vAlign w:val="center"/>
          </w:tcPr>
          <w:p w14:paraId="1E6F0F21" w14:textId="77777777" w:rsidR="001F27D2" w:rsidRPr="00D318B6" w:rsidRDefault="001F27D2" w:rsidP="00D318B6">
            <w:pPr>
              <w:spacing w:before="40" w:after="40"/>
              <w:jc w:val="center"/>
              <w:rPr>
                <w:rFonts w:cs="Calibri"/>
                <w:color w:val="000000"/>
                <w:sz w:val="22"/>
                <w:szCs w:val="22"/>
              </w:rPr>
            </w:pPr>
            <w:r w:rsidRPr="00D318B6">
              <w:rPr>
                <w:rFonts w:cs="Calibri"/>
                <w:color w:val="000000"/>
                <w:sz w:val="22"/>
                <w:szCs w:val="22"/>
              </w:rPr>
              <w:t>6.2</w:t>
            </w:r>
          </w:p>
        </w:tc>
      </w:tr>
      <w:tr w:rsidR="001F27D2" w:rsidRPr="00D318B6" w14:paraId="798384A6" w14:textId="77777777" w:rsidTr="00D318B6">
        <w:tc>
          <w:tcPr>
            <w:tcW w:w="3527" w:type="pct"/>
            <w:shd w:val="clear" w:color="auto" w:fill="auto"/>
            <w:vAlign w:val="bottom"/>
          </w:tcPr>
          <w:p w14:paraId="25706634" w14:textId="77777777" w:rsidR="001F27D2" w:rsidRPr="00D318B6" w:rsidRDefault="001F27D2" w:rsidP="00D318B6">
            <w:pPr>
              <w:spacing w:before="40" w:after="40"/>
              <w:rPr>
                <w:rFonts w:cs="Calibri"/>
                <w:color w:val="000000"/>
                <w:sz w:val="22"/>
                <w:szCs w:val="22"/>
              </w:rPr>
            </w:pPr>
            <w:r w:rsidRPr="00D318B6">
              <w:rPr>
                <w:rFonts w:cs="Calibri"/>
                <w:color w:val="000000"/>
                <w:sz w:val="22"/>
                <w:szCs w:val="22"/>
              </w:rPr>
              <w:t>11 - Residential care home</w:t>
            </w:r>
          </w:p>
        </w:tc>
        <w:tc>
          <w:tcPr>
            <w:tcW w:w="1473" w:type="pct"/>
            <w:shd w:val="clear" w:color="auto" w:fill="auto"/>
            <w:noWrap/>
            <w:vAlign w:val="center"/>
          </w:tcPr>
          <w:p w14:paraId="640D9E6C" w14:textId="77777777" w:rsidR="001F27D2" w:rsidRPr="00D318B6" w:rsidRDefault="001F27D2" w:rsidP="00D318B6">
            <w:pPr>
              <w:spacing w:before="40" w:after="40"/>
              <w:jc w:val="center"/>
              <w:rPr>
                <w:rFonts w:cs="Calibri"/>
                <w:color w:val="000000"/>
                <w:sz w:val="22"/>
                <w:szCs w:val="22"/>
              </w:rPr>
            </w:pPr>
            <w:r w:rsidRPr="00D318B6">
              <w:rPr>
                <w:rFonts w:cs="Calibri"/>
                <w:color w:val="000000"/>
                <w:sz w:val="22"/>
                <w:szCs w:val="22"/>
              </w:rPr>
              <w:t>20.1</w:t>
            </w:r>
          </w:p>
        </w:tc>
      </w:tr>
      <w:tr w:rsidR="001F27D2" w:rsidRPr="00D318B6" w14:paraId="0B0E391D" w14:textId="77777777" w:rsidTr="00D318B6">
        <w:tc>
          <w:tcPr>
            <w:tcW w:w="3527" w:type="pct"/>
            <w:shd w:val="clear" w:color="auto" w:fill="auto"/>
            <w:vAlign w:val="bottom"/>
          </w:tcPr>
          <w:p w14:paraId="4584D854" w14:textId="77777777" w:rsidR="001F27D2" w:rsidRPr="00D318B6" w:rsidRDefault="001F27D2" w:rsidP="00D318B6">
            <w:pPr>
              <w:spacing w:before="40" w:after="40"/>
              <w:rPr>
                <w:rFonts w:cs="Calibri"/>
                <w:sz w:val="22"/>
                <w:szCs w:val="22"/>
              </w:rPr>
            </w:pPr>
            <w:r w:rsidRPr="00D318B6">
              <w:rPr>
                <w:rFonts w:cs="Calibri"/>
                <w:color w:val="000000"/>
                <w:sz w:val="22"/>
                <w:szCs w:val="22"/>
              </w:rPr>
              <w:t>12 - Go to live with children or other relatives/friends</w:t>
            </w:r>
          </w:p>
        </w:tc>
        <w:tc>
          <w:tcPr>
            <w:tcW w:w="1473" w:type="pct"/>
            <w:shd w:val="clear" w:color="auto" w:fill="auto"/>
            <w:noWrap/>
            <w:vAlign w:val="center"/>
          </w:tcPr>
          <w:p w14:paraId="146BEA75" w14:textId="77777777" w:rsidR="001F27D2" w:rsidRPr="00D318B6" w:rsidRDefault="001F27D2" w:rsidP="00D318B6">
            <w:pPr>
              <w:spacing w:before="40" w:after="40"/>
              <w:jc w:val="center"/>
              <w:rPr>
                <w:rFonts w:cs="Calibri"/>
                <w:color w:val="000000"/>
                <w:sz w:val="22"/>
                <w:szCs w:val="22"/>
              </w:rPr>
            </w:pPr>
            <w:r w:rsidRPr="00D318B6">
              <w:rPr>
                <w:rFonts w:cs="Calibri"/>
                <w:color w:val="000000"/>
                <w:sz w:val="22"/>
                <w:szCs w:val="22"/>
              </w:rPr>
              <w:t>8.6</w:t>
            </w:r>
          </w:p>
        </w:tc>
      </w:tr>
      <w:tr w:rsidR="001F27D2" w:rsidRPr="00D318B6" w14:paraId="31612C53" w14:textId="77777777" w:rsidTr="00D318B6">
        <w:tc>
          <w:tcPr>
            <w:tcW w:w="3527" w:type="pct"/>
            <w:shd w:val="clear" w:color="auto" w:fill="auto"/>
            <w:vAlign w:val="bottom"/>
          </w:tcPr>
          <w:p w14:paraId="3BB1C043" w14:textId="3FCAC296" w:rsidR="001F27D2" w:rsidRPr="00D318B6" w:rsidRDefault="001F27D2" w:rsidP="00D318B6">
            <w:pPr>
              <w:spacing w:before="40" w:after="40"/>
              <w:rPr>
                <w:rFonts w:cs="Calibri"/>
                <w:color w:val="000000"/>
                <w:sz w:val="22"/>
                <w:szCs w:val="22"/>
              </w:rPr>
            </w:pPr>
            <w:r w:rsidRPr="00D318B6">
              <w:rPr>
                <w:rFonts w:cs="Calibri"/>
                <w:color w:val="000000"/>
                <w:sz w:val="22"/>
                <w:szCs w:val="22"/>
              </w:rPr>
              <w:t xml:space="preserve">13 </w:t>
            </w:r>
            <w:r w:rsidR="00605239">
              <w:rPr>
                <w:rFonts w:cs="Calibri"/>
                <w:color w:val="000000"/>
                <w:sz w:val="22"/>
                <w:szCs w:val="22"/>
              </w:rPr>
              <w:t>–</w:t>
            </w:r>
            <w:r w:rsidRPr="00D318B6">
              <w:rPr>
                <w:rFonts w:cs="Calibri"/>
                <w:color w:val="000000"/>
                <w:sz w:val="22"/>
                <w:szCs w:val="22"/>
              </w:rPr>
              <w:t xml:space="preserve"> Other</w:t>
            </w:r>
          </w:p>
        </w:tc>
        <w:tc>
          <w:tcPr>
            <w:tcW w:w="1473" w:type="pct"/>
            <w:shd w:val="clear" w:color="auto" w:fill="auto"/>
            <w:noWrap/>
            <w:vAlign w:val="center"/>
          </w:tcPr>
          <w:p w14:paraId="2D29A30E" w14:textId="77777777" w:rsidR="001F27D2" w:rsidRPr="00D318B6" w:rsidRDefault="001F27D2" w:rsidP="00D318B6">
            <w:pPr>
              <w:spacing w:before="40" w:after="40"/>
              <w:jc w:val="center"/>
              <w:rPr>
                <w:rFonts w:cs="Calibri"/>
                <w:color w:val="000000"/>
                <w:sz w:val="22"/>
                <w:szCs w:val="22"/>
              </w:rPr>
            </w:pPr>
            <w:r w:rsidRPr="00D318B6">
              <w:rPr>
                <w:rFonts w:cs="Calibri"/>
                <w:color w:val="000000"/>
                <w:sz w:val="22"/>
                <w:szCs w:val="22"/>
              </w:rPr>
              <w:t>10.9</w:t>
            </w:r>
          </w:p>
        </w:tc>
      </w:tr>
      <w:tr w:rsidR="001F27D2" w:rsidRPr="00D318B6" w14:paraId="49B53BCB" w14:textId="77777777" w:rsidTr="00D318B6">
        <w:tc>
          <w:tcPr>
            <w:tcW w:w="3527" w:type="pct"/>
            <w:shd w:val="clear" w:color="auto" w:fill="auto"/>
            <w:vAlign w:val="bottom"/>
          </w:tcPr>
          <w:p w14:paraId="77EE36A1" w14:textId="77777777" w:rsidR="001F27D2" w:rsidRPr="00D318B6" w:rsidRDefault="001F27D2" w:rsidP="00D318B6">
            <w:pPr>
              <w:spacing w:before="40" w:after="40"/>
              <w:rPr>
                <w:rFonts w:cs="Calibri"/>
                <w:sz w:val="22"/>
                <w:szCs w:val="22"/>
              </w:rPr>
            </w:pPr>
            <w:r w:rsidRPr="00D318B6">
              <w:rPr>
                <w:rFonts w:cs="Calibri"/>
                <w:i/>
                <w:sz w:val="22"/>
                <w:szCs w:val="22"/>
              </w:rPr>
              <w:t>Base (total households responding)</w:t>
            </w:r>
          </w:p>
        </w:tc>
        <w:tc>
          <w:tcPr>
            <w:tcW w:w="1473" w:type="pct"/>
            <w:shd w:val="clear" w:color="auto" w:fill="auto"/>
            <w:noWrap/>
            <w:vAlign w:val="center"/>
          </w:tcPr>
          <w:p w14:paraId="08B2AD76" w14:textId="77777777" w:rsidR="001F27D2" w:rsidRPr="00D318B6" w:rsidRDefault="001F27D2" w:rsidP="00D318B6">
            <w:pPr>
              <w:spacing w:before="40" w:after="40"/>
              <w:jc w:val="center"/>
              <w:rPr>
                <w:rFonts w:cs="Calibri"/>
                <w:color w:val="000000"/>
                <w:sz w:val="22"/>
                <w:szCs w:val="22"/>
              </w:rPr>
            </w:pPr>
            <w:r w:rsidRPr="00D318B6">
              <w:rPr>
                <w:rFonts w:cs="Calibri"/>
                <w:color w:val="000000"/>
                <w:sz w:val="22"/>
                <w:szCs w:val="22"/>
              </w:rPr>
              <w:t>14556</w:t>
            </w:r>
          </w:p>
        </w:tc>
      </w:tr>
    </w:tbl>
    <w:p w14:paraId="48C3AFDD" w14:textId="77777777" w:rsidR="001F27D2" w:rsidRPr="002B2A7F" w:rsidRDefault="001F27D2" w:rsidP="001F27D2">
      <w:pPr>
        <w:rPr>
          <w:rFonts w:asciiTheme="minorHAnsi" w:hAnsiTheme="minorHAnsi"/>
        </w:rPr>
      </w:pPr>
    </w:p>
    <w:p w14:paraId="163E9850" w14:textId="77777777" w:rsidR="001F27D2" w:rsidRPr="002B2A7F" w:rsidRDefault="001F27D2" w:rsidP="001F27D2">
      <w:pPr>
        <w:pStyle w:val="Tableheading1"/>
        <w:rPr>
          <w:rFonts w:asciiTheme="minorHAnsi" w:hAnsiTheme="minorHAnsi"/>
          <w:color w:val="409999"/>
        </w:rPr>
        <w:sectPr w:rsidR="001F27D2" w:rsidRPr="002B2A7F" w:rsidSect="00BA2B77">
          <w:headerReference w:type="default" r:id="rId50"/>
          <w:footerReference w:type="default" r:id="rId51"/>
          <w:pgSz w:w="11906" w:h="16838"/>
          <w:pgMar w:top="1440" w:right="1276" w:bottom="1134" w:left="1440" w:header="708" w:footer="708" w:gutter="0"/>
          <w:cols w:space="708"/>
          <w:docGrid w:linePitch="360"/>
        </w:sectPr>
      </w:pP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7299"/>
        <w:gridCol w:w="1391"/>
        <w:gridCol w:w="1391"/>
        <w:gridCol w:w="1391"/>
        <w:gridCol w:w="1391"/>
        <w:gridCol w:w="1391"/>
      </w:tblGrid>
      <w:tr w:rsidR="00D318B6" w:rsidRPr="00D318B6" w14:paraId="796B9E8E" w14:textId="77777777" w:rsidTr="00D318B6">
        <w:tc>
          <w:tcPr>
            <w:tcW w:w="5000" w:type="pct"/>
            <w:gridSpan w:val="6"/>
            <w:shd w:val="clear" w:color="000000" w:fill="009193"/>
            <w:noWrap/>
            <w:vAlign w:val="bottom"/>
          </w:tcPr>
          <w:p w14:paraId="0AE47510" w14:textId="16632799" w:rsidR="00D318B6" w:rsidRPr="00D318B6" w:rsidRDefault="00D318B6" w:rsidP="00D318B6">
            <w:pPr>
              <w:pStyle w:val="Tableheading1"/>
              <w:rPr>
                <w:color w:val="FFFFFF"/>
              </w:rPr>
            </w:pPr>
            <w:bookmarkStart w:id="489" w:name="_Toc529739460"/>
            <w:bookmarkStart w:id="490" w:name="_Toc531122959"/>
            <w:bookmarkStart w:id="491" w:name="_Toc532812494"/>
            <w:r w:rsidRPr="00D318B6">
              <w:lastRenderedPageBreak/>
              <w:t>Table 6.6</w:t>
            </w:r>
            <w:r w:rsidRPr="00D318B6">
              <w:tab/>
              <w:t>Older person housing options being considered (%)</w:t>
            </w:r>
            <w:bookmarkEnd w:id="489"/>
            <w:bookmarkEnd w:id="490"/>
            <w:bookmarkEnd w:id="491"/>
          </w:p>
        </w:tc>
      </w:tr>
      <w:tr w:rsidR="00D318B6" w:rsidRPr="00D318B6" w14:paraId="656DECC3" w14:textId="77777777" w:rsidTr="00D318B6">
        <w:tc>
          <w:tcPr>
            <w:tcW w:w="2560" w:type="pct"/>
            <w:vMerge w:val="restart"/>
            <w:shd w:val="clear" w:color="000000" w:fill="009193"/>
            <w:noWrap/>
            <w:vAlign w:val="bottom"/>
            <w:hideMark/>
          </w:tcPr>
          <w:p w14:paraId="36EF35C2" w14:textId="7EED6AB4" w:rsidR="00D318B6" w:rsidRPr="00D318B6" w:rsidRDefault="00D318B6" w:rsidP="00D318B6">
            <w:pPr>
              <w:spacing w:beforeLines="20" w:before="48" w:afterLines="20" w:after="48"/>
              <w:rPr>
                <w:rFonts w:cs="Calibri"/>
                <w:b/>
                <w:bCs/>
                <w:color w:val="FFFFFF"/>
                <w:sz w:val="22"/>
                <w:szCs w:val="22"/>
              </w:rPr>
            </w:pPr>
            <w:r w:rsidRPr="00D318B6">
              <w:rPr>
                <w:rFonts w:cs="Calibri"/>
                <w:b/>
                <w:bCs/>
                <w:color w:val="FFFFFF"/>
                <w:sz w:val="22"/>
                <w:szCs w:val="22"/>
              </w:rPr>
              <w:t>Housing option </w:t>
            </w:r>
          </w:p>
        </w:tc>
        <w:tc>
          <w:tcPr>
            <w:tcW w:w="1952" w:type="pct"/>
            <w:gridSpan w:val="4"/>
            <w:shd w:val="clear" w:color="000000" w:fill="009193"/>
            <w:noWrap/>
            <w:vAlign w:val="bottom"/>
            <w:hideMark/>
          </w:tcPr>
          <w:p w14:paraId="122909D6" w14:textId="60F7212F" w:rsidR="00D318B6" w:rsidRPr="00D318B6" w:rsidRDefault="00D318B6" w:rsidP="00D318B6">
            <w:pPr>
              <w:spacing w:beforeLines="20" w:before="48" w:afterLines="20" w:after="48"/>
              <w:jc w:val="center"/>
              <w:rPr>
                <w:rFonts w:cs="Calibri"/>
                <w:b/>
                <w:bCs/>
                <w:color w:val="FFFFFF"/>
                <w:sz w:val="22"/>
                <w:szCs w:val="22"/>
              </w:rPr>
            </w:pPr>
            <w:r w:rsidRPr="00D318B6">
              <w:rPr>
                <w:rFonts w:cs="Calibri"/>
                <w:b/>
                <w:bCs/>
                <w:color w:val="FFFFFF"/>
                <w:sz w:val="22"/>
                <w:szCs w:val="22"/>
              </w:rPr>
              <w:t>Age group</w:t>
            </w:r>
          </w:p>
        </w:tc>
        <w:tc>
          <w:tcPr>
            <w:tcW w:w="488" w:type="pct"/>
            <w:vMerge w:val="restart"/>
            <w:shd w:val="clear" w:color="000000" w:fill="009193"/>
            <w:noWrap/>
            <w:vAlign w:val="bottom"/>
            <w:hideMark/>
          </w:tcPr>
          <w:p w14:paraId="4B6B10BC" w14:textId="3A663AE0" w:rsidR="00D318B6" w:rsidRPr="00D318B6" w:rsidRDefault="00D318B6" w:rsidP="00D318B6">
            <w:pPr>
              <w:spacing w:beforeLines="20" w:before="48" w:afterLines="20" w:after="48"/>
              <w:jc w:val="center"/>
              <w:rPr>
                <w:rFonts w:cs="Calibri"/>
                <w:b/>
                <w:bCs/>
                <w:color w:val="FFFFFF"/>
                <w:sz w:val="22"/>
                <w:szCs w:val="22"/>
              </w:rPr>
            </w:pPr>
            <w:r w:rsidRPr="00D318B6">
              <w:rPr>
                <w:rFonts w:cs="Calibri"/>
                <w:b/>
                <w:bCs/>
                <w:color w:val="FFFFFF"/>
                <w:sz w:val="22"/>
                <w:szCs w:val="22"/>
              </w:rPr>
              <w:t>Total</w:t>
            </w:r>
          </w:p>
        </w:tc>
      </w:tr>
      <w:tr w:rsidR="00D318B6" w:rsidRPr="00D318B6" w14:paraId="4A058A0E" w14:textId="77777777" w:rsidTr="00D318B6">
        <w:tc>
          <w:tcPr>
            <w:tcW w:w="2560" w:type="pct"/>
            <w:vMerge/>
            <w:shd w:val="clear" w:color="000000" w:fill="009193"/>
            <w:noWrap/>
            <w:vAlign w:val="bottom"/>
            <w:hideMark/>
          </w:tcPr>
          <w:p w14:paraId="4520E755" w14:textId="47B8F181" w:rsidR="00D318B6" w:rsidRPr="00D318B6" w:rsidRDefault="00D318B6" w:rsidP="00D318B6">
            <w:pPr>
              <w:spacing w:beforeLines="20" w:before="48" w:afterLines="20" w:after="48"/>
              <w:rPr>
                <w:rFonts w:cs="Calibri"/>
                <w:b/>
                <w:bCs/>
                <w:color w:val="FFFFFF"/>
                <w:sz w:val="22"/>
                <w:szCs w:val="22"/>
              </w:rPr>
            </w:pPr>
          </w:p>
        </w:tc>
        <w:tc>
          <w:tcPr>
            <w:tcW w:w="488" w:type="pct"/>
            <w:shd w:val="clear" w:color="000000" w:fill="009193"/>
            <w:noWrap/>
            <w:vAlign w:val="bottom"/>
            <w:hideMark/>
          </w:tcPr>
          <w:p w14:paraId="1A577056" w14:textId="77777777" w:rsidR="00D318B6" w:rsidRPr="00D318B6" w:rsidRDefault="00D318B6" w:rsidP="00D318B6">
            <w:pPr>
              <w:spacing w:beforeLines="20" w:before="48" w:afterLines="20" w:after="48"/>
              <w:jc w:val="center"/>
              <w:rPr>
                <w:rFonts w:cs="Calibri"/>
                <w:b/>
                <w:bCs/>
                <w:color w:val="FFFFFF"/>
                <w:sz w:val="22"/>
                <w:szCs w:val="22"/>
              </w:rPr>
            </w:pPr>
            <w:r w:rsidRPr="00D318B6">
              <w:rPr>
                <w:rFonts w:cs="Calibri"/>
                <w:b/>
                <w:bCs/>
                <w:color w:val="FFFFFF"/>
                <w:sz w:val="22"/>
                <w:szCs w:val="22"/>
              </w:rPr>
              <w:t>55-64</w:t>
            </w:r>
          </w:p>
        </w:tc>
        <w:tc>
          <w:tcPr>
            <w:tcW w:w="488" w:type="pct"/>
            <w:shd w:val="clear" w:color="000000" w:fill="009193"/>
            <w:noWrap/>
            <w:vAlign w:val="bottom"/>
            <w:hideMark/>
          </w:tcPr>
          <w:p w14:paraId="277D5F85" w14:textId="77777777" w:rsidR="00D318B6" w:rsidRPr="00D318B6" w:rsidRDefault="00D318B6" w:rsidP="00D318B6">
            <w:pPr>
              <w:spacing w:beforeLines="20" w:before="48" w:afterLines="20" w:after="48"/>
              <w:jc w:val="center"/>
              <w:rPr>
                <w:rFonts w:cs="Calibri"/>
                <w:b/>
                <w:bCs/>
                <w:color w:val="FFFFFF"/>
                <w:sz w:val="22"/>
                <w:szCs w:val="22"/>
              </w:rPr>
            </w:pPr>
            <w:r w:rsidRPr="00D318B6">
              <w:rPr>
                <w:rFonts w:cs="Calibri"/>
                <w:b/>
                <w:bCs/>
                <w:color w:val="FFFFFF"/>
                <w:sz w:val="22"/>
                <w:szCs w:val="22"/>
              </w:rPr>
              <w:t>65-74</w:t>
            </w:r>
          </w:p>
        </w:tc>
        <w:tc>
          <w:tcPr>
            <w:tcW w:w="488" w:type="pct"/>
            <w:shd w:val="clear" w:color="000000" w:fill="009193"/>
            <w:noWrap/>
            <w:vAlign w:val="bottom"/>
            <w:hideMark/>
          </w:tcPr>
          <w:p w14:paraId="0FC647B6" w14:textId="77777777" w:rsidR="00D318B6" w:rsidRPr="00D318B6" w:rsidRDefault="00D318B6" w:rsidP="00D318B6">
            <w:pPr>
              <w:spacing w:beforeLines="20" w:before="48" w:afterLines="20" w:after="48"/>
              <w:jc w:val="center"/>
              <w:rPr>
                <w:rFonts w:cs="Calibri"/>
                <w:b/>
                <w:bCs/>
                <w:color w:val="FFFFFF"/>
                <w:sz w:val="22"/>
                <w:szCs w:val="22"/>
              </w:rPr>
            </w:pPr>
            <w:r w:rsidRPr="00D318B6">
              <w:rPr>
                <w:rFonts w:cs="Calibri"/>
                <w:b/>
                <w:bCs/>
                <w:color w:val="FFFFFF"/>
                <w:sz w:val="22"/>
                <w:szCs w:val="22"/>
              </w:rPr>
              <w:t>75-84</w:t>
            </w:r>
          </w:p>
        </w:tc>
        <w:tc>
          <w:tcPr>
            <w:tcW w:w="488" w:type="pct"/>
            <w:shd w:val="clear" w:color="000000" w:fill="009193"/>
            <w:noWrap/>
            <w:vAlign w:val="bottom"/>
            <w:hideMark/>
          </w:tcPr>
          <w:p w14:paraId="44B9D527" w14:textId="77777777" w:rsidR="00D318B6" w:rsidRPr="00D318B6" w:rsidRDefault="00D318B6" w:rsidP="00D318B6">
            <w:pPr>
              <w:spacing w:beforeLines="20" w:before="48" w:afterLines="20" w:after="48"/>
              <w:jc w:val="center"/>
              <w:rPr>
                <w:rFonts w:cs="Calibri"/>
                <w:b/>
                <w:bCs/>
                <w:color w:val="FFFFFF"/>
                <w:sz w:val="22"/>
                <w:szCs w:val="22"/>
              </w:rPr>
            </w:pPr>
            <w:r w:rsidRPr="00D318B6">
              <w:rPr>
                <w:rFonts w:cs="Calibri"/>
                <w:b/>
                <w:bCs/>
                <w:color w:val="FFFFFF"/>
                <w:sz w:val="22"/>
                <w:szCs w:val="22"/>
              </w:rPr>
              <w:t>85+</w:t>
            </w:r>
          </w:p>
        </w:tc>
        <w:tc>
          <w:tcPr>
            <w:tcW w:w="488" w:type="pct"/>
            <w:vMerge/>
            <w:shd w:val="clear" w:color="000000" w:fill="009193"/>
            <w:noWrap/>
            <w:vAlign w:val="bottom"/>
            <w:hideMark/>
          </w:tcPr>
          <w:p w14:paraId="28331050" w14:textId="2930E363" w:rsidR="00D318B6" w:rsidRPr="00D318B6" w:rsidRDefault="00D318B6" w:rsidP="00D318B6">
            <w:pPr>
              <w:spacing w:beforeLines="20" w:before="48" w:afterLines="20" w:after="48"/>
              <w:jc w:val="center"/>
              <w:rPr>
                <w:rFonts w:cs="Calibri"/>
                <w:b/>
                <w:bCs/>
                <w:color w:val="FFFFFF"/>
                <w:sz w:val="22"/>
                <w:szCs w:val="22"/>
              </w:rPr>
            </w:pPr>
          </w:p>
        </w:tc>
      </w:tr>
      <w:tr w:rsidR="001F27D2" w:rsidRPr="00D318B6" w14:paraId="3AD517F6" w14:textId="77777777" w:rsidTr="00D318B6">
        <w:tc>
          <w:tcPr>
            <w:tcW w:w="2560" w:type="pct"/>
            <w:shd w:val="clear" w:color="auto" w:fill="auto"/>
            <w:vAlign w:val="bottom"/>
            <w:hideMark/>
          </w:tcPr>
          <w:p w14:paraId="518E0F61" w14:textId="77777777" w:rsidR="001F27D2" w:rsidRPr="00D318B6" w:rsidRDefault="001F27D2" w:rsidP="00D318B6">
            <w:pPr>
              <w:spacing w:beforeLines="20" w:before="48" w:afterLines="20" w:after="48"/>
              <w:rPr>
                <w:rFonts w:cs="Calibri"/>
                <w:color w:val="000000"/>
                <w:sz w:val="22"/>
                <w:szCs w:val="22"/>
              </w:rPr>
            </w:pPr>
            <w:r w:rsidRPr="00D318B6">
              <w:rPr>
                <w:rFonts w:cs="Calibri"/>
                <w:color w:val="000000"/>
                <w:sz w:val="22"/>
                <w:szCs w:val="22"/>
              </w:rPr>
              <w:t>1 - Continue to live in current home with support when needed (e.g. home visits, ‘call for help’ alarm)</w:t>
            </w:r>
          </w:p>
        </w:tc>
        <w:tc>
          <w:tcPr>
            <w:tcW w:w="488" w:type="pct"/>
            <w:shd w:val="clear" w:color="auto" w:fill="auto"/>
            <w:noWrap/>
            <w:vAlign w:val="center"/>
            <w:hideMark/>
          </w:tcPr>
          <w:p w14:paraId="51F0E357"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69.1</w:t>
            </w:r>
          </w:p>
        </w:tc>
        <w:tc>
          <w:tcPr>
            <w:tcW w:w="488" w:type="pct"/>
            <w:shd w:val="clear" w:color="auto" w:fill="auto"/>
            <w:noWrap/>
            <w:vAlign w:val="center"/>
            <w:hideMark/>
          </w:tcPr>
          <w:p w14:paraId="214E580D"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76.8</w:t>
            </w:r>
          </w:p>
        </w:tc>
        <w:tc>
          <w:tcPr>
            <w:tcW w:w="488" w:type="pct"/>
            <w:shd w:val="clear" w:color="auto" w:fill="auto"/>
            <w:noWrap/>
            <w:vAlign w:val="center"/>
            <w:hideMark/>
          </w:tcPr>
          <w:p w14:paraId="55949D39"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88.9</w:t>
            </w:r>
          </w:p>
        </w:tc>
        <w:tc>
          <w:tcPr>
            <w:tcW w:w="488" w:type="pct"/>
            <w:shd w:val="clear" w:color="auto" w:fill="auto"/>
            <w:noWrap/>
            <w:vAlign w:val="center"/>
            <w:hideMark/>
          </w:tcPr>
          <w:p w14:paraId="41607DE1"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94.1</w:t>
            </w:r>
          </w:p>
        </w:tc>
        <w:tc>
          <w:tcPr>
            <w:tcW w:w="488" w:type="pct"/>
            <w:shd w:val="clear" w:color="auto" w:fill="auto"/>
            <w:noWrap/>
            <w:vAlign w:val="center"/>
            <w:hideMark/>
          </w:tcPr>
          <w:p w14:paraId="2DCA0957"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76.1</w:t>
            </w:r>
          </w:p>
        </w:tc>
      </w:tr>
      <w:tr w:rsidR="001F27D2" w:rsidRPr="00D318B6" w14:paraId="6E6F11AC" w14:textId="77777777" w:rsidTr="00D318B6">
        <w:tc>
          <w:tcPr>
            <w:tcW w:w="2560" w:type="pct"/>
            <w:shd w:val="clear" w:color="auto" w:fill="auto"/>
            <w:vAlign w:val="bottom"/>
            <w:hideMark/>
          </w:tcPr>
          <w:p w14:paraId="1C050B8A" w14:textId="77777777" w:rsidR="001F27D2" w:rsidRPr="00D318B6" w:rsidRDefault="001F27D2" w:rsidP="00D318B6">
            <w:pPr>
              <w:spacing w:beforeLines="20" w:before="48" w:afterLines="20" w:after="48"/>
              <w:rPr>
                <w:rFonts w:cs="Calibri"/>
                <w:color w:val="000000"/>
                <w:sz w:val="22"/>
                <w:szCs w:val="22"/>
              </w:rPr>
            </w:pPr>
            <w:r w:rsidRPr="00D318B6">
              <w:rPr>
                <w:rFonts w:cs="Calibri"/>
                <w:color w:val="000000"/>
                <w:sz w:val="22"/>
                <w:szCs w:val="22"/>
              </w:rPr>
              <w:t>2 - Buying a suitable property on the open market</w:t>
            </w:r>
          </w:p>
        </w:tc>
        <w:tc>
          <w:tcPr>
            <w:tcW w:w="488" w:type="pct"/>
            <w:shd w:val="clear" w:color="auto" w:fill="auto"/>
            <w:noWrap/>
            <w:vAlign w:val="center"/>
            <w:hideMark/>
          </w:tcPr>
          <w:p w14:paraId="08987871"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41.1</w:t>
            </w:r>
          </w:p>
        </w:tc>
        <w:tc>
          <w:tcPr>
            <w:tcW w:w="488" w:type="pct"/>
            <w:shd w:val="clear" w:color="auto" w:fill="auto"/>
            <w:noWrap/>
            <w:vAlign w:val="center"/>
            <w:hideMark/>
          </w:tcPr>
          <w:p w14:paraId="5C512937"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30.9</w:t>
            </w:r>
          </w:p>
        </w:tc>
        <w:tc>
          <w:tcPr>
            <w:tcW w:w="488" w:type="pct"/>
            <w:shd w:val="clear" w:color="auto" w:fill="auto"/>
            <w:noWrap/>
            <w:vAlign w:val="center"/>
            <w:hideMark/>
          </w:tcPr>
          <w:p w14:paraId="30A71C97"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15.8</w:t>
            </w:r>
          </w:p>
        </w:tc>
        <w:tc>
          <w:tcPr>
            <w:tcW w:w="488" w:type="pct"/>
            <w:shd w:val="clear" w:color="auto" w:fill="auto"/>
            <w:noWrap/>
            <w:vAlign w:val="center"/>
            <w:hideMark/>
          </w:tcPr>
          <w:p w14:paraId="16009F21"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4.5</w:t>
            </w:r>
          </w:p>
        </w:tc>
        <w:tc>
          <w:tcPr>
            <w:tcW w:w="488" w:type="pct"/>
            <w:shd w:val="clear" w:color="auto" w:fill="auto"/>
            <w:noWrap/>
            <w:vAlign w:val="center"/>
            <w:hideMark/>
          </w:tcPr>
          <w:p w14:paraId="30E57966"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31.8</w:t>
            </w:r>
          </w:p>
        </w:tc>
      </w:tr>
      <w:tr w:rsidR="001F27D2" w:rsidRPr="00D318B6" w14:paraId="433E007B" w14:textId="77777777" w:rsidTr="00D318B6">
        <w:tc>
          <w:tcPr>
            <w:tcW w:w="2560" w:type="pct"/>
            <w:shd w:val="clear" w:color="auto" w:fill="auto"/>
            <w:vAlign w:val="bottom"/>
            <w:hideMark/>
          </w:tcPr>
          <w:p w14:paraId="3605E899" w14:textId="77777777" w:rsidR="001F27D2" w:rsidRPr="00D318B6" w:rsidRDefault="001F27D2" w:rsidP="00D318B6">
            <w:pPr>
              <w:spacing w:beforeLines="20" w:before="48" w:afterLines="20" w:after="48"/>
              <w:rPr>
                <w:rFonts w:cs="Calibri"/>
                <w:color w:val="000000"/>
                <w:sz w:val="22"/>
                <w:szCs w:val="22"/>
              </w:rPr>
            </w:pPr>
            <w:r w:rsidRPr="00D318B6">
              <w:rPr>
                <w:rFonts w:cs="Calibri"/>
                <w:color w:val="000000"/>
                <w:sz w:val="22"/>
                <w:szCs w:val="22"/>
              </w:rPr>
              <w:t>3 - Rent a more suitable property from a private landlord</w:t>
            </w:r>
          </w:p>
        </w:tc>
        <w:tc>
          <w:tcPr>
            <w:tcW w:w="488" w:type="pct"/>
            <w:shd w:val="clear" w:color="auto" w:fill="auto"/>
            <w:noWrap/>
            <w:vAlign w:val="center"/>
            <w:hideMark/>
          </w:tcPr>
          <w:p w14:paraId="1BB90BD4"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9.5</w:t>
            </w:r>
          </w:p>
        </w:tc>
        <w:tc>
          <w:tcPr>
            <w:tcW w:w="488" w:type="pct"/>
            <w:shd w:val="clear" w:color="auto" w:fill="auto"/>
            <w:noWrap/>
            <w:vAlign w:val="center"/>
            <w:hideMark/>
          </w:tcPr>
          <w:p w14:paraId="25077A1E"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3.9</w:t>
            </w:r>
          </w:p>
        </w:tc>
        <w:tc>
          <w:tcPr>
            <w:tcW w:w="488" w:type="pct"/>
            <w:shd w:val="clear" w:color="auto" w:fill="auto"/>
            <w:noWrap/>
            <w:vAlign w:val="center"/>
            <w:hideMark/>
          </w:tcPr>
          <w:p w14:paraId="2AE489EC"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3.6</w:t>
            </w:r>
          </w:p>
        </w:tc>
        <w:tc>
          <w:tcPr>
            <w:tcW w:w="488" w:type="pct"/>
            <w:shd w:val="clear" w:color="auto" w:fill="auto"/>
            <w:noWrap/>
            <w:vAlign w:val="center"/>
            <w:hideMark/>
          </w:tcPr>
          <w:p w14:paraId="1C8BDEFB"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0.0</w:t>
            </w:r>
          </w:p>
        </w:tc>
        <w:tc>
          <w:tcPr>
            <w:tcW w:w="488" w:type="pct"/>
            <w:shd w:val="clear" w:color="auto" w:fill="auto"/>
            <w:noWrap/>
            <w:vAlign w:val="center"/>
            <w:hideMark/>
          </w:tcPr>
          <w:p w14:paraId="3CF5F829"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6.4</w:t>
            </w:r>
          </w:p>
        </w:tc>
      </w:tr>
      <w:tr w:rsidR="001F27D2" w:rsidRPr="00D318B6" w14:paraId="6BDC70AA" w14:textId="77777777" w:rsidTr="00D318B6">
        <w:tc>
          <w:tcPr>
            <w:tcW w:w="2560" w:type="pct"/>
            <w:shd w:val="clear" w:color="auto" w:fill="auto"/>
            <w:vAlign w:val="bottom"/>
            <w:hideMark/>
          </w:tcPr>
          <w:p w14:paraId="3CA54261" w14:textId="77777777" w:rsidR="001F27D2" w:rsidRPr="00D318B6" w:rsidRDefault="001F27D2" w:rsidP="00D318B6">
            <w:pPr>
              <w:spacing w:beforeLines="20" w:before="48" w:afterLines="20" w:after="48"/>
              <w:rPr>
                <w:rFonts w:cs="Calibri"/>
                <w:color w:val="000000"/>
                <w:sz w:val="22"/>
                <w:szCs w:val="22"/>
              </w:rPr>
            </w:pPr>
            <w:r w:rsidRPr="00D318B6">
              <w:rPr>
                <w:rFonts w:cs="Calibri"/>
                <w:color w:val="000000"/>
                <w:sz w:val="22"/>
                <w:szCs w:val="22"/>
              </w:rPr>
              <w:t>4 - Rent a more suitable from a housing association</w:t>
            </w:r>
          </w:p>
        </w:tc>
        <w:tc>
          <w:tcPr>
            <w:tcW w:w="488" w:type="pct"/>
            <w:shd w:val="clear" w:color="auto" w:fill="auto"/>
            <w:noWrap/>
            <w:vAlign w:val="center"/>
            <w:hideMark/>
          </w:tcPr>
          <w:p w14:paraId="2AF058F5"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12.3</w:t>
            </w:r>
          </w:p>
        </w:tc>
        <w:tc>
          <w:tcPr>
            <w:tcW w:w="488" w:type="pct"/>
            <w:shd w:val="clear" w:color="auto" w:fill="auto"/>
            <w:noWrap/>
            <w:vAlign w:val="center"/>
            <w:hideMark/>
          </w:tcPr>
          <w:p w14:paraId="6191810C"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7.9</w:t>
            </w:r>
          </w:p>
        </w:tc>
        <w:tc>
          <w:tcPr>
            <w:tcW w:w="488" w:type="pct"/>
            <w:shd w:val="clear" w:color="auto" w:fill="auto"/>
            <w:noWrap/>
            <w:vAlign w:val="center"/>
            <w:hideMark/>
          </w:tcPr>
          <w:p w14:paraId="2610A598"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3.8</w:t>
            </w:r>
          </w:p>
        </w:tc>
        <w:tc>
          <w:tcPr>
            <w:tcW w:w="488" w:type="pct"/>
            <w:shd w:val="clear" w:color="auto" w:fill="auto"/>
            <w:noWrap/>
            <w:vAlign w:val="center"/>
            <w:hideMark/>
          </w:tcPr>
          <w:p w14:paraId="67AD71D6"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2.4</w:t>
            </w:r>
          </w:p>
        </w:tc>
        <w:tc>
          <w:tcPr>
            <w:tcW w:w="488" w:type="pct"/>
            <w:shd w:val="clear" w:color="auto" w:fill="auto"/>
            <w:noWrap/>
            <w:vAlign w:val="center"/>
            <w:hideMark/>
          </w:tcPr>
          <w:p w14:paraId="03F512BC"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9.1</w:t>
            </w:r>
          </w:p>
        </w:tc>
      </w:tr>
      <w:tr w:rsidR="001F27D2" w:rsidRPr="00D318B6" w14:paraId="4F9BCDA3" w14:textId="77777777" w:rsidTr="00D318B6">
        <w:tc>
          <w:tcPr>
            <w:tcW w:w="2560" w:type="pct"/>
            <w:shd w:val="clear" w:color="auto" w:fill="auto"/>
            <w:vAlign w:val="bottom"/>
            <w:hideMark/>
          </w:tcPr>
          <w:p w14:paraId="02DB16B5" w14:textId="37808AD5" w:rsidR="001F27D2" w:rsidRPr="00D318B6" w:rsidRDefault="001F27D2" w:rsidP="00D318B6">
            <w:pPr>
              <w:spacing w:beforeLines="20" w:before="48" w:afterLines="20" w:after="48"/>
              <w:rPr>
                <w:rFonts w:cs="Calibri"/>
                <w:color w:val="000000"/>
                <w:sz w:val="22"/>
                <w:szCs w:val="22"/>
              </w:rPr>
            </w:pPr>
            <w:r w:rsidRPr="00D318B6">
              <w:rPr>
                <w:rFonts w:cs="Calibri"/>
                <w:color w:val="000000"/>
                <w:sz w:val="22"/>
                <w:szCs w:val="22"/>
              </w:rPr>
              <w:t xml:space="preserve">5 - Extra care housing </w:t>
            </w:r>
            <w:r w:rsidR="00605239">
              <w:rPr>
                <w:rFonts w:cs="Calibri"/>
                <w:color w:val="000000"/>
                <w:sz w:val="22"/>
                <w:szCs w:val="22"/>
              </w:rPr>
              <w:t>–</w:t>
            </w:r>
            <w:r w:rsidRPr="00D318B6">
              <w:rPr>
                <w:rFonts w:cs="Calibri"/>
                <w:color w:val="000000"/>
                <w:sz w:val="22"/>
                <w:szCs w:val="22"/>
              </w:rPr>
              <w:t xml:space="preserve"> Renting</w:t>
            </w:r>
          </w:p>
        </w:tc>
        <w:tc>
          <w:tcPr>
            <w:tcW w:w="488" w:type="pct"/>
            <w:shd w:val="clear" w:color="auto" w:fill="auto"/>
            <w:noWrap/>
            <w:vAlign w:val="center"/>
            <w:hideMark/>
          </w:tcPr>
          <w:p w14:paraId="2A02D56D"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27.1</w:t>
            </w:r>
          </w:p>
        </w:tc>
        <w:tc>
          <w:tcPr>
            <w:tcW w:w="488" w:type="pct"/>
            <w:shd w:val="clear" w:color="auto" w:fill="auto"/>
            <w:noWrap/>
            <w:vAlign w:val="center"/>
            <w:hideMark/>
          </w:tcPr>
          <w:p w14:paraId="49C28EDE"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22.7</w:t>
            </w:r>
          </w:p>
        </w:tc>
        <w:tc>
          <w:tcPr>
            <w:tcW w:w="488" w:type="pct"/>
            <w:shd w:val="clear" w:color="auto" w:fill="auto"/>
            <w:noWrap/>
            <w:vAlign w:val="center"/>
            <w:hideMark/>
          </w:tcPr>
          <w:p w14:paraId="47EFA414"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15.8</w:t>
            </w:r>
          </w:p>
        </w:tc>
        <w:tc>
          <w:tcPr>
            <w:tcW w:w="488" w:type="pct"/>
            <w:shd w:val="clear" w:color="auto" w:fill="auto"/>
            <w:noWrap/>
            <w:vAlign w:val="center"/>
            <w:hideMark/>
          </w:tcPr>
          <w:p w14:paraId="4F766D67"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10.8</w:t>
            </w:r>
          </w:p>
        </w:tc>
        <w:tc>
          <w:tcPr>
            <w:tcW w:w="488" w:type="pct"/>
            <w:shd w:val="clear" w:color="auto" w:fill="auto"/>
            <w:noWrap/>
            <w:vAlign w:val="center"/>
            <w:hideMark/>
          </w:tcPr>
          <w:p w14:paraId="0D4FF5F7"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22.9</w:t>
            </w:r>
          </w:p>
        </w:tc>
      </w:tr>
      <w:tr w:rsidR="001F27D2" w:rsidRPr="00D318B6" w14:paraId="692A753D" w14:textId="77777777" w:rsidTr="00D318B6">
        <w:tc>
          <w:tcPr>
            <w:tcW w:w="2560" w:type="pct"/>
            <w:shd w:val="clear" w:color="auto" w:fill="auto"/>
            <w:vAlign w:val="bottom"/>
            <w:hideMark/>
          </w:tcPr>
          <w:p w14:paraId="272CB5F1" w14:textId="0E28EF3F" w:rsidR="001F27D2" w:rsidRPr="00D318B6" w:rsidRDefault="001F27D2" w:rsidP="00D318B6">
            <w:pPr>
              <w:spacing w:beforeLines="20" w:before="48" w:afterLines="20" w:after="48"/>
              <w:rPr>
                <w:rFonts w:cs="Calibri"/>
                <w:color w:val="000000"/>
                <w:sz w:val="22"/>
                <w:szCs w:val="22"/>
              </w:rPr>
            </w:pPr>
            <w:r w:rsidRPr="00D318B6">
              <w:rPr>
                <w:rFonts w:cs="Calibri"/>
                <w:color w:val="000000"/>
                <w:sz w:val="22"/>
                <w:szCs w:val="22"/>
              </w:rPr>
              <w:t xml:space="preserve">6 - Extra care housing </w:t>
            </w:r>
            <w:r w:rsidR="00605239">
              <w:rPr>
                <w:rFonts w:cs="Calibri"/>
                <w:color w:val="000000"/>
                <w:sz w:val="22"/>
                <w:szCs w:val="22"/>
              </w:rPr>
              <w:t>–</w:t>
            </w:r>
            <w:r w:rsidRPr="00D318B6">
              <w:rPr>
                <w:rFonts w:cs="Calibri"/>
                <w:color w:val="000000"/>
                <w:sz w:val="22"/>
                <w:szCs w:val="22"/>
              </w:rPr>
              <w:t xml:space="preserve"> Buying</w:t>
            </w:r>
          </w:p>
        </w:tc>
        <w:tc>
          <w:tcPr>
            <w:tcW w:w="488" w:type="pct"/>
            <w:shd w:val="clear" w:color="auto" w:fill="auto"/>
            <w:noWrap/>
            <w:vAlign w:val="center"/>
            <w:hideMark/>
          </w:tcPr>
          <w:p w14:paraId="794C9C37"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27.0</w:t>
            </w:r>
          </w:p>
        </w:tc>
        <w:tc>
          <w:tcPr>
            <w:tcW w:w="488" w:type="pct"/>
            <w:shd w:val="clear" w:color="auto" w:fill="auto"/>
            <w:noWrap/>
            <w:vAlign w:val="center"/>
            <w:hideMark/>
          </w:tcPr>
          <w:p w14:paraId="0B11D6A1"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28.0</w:t>
            </w:r>
          </w:p>
        </w:tc>
        <w:tc>
          <w:tcPr>
            <w:tcW w:w="488" w:type="pct"/>
            <w:shd w:val="clear" w:color="auto" w:fill="auto"/>
            <w:noWrap/>
            <w:vAlign w:val="center"/>
            <w:hideMark/>
          </w:tcPr>
          <w:p w14:paraId="4663A0A6"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23.2</w:t>
            </w:r>
          </w:p>
        </w:tc>
        <w:tc>
          <w:tcPr>
            <w:tcW w:w="488" w:type="pct"/>
            <w:shd w:val="clear" w:color="auto" w:fill="auto"/>
            <w:noWrap/>
            <w:vAlign w:val="center"/>
            <w:hideMark/>
          </w:tcPr>
          <w:p w14:paraId="7716E90D"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13.2</w:t>
            </w:r>
          </w:p>
        </w:tc>
        <w:tc>
          <w:tcPr>
            <w:tcW w:w="488" w:type="pct"/>
            <w:shd w:val="clear" w:color="auto" w:fill="auto"/>
            <w:noWrap/>
            <w:vAlign w:val="center"/>
            <w:hideMark/>
          </w:tcPr>
          <w:p w14:paraId="44F79561"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25.3</w:t>
            </w:r>
          </w:p>
        </w:tc>
      </w:tr>
      <w:tr w:rsidR="001F27D2" w:rsidRPr="00D318B6" w14:paraId="4FA810AD" w14:textId="77777777" w:rsidTr="00D318B6">
        <w:tc>
          <w:tcPr>
            <w:tcW w:w="2560" w:type="pct"/>
            <w:shd w:val="clear" w:color="auto" w:fill="auto"/>
            <w:vAlign w:val="bottom"/>
            <w:hideMark/>
          </w:tcPr>
          <w:p w14:paraId="1CE09E8C" w14:textId="77777777" w:rsidR="001F27D2" w:rsidRPr="00D318B6" w:rsidRDefault="001F27D2" w:rsidP="00D318B6">
            <w:pPr>
              <w:spacing w:beforeLines="20" w:before="48" w:afterLines="20" w:after="48"/>
              <w:rPr>
                <w:rFonts w:cs="Calibri"/>
                <w:color w:val="000000"/>
                <w:sz w:val="22"/>
                <w:szCs w:val="22"/>
              </w:rPr>
            </w:pPr>
            <w:r w:rsidRPr="00D318B6">
              <w:rPr>
                <w:rFonts w:cs="Calibri"/>
                <w:color w:val="000000"/>
                <w:sz w:val="22"/>
                <w:szCs w:val="22"/>
              </w:rPr>
              <w:t>7 - Extra care housing - Shared ownership</w:t>
            </w:r>
          </w:p>
        </w:tc>
        <w:tc>
          <w:tcPr>
            <w:tcW w:w="488" w:type="pct"/>
            <w:shd w:val="clear" w:color="auto" w:fill="auto"/>
            <w:noWrap/>
            <w:vAlign w:val="center"/>
            <w:hideMark/>
          </w:tcPr>
          <w:p w14:paraId="702F1E39"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9.7</w:t>
            </w:r>
          </w:p>
        </w:tc>
        <w:tc>
          <w:tcPr>
            <w:tcW w:w="488" w:type="pct"/>
            <w:shd w:val="clear" w:color="auto" w:fill="auto"/>
            <w:noWrap/>
            <w:vAlign w:val="center"/>
            <w:hideMark/>
          </w:tcPr>
          <w:p w14:paraId="5AA767D7"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4.9</w:t>
            </w:r>
          </w:p>
        </w:tc>
        <w:tc>
          <w:tcPr>
            <w:tcW w:w="488" w:type="pct"/>
            <w:shd w:val="clear" w:color="auto" w:fill="auto"/>
            <w:noWrap/>
            <w:vAlign w:val="center"/>
            <w:hideMark/>
          </w:tcPr>
          <w:p w14:paraId="63479C1D"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2.7</w:t>
            </w:r>
          </w:p>
        </w:tc>
        <w:tc>
          <w:tcPr>
            <w:tcW w:w="488" w:type="pct"/>
            <w:shd w:val="clear" w:color="auto" w:fill="auto"/>
            <w:noWrap/>
            <w:vAlign w:val="center"/>
            <w:hideMark/>
          </w:tcPr>
          <w:p w14:paraId="4D3CEBC9"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3.9</w:t>
            </w:r>
          </w:p>
        </w:tc>
        <w:tc>
          <w:tcPr>
            <w:tcW w:w="488" w:type="pct"/>
            <w:shd w:val="clear" w:color="auto" w:fill="auto"/>
            <w:noWrap/>
            <w:vAlign w:val="center"/>
            <w:hideMark/>
          </w:tcPr>
          <w:p w14:paraId="352E6366"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6.7</w:t>
            </w:r>
          </w:p>
        </w:tc>
      </w:tr>
      <w:tr w:rsidR="001F27D2" w:rsidRPr="00D318B6" w14:paraId="5EF19163" w14:textId="77777777" w:rsidTr="00D318B6">
        <w:tc>
          <w:tcPr>
            <w:tcW w:w="2560" w:type="pct"/>
            <w:shd w:val="clear" w:color="auto" w:fill="auto"/>
            <w:vAlign w:val="bottom"/>
            <w:hideMark/>
          </w:tcPr>
          <w:p w14:paraId="7D94A7C4" w14:textId="77777777" w:rsidR="001F27D2" w:rsidRPr="00D318B6" w:rsidRDefault="001F27D2" w:rsidP="00D318B6">
            <w:pPr>
              <w:spacing w:beforeLines="20" w:before="48" w:afterLines="20" w:after="48"/>
              <w:rPr>
                <w:rFonts w:cs="Calibri"/>
                <w:color w:val="000000"/>
                <w:sz w:val="22"/>
                <w:szCs w:val="22"/>
              </w:rPr>
            </w:pPr>
            <w:r w:rsidRPr="00D318B6">
              <w:rPr>
                <w:rFonts w:cs="Calibri"/>
                <w:color w:val="000000"/>
                <w:sz w:val="22"/>
                <w:szCs w:val="22"/>
              </w:rPr>
              <w:t>8 - Sheltered accommodation - Renting</w:t>
            </w:r>
          </w:p>
        </w:tc>
        <w:tc>
          <w:tcPr>
            <w:tcW w:w="488" w:type="pct"/>
            <w:shd w:val="clear" w:color="auto" w:fill="auto"/>
            <w:noWrap/>
            <w:vAlign w:val="center"/>
            <w:hideMark/>
          </w:tcPr>
          <w:p w14:paraId="4AF5121F"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25.7</w:t>
            </w:r>
          </w:p>
        </w:tc>
        <w:tc>
          <w:tcPr>
            <w:tcW w:w="488" w:type="pct"/>
            <w:shd w:val="clear" w:color="auto" w:fill="auto"/>
            <w:noWrap/>
            <w:vAlign w:val="center"/>
            <w:hideMark/>
          </w:tcPr>
          <w:p w14:paraId="36C51C49"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28.1</w:t>
            </w:r>
          </w:p>
        </w:tc>
        <w:tc>
          <w:tcPr>
            <w:tcW w:w="488" w:type="pct"/>
            <w:shd w:val="clear" w:color="auto" w:fill="auto"/>
            <w:noWrap/>
            <w:vAlign w:val="center"/>
            <w:hideMark/>
          </w:tcPr>
          <w:p w14:paraId="42DADB03"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20.6</w:t>
            </w:r>
          </w:p>
        </w:tc>
        <w:tc>
          <w:tcPr>
            <w:tcW w:w="488" w:type="pct"/>
            <w:shd w:val="clear" w:color="auto" w:fill="auto"/>
            <w:noWrap/>
            <w:vAlign w:val="center"/>
            <w:hideMark/>
          </w:tcPr>
          <w:p w14:paraId="6110C84C"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15.6</w:t>
            </w:r>
          </w:p>
        </w:tc>
        <w:tc>
          <w:tcPr>
            <w:tcW w:w="488" w:type="pct"/>
            <w:shd w:val="clear" w:color="auto" w:fill="auto"/>
            <w:noWrap/>
            <w:vAlign w:val="center"/>
            <w:hideMark/>
          </w:tcPr>
          <w:p w14:paraId="5BE0ED04"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24.9</w:t>
            </w:r>
          </w:p>
        </w:tc>
      </w:tr>
      <w:tr w:rsidR="001F27D2" w:rsidRPr="00D318B6" w14:paraId="4D569AB3" w14:textId="77777777" w:rsidTr="00D318B6">
        <w:tc>
          <w:tcPr>
            <w:tcW w:w="2560" w:type="pct"/>
            <w:shd w:val="clear" w:color="auto" w:fill="auto"/>
            <w:vAlign w:val="bottom"/>
            <w:hideMark/>
          </w:tcPr>
          <w:p w14:paraId="7463621F" w14:textId="77777777" w:rsidR="001F27D2" w:rsidRPr="00D318B6" w:rsidRDefault="001F27D2" w:rsidP="00D318B6">
            <w:pPr>
              <w:spacing w:beforeLines="20" w:before="48" w:afterLines="20" w:after="48"/>
              <w:rPr>
                <w:rFonts w:cs="Calibri"/>
                <w:color w:val="000000"/>
                <w:sz w:val="22"/>
                <w:szCs w:val="22"/>
              </w:rPr>
            </w:pPr>
            <w:r w:rsidRPr="00D318B6">
              <w:rPr>
                <w:rFonts w:cs="Calibri"/>
                <w:color w:val="000000"/>
                <w:sz w:val="22"/>
                <w:szCs w:val="22"/>
              </w:rPr>
              <w:t>9 - Sheltered accommodation - Buying</w:t>
            </w:r>
          </w:p>
        </w:tc>
        <w:tc>
          <w:tcPr>
            <w:tcW w:w="488" w:type="pct"/>
            <w:shd w:val="clear" w:color="auto" w:fill="auto"/>
            <w:noWrap/>
            <w:vAlign w:val="center"/>
            <w:hideMark/>
          </w:tcPr>
          <w:p w14:paraId="23B83354"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27.4</w:t>
            </w:r>
          </w:p>
        </w:tc>
        <w:tc>
          <w:tcPr>
            <w:tcW w:w="488" w:type="pct"/>
            <w:shd w:val="clear" w:color="auto" w:fill="auto"/>
            <w:noWrap/>
            <w:vAlign w:val="center"/>
            <w:hideMark/>
          </w:tcPr>
          <w:p w14:paraId="6C95DEED"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24.3</w:t>
            </w:r>
          </w:p>
        </w:tc>
        <w:tc>
          <w:tcPr>
            <w:tcW w:w="488" w:type="pct"/>
            <w:shd w:val="clear" w:color="auto" w:fill="auto"/>
            <w:noWrap/>
            <w:vAlign w:val="center"/>
            <w:hideMark/>
          </w:tcPr>
          <w:p w14:paraId="4C9619E4"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19.8</w:t>
            </w:r>
          </w:p>
        </w:tc>
        <w:tc>
          <w:tcPr>
            <w:tcW w:w="488" w:type="pct"/>
            <w:shd w:val="clear" w:color="auto" w:fill="auto"/>
            <w:noWrap/>
            <w:vAlign w:val="center"/>
            <w:hideMark/>
          </w:tcPr>
          <w:p w14:paraId="356C19F8"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13.2</w:t>
            </w:r>
          </w:p>
        </w:tc>
        <w:tc>
          <w:tcPr>
            <w:tcW w:w="488" w:type="pct"/>
            <w:shd w:val="clear" w:color="auto" w:fill="auto"/>
            <w:noWrap/>
            <w:vAlign w:val="center"/>
            <w:hideMark/>
          </w:tcPr>
          <w:p w14:paraId="0F2D0647"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23.9</w:t>
            </w:r>
          </w:p>
        </w:tc>
      </w:tr>
      <w:tr w:rsidR="001F27D2" w:rsidRPr="00D318B6" w14:paraId="702C9725" w14:textId="77777777" w:rsidTr="00D318B6">
        <w:tc>
          <w:tcPr>
            <w:tcW w:w="2560" w:type="pct"/>
            <w:shd w:val="clear" w:color="auto" w:fill="auto"/>
            <w:vAlign w:val="bottom"/>
            <w:hideMark/>
          </w:tcPr>
          <w:p w14:paraId="0E7994C1" w14:textId="77777777" w:rsidR="001F27D2" w:rsidRPr="00D318B6" w:rsidRDefault="001F27D2" w:rsidP="00D318B6">
            <w:pPr>
              <w:spacing w:beforeLines="20" w:before="48" w:afterLines="20" w:after="48"/>
              <w:rPr>
                <w:rFonts w:cs="Calibri"/>
                <w:color w:val="000000"/>
                <w:sz w:val="22"/>
                <w:szCs w:val="22"/>
              </w:rPr>
            </w:pPr>
            <w:r w:rsidRPr="00D318B6">
              <w:rPr>
                <w:rFonts w:cs="Calibri"/>
                <w:color w:val="000000"/>
                <w:sz w:val="22"/>
                <w:szCs w:val="22"/>
              </w:rPr>
              <w:t>10 - Sheltered accommodation - Shared ownership</w:t>
            </w:r>
          </w:p>
        </w:tc>
        <w:tc>
          <w:tcPr>
            <w:tcW w:w="488" w:type="pct"/>
            <w:shd w:val="clear" w:color="auto" w:fill="auto"/>
            <w:noWrap/>
            <w:vAlign w:val="center"/>
            <w:hideMark/>
          </w:tcPr>
          <w:p w14:paraId="694C6DC7"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8.6</w:t>
            </w:r>
          </w:p>
        </w:tc>
        <w:tc>
          <w:tcPr>
            <w:tcW w:w="488" w:type="pct"/>
            <w:shd w:val="clear" w:color="auto" w:fill="auto"/>
            <w:noWrap/>
            <w:vAlign w:val="center"/>
            <w:hideMark/>
          </w:tcPr>
          <w:p w14:paraId="341C57F1"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4.7</w:t>
            </w:r>
          </w:p>
        </w:tc>
        <w:tc>
          <w:tcPr>
            <w:tcW w:w="488" w:type="pct"/>
            <w:shd w:val="clear" w:color="auto" w:fill="auto"/>
            <w:noWrap/>
            <w:vAlign w:val="center"/>
            <w:hideMark/>
          </w:tcPr>
          <w:p w14:paraId="3E667A90"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2.7</w:t>
            </w:r>
          </w:p>
        </w:tc>
        <w:tc>
          <w:tcPr>
            <w:tcW w:w="488" w:type="pct"/>
            <w:shd w:val="clear" w:color="auto" w:fill="auto"/>
            <w:noWrap/>
            <w:vAlign w:val="center"/>
            <w:hideMark/>
          </w:tcPr>
          <w:p w14:paraId="7C78C11F"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3.9</w:t>
            </w:r>
          </w:p>
        </w:tc>
        <w:tc>
          <w:tcPr>
            <w:tcW w:w="488" w:type="pct"/>
            <w:shd w:val="clear" w:color="auto" w:fill="auto"/>
            <w:noWrap/>
            <w:vAlign w:val="center"/>
            <w:hideMark/>
          </w:tcPr>
          <w:p w14:paraId="3F95C829"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6.2</w:t>
            </w:r>
          </w:p>
        </w:tc>
      </w:tr>
      <w:tr w:rsidR="001F27D2" w:rsidRPr="00D318B6" w14:paraId="464E6FA8" w14:textId="77777777" w:rsidTr="00D318B6">
        <w:tc>
          <w:tcPr>
            <w:tcW w:w="2560" w:type="pct"/>
            <w:shd w:val="clear" w:color="auto" w:fill="auto"/>
            <w:vAlign w:val="bottom"/>
            <w:hideMark/>
          </w:tcPr>
          <w:p w14:paraId="79AF66DE" w14:textId="77777777" w:rsidR="001F27D2" w:rsidRPr="00D318B6" w:rsidRDefault="001F27D2" w:rsidP="00D318B6">
            <w:pPr>
              <w:spacing w:beforeLines="20" w:before="48" w:afterLines="20" w:after="48"/>
              <w:rPr>
                <w:rFonts w:cs="Calibri"/>
                <w:color w:val="000000"/>
                <w:sz w:val="22"/>
                <w:szCs w:val="22"/>
              </w:rPr>
            </w:pPr>
            <w:r w:rsidRPr="00D318B6">
              <w:rPr>
                <w:rFonts w:cs="Calibri"/>
                <w:color w:val="000000"/>
                <w:sz w:val="22"/>
                <w:szCs w:val="22"/>
              </w:rPr>
              <w:t>11 - Residential care home</w:t>
            </w:r>
          </w:p>
        </w:tc>
        <w:tc>
          <w:tcPr>
            <w:tcW w:w="488" w:type="pct"/>
            <w:shd w:val="clear" w:color="auto" w:fill="auto"/>
            <w:noWrap/>
            <w:vAlign w:val="center"/>
            <w:hideMark/>
          </w:tcPr>
          <w:p w14:paraId="590A3960"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19.9</w:t>
            </w:r>
          </w:p>
        </w:tc>
        <w:tc>
          <w:tcPr>
            <w:tcW w:w="488" w:type="pct"/>
            <w:shd w:val="clear" w:color="auto" w:fill="auto"/>
            <w:noWrap/>
            <w:vAlign w:val="center"/>
            <w:hideMark/>
          </w:tcPr>
          <w:p w14:paraId="7847F2E9"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21.6</w:t>
            </w:r>
          </w:p>
        </w:tc>
        <w:tc>
          <w:tcPr>
            <w:tcW w:w="488" w:type="pct"/>
            <w:shd w:val="clear" w:color="auto" w:fill="auto"/>
            <w:noWrap/>
            <w:vAlign w:val="center"/>
            <w:hideMark/>
          </w:tcPr>
          <w:p w14:paraId="7B3EC914"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16.3</w:t>
            </w:r>
          </w:p>
        </w:tc>
        <w:tc>
          <w:tcPr>
            <w:tcW w:w="488" w:type="pct"/>
            <w:shd w:val="clear" w:color="auto" w:fill="auto"/>
            <w:noWrap/>
            <w:vAlign w:val="center"/>
            <w:hideMark/>
          </w:tcPr>
          <w:p w14:paraId="32B50EF6"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28.0</w:t>
            </w:r>
          </w:p>
        </w:tc>
        <w:tc>
          <w:tcPr>
            <w:tcW w:w="488" w:type="pct"/>
            <w:shd w:val="clear" w:color="auto" w:fill="auto"/>
            <w:noWrap/>
            <w:vAlign w:val="center"/>
            <w:hideMark/>
          </w:tcPr>
          <w:p w14:paraId="670BAF3C"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20.1</w:t>
            </w:r>
          </w:p>
        </w:tc>
      </w:tr>
      <w:tr w:rsidR="001F27D2" w:rsidRPr="00D318B6" w14:paraId="62E17B9F" w14:textId="77777777" w:rsidTr="00D318B6">
        <w:tc>
          <w:tcPr>
            <w:tcW w:w="2560" w:type="pct"/>
            <w:shd w:val="clear" w:color="auto" w:fill="auto"/>
            <w:vAlign w:val="bottom"/>
            <w:hideMark/>
          </w:tcPr>
          <w:p w14:paraId="4A1E5839" w14:textId="77777777" w:rsidR="001F27D2" w:rsidRPr="00D318B6" w:rsidRDefault="001F27D2" w:rsidP="00D318B6">
            <w:pPr>
              <w:spacing w:beforeLines="20" w:before="48" w:afterLines="20" w:after="48"/>
              <w:rPr>
                <w:rFonts w:cs="Calibri"/>
                <w:color w:val="000000"/>
                <w:sz w:val="22"/>
                <w:szCs w:val="22"/>
              </w:rPr>
            </w:pPr>
            <w:r w:rsidRPr="00D318B6">
              <w:rPr>
                <w:rFonts w:cs="Calibri"/>
                <w:color w:val="000000"/>
                <w:sz w:val="22"/>
                <w:szCs w:val="22"/>
              </w:rPr>
              <w:t>12 - Go to live with children or other relatives/friends</w:t>
            </w:r>
          </w:p>
        </w:tc>
        <w:tc>
          <w:tcPr>
            <w:tcW w:w="488" w:type="pct"/>
            <w:shd w:val="clear" w:color="auto" w:fill="auto"/>
            <w:noWrap/>
            <w:vAlign w:val="center"/>
            <w:hideMark/>
          </w:tcPr>
          <w:p w14:paraId="092B5488"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9.0</w:t>
            </w:r>
          </w:p>
        </w:tc>
        <w:tc>
          <w:tcPr>
            <w:tcW w:w="488" w:type="pct"/>
            <w:shd w:val="clear" w:color="auto" w:fill="auto"/>
            <w:noWrap/>
            <w:vAlign w:val="center"/>
            <w:hideMark/>
          </w:tcPr>
          <w:p w14:paraId="5E56A65E"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9.0</w:t>
            </w:r>
          </w:p>
        </w:tc>
        <w:tc>
          <w:tcPr>
            <w:tcW w:w="488" w:type="pct"/>
            <w:shd w:val="clear" w:color="auto" w:fill="auto"/>
            <w:noWrap/>
            <w:vAlign w:val="center"/>
            <w:hideMark/>
          </w:tcPr>
          <w:p w14:paraId="3D39507F"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9.4</w:t>
            </w:r>
          </w:p>
        </w:tc>
        <w:tc>
          <w:tcPr>
            <w:tcW w:w="488" w:type="pct"/>
            <w:shd w:val="clear" w:color="auto" w:fill="auto"/>
            <w:noWrap/>
            <w:vAlign w:val="center"/>
            <w:hideMark/>
          </w:tcPr>
          <w:p w14:paraId="5AD1E4A3"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4.1</w:t>
            </w:r>
          </w:p>
        </w:tc>
        <w:tc>
          <w:tcPr>
            <w:tcW w:w="488" w:type="pct"/>
            <w:shd w:val="clear" w:color="auto" w:fill="auto"/>
            <w:noWrap/>
            <w:vAlign w:val="center"/>
            <w:hideMark/>
          </w:tcPr>
          <w:p w14:paraId="413D2C83"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8.6</w:t>
            </w:r>
          </w:p>
        </w:tc>
      </w:tr>
      <w:tr w:rsidR="001F27D2" w:rsidRPr="00D318B6" w14:paraId="515B765D" w14:textId="77777777" w:rsidTr="00D318B6">
        <w:tc>
          <w:tcPr>
            <w:tcW w:w="2560" w:type="pct"/>
            <w:shd w:val="clear" w:color="auto" w:fill="auto"/>
            <w:vAlign w:val="bottom"/>
            <w:hideMark/>
          </w:tcPr>
          <w:p w14:paraId="7F508163" w14:textId="5D125F05" w:rsidR="001F27D2" w:rsidRPr="00D318B6" w:rsidRDefault="001F27D2" w:rsidP="00D318B6">
            <w:pPr>
              <w:spacing w:beforeLines="20" w:before="48" w:afterLines="20" w:after="48"/>
              <w:rPr>
                <w:rFonts w:cs="Calibri"/>
                <w:color w:val="000000"/>
                <w:sz w:val="22"/>
                <w:szCs w:val="22"/>
              </w:rPr>
            </w:pPr>
            <w:r w:rsidRPr="00D318B6">
              <w:rPr>
                <w:rFonts w:cs="Calibri"/>
                <w:color w:val="000000"/>
                <w:sz w:val="22"/>
                <w:szCs w:val="22"/>
              </w:rPr>
              <w:t xml:space="preserve">13 </w:t>
            </w:r>
            <w:r w:rsidR="00A16722">
              <w:rPr>
                <w:rFonts w:cs="Calibri"/>
                <w:color w:val="000000"/>
                <w:sz w:val="22"/>
                <w:szCs w:val="22"/>
              </w:rPr>
              <w:t>–</w:t>
            </w:r>
            <w:r w:rsidRPr="00D318B6">
              <w:rPr>
                <w:rFonts w:cs="Calibri"/>
                <w:color w:val="000000"/>
                <w:sz w:val="22"/>
                <w:szCs w:val="22"/>
              </w:rPr>
              <w:t xml:space="preserve"> Other</w:t>
            </w:r>
          </w:p>
        </w:tc>
        <w:tc>
          <w:tcPr>
            <w:tcW w:w="488" w:type="pct"/>
            <w:shd w:val="clear" w:color="auto" w:fill="auto"/>
            <w:noWrap/>
            <w:vAlign w:val="center"/>
            <w:hideMark/>
          </w:tcPr>
          <w:p w14:paraId="4E80B21E"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13.3</w:t>
            </w:r>
          </w:p>
        </w:tc>
        <w:tc>
          <w:tcPr>
            <w:tcW w:w="488" w:type="pct"/>
            <w:shd w:val="clear" w:color="auto" w:fill="auto"/>
            <w:noWrap/>
            <w:vAlign w:val="center"/>
            <w:hideMark/>
          </w:tcPr>
          <w:p w14:paraId="3A3E0C2E"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10.0</w:t>
            </w:r>
          </w:p>
        </w:tc>
        <w:tc>
          <w:tcPr>
            <w:tcW w:w="488" w:type="pct"/>
            <w:shd w:val="clear" w:color="auto" w:fill="auto"/>
            <w:noWrap/>
            <w:vAlign w:val="center"/>
            <w:hideMark/>
          </w:tcPr>
          <w:p w14:paraId="79660E09"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6.9</w:t>
            </w:r>
          </w:p>
        </w:tc>
        <w:tc>
          <w:tcPr>
            <w:tcW w:w="488" w:type="pct"/>
            <w:shd w:val="clear" w:color="auto" w:fill="auto"/>
            <w:noWrap/>
            <w:vAlign w:val="center"/>
            <w:hideMark/>
          </w:tcPr>
          <w:p w14:paraId="5B355A7E"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6.5</w:t>
            </w:r>
          </w:p>
        </w:tc>
        <w:tc>
          <w:tcPr>
            <w:tcW w:w="488" w:type="pct"/>
            <w:shd w:val="clear" w:color="auto" w:fill="auto"/>
            <w:noWrap/>
            <w:vAlign w:val="center"/>
            <w:hideMark/>
          </w:tcPr>
          <w:p w14:paraId="28DD6AEB"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10.9</w:t>
            </w:r>
          </w:p>
        </w:tc>
      </w:tr>
      <w:tr w:rsidR="001F27D2" w:rsidRPr="00D318B6" w14:paraId="2750BB50" w14:textId="77777777" w:rsidTr="00D318B6">
        <w:tc>
          <w:tcPr>
            <w:tcW w:w="2560" w:type="pct"/>
            <w:shd w:val="clear" w:color="auto" w:fill="auto"/>
            <w:vAlign w:val="bottom"/>
            <w:hideMark/>
          </w:tcPr>
          <w:p w14:paraId="3CD8A214" w14:textId="77777777" w:rsidR="001F27D2" w:rsidRPr="00D318B6" w:rsidRDefault="001F27D2" w:rsidP="00D318B6">
            <w:pPr>
              <w:spacing w:beforeLines="20" w:before="48" w:afterLines="20" w:after="48"/>
              <w:rPr>
                <w:rFonts w:cs="Calibri"/>
                <w:color w:val="000000"/>
                <w:sz w:val="22"/>
                <w:szCs w:val="22"/>
              </w:rPr>
            </w:pPr>
            <w:r w:rsidRPr="00D318B6">
              <w:rPr>
                <w:rFonts w:cs="Calibri"/>
                <w:color w:val="000000"/>
                <w:sz w:val="22"/>
                <w:szCs w:val="22"/>
              </w:rPr>
              <w:t>Total</w:t>
            </w:r>
          </w:p>
        </w:tc>
        <w:tc>
          <w:tcPr>
            <w:tcW w:w="488" w:type="pct"/>
            <w:shd w:val="clear" w:color="auto" w:fill="auto"/>
            <w:noWrap/>
            <w:vAlign w:val="center"/>
            <w:hideMark/>
          </w:tcPr>
          <w:p w14:paraId="5DCEC05E"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6960</w:t>
            </w:r>
          </w:p>
        </w:tc>
        <w:tc>
          <w:tcPr>
            <w:tcW w:w="488" w:type="pct"/>
            <w:shd w:val="clear" w:color="auto" w:fill="auto"/>
            <w:noWrap/>
            <w:vAlign w:val="center"/>
            <w:hideMark/>
          </w:tcPr>
          <w:p w14:paraId="5FB6AD97"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4097</w:t>
            </w:r>
          </w:p>
        </w:tc>
        <w:tc>
          <w:tcPr>
            <w:tcW w:w="488" w:type="pct"/>
            <w:shd w:val="clear" w:color="auto" w:fill="auto"/>
            <w:noWrap/>
            <w:vAlign w:val="center"/>
            <w:hideMark/>
          </w:tcPr>
          <w:p w14:paraId="7E2E52B8"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2203</w:t>
            </w:r>
          </w:p>
        </w:tc>
        <w:tc>
          <w:tcPr>
            <w:tcW w:w="488" w:type="pct"/>
            <w:shd w:val="clear" w:color="auto" w:fill="auto"/>
            <w:noWrap/>
            <w:vAlign w:val="center"/>
            <w:hideMark/>
          </w:tcPr>
          <w:p w14:paraId="52284704"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751</w:t>
            </w:r>
          </w:p>
        </w:tc>
        <w:tc>
          <w:tcPr>
            <w:tcW w:w="488" w:type="pct"/>
            <w:shd w:val="clear" w:color="auto" w:fill="auto"/>
            <w:noWrap/>
            <w:vAlign w:val="center"/>
            <w:hideMark/>
          </w:tcPr>
          <w:p w14:paraId="6E394D20" w14:textId="77777777" w:rsidR="001F27D2" w:rsidRPr="00D318B6" w:rsidRDefault="001F27D2" w:rsidP="00D318B6">
            <w:pPr>
              <w:spacing w:beforeLines="20" w:before="48" w:afterLines="20" w:after="48"/>
              <w:jc w:val="center"/>
              <w:rPr>
                <w:rFonts w:cs="Calibri"/>
                <w:color w:val="000000"/>
                <w:sz w:val="22"/>
                <w:szCs w:val="22"/>
              </w:rPr>
            </w:pPr>
            <w:r w:rsidRPr="00D318B6">
              <w:rPr>
                <w:rFonts w:cs="Calibri"/>
                <w:color w:val="000000"/>
                <w:sz w:val="22"/>
                <w:szCs w:val="22"/>
              </w:rPr>
              <w:t>14556</w:t>
            </w:r>
          </w:p>
        </w:tc>
      </w:tr>
    </w:tbl>
    <w:p w14:paraId="1ECD1337" w14:textId="77777777" w:rsidR="001F27D2" w:rsidRPr="002B2A7F" w:rsidRDefault="001F27D2" w:rsidP="001F27D2">
      <w:pPr>
        <w:tabs>
          <w:tab w:val="left" w:pos="709"/>
        </w:tabs>
        <w:rPr>
          <w:rFonts w:asciiTheme="minorHAnsi" w:hAnsiTheme="minorHAnsi" w:cs="Calibri"/>
          <w:sz w:val="20"/>
          <w:szCs w:val="20"/>
        </w:rPr>
      </w:pPr>
      <w:r w:rsidRPr="002B2A7F">
        <w:rPr>
          <w:rFonts w:asciiTheme="minorHAnsi" w:hAnsiTheme="minorHAnsi" w:cs="Calibri"/>
          <w:sz w:val="20"/>
          <w:szCs w:val="20"/>
        </w:rPr>
        <w:t xml:space="preserve">Source: 2018 Household Survey </w:t>
      </w:r>
    </w:p>
    <w:p w14:paraId="3C66E9FD" w14:textId="77777777" w:rsidR="001F27D2" w:rsidRPr="002B2A7F" w:rsidRDefault="001F27D2" w:rsidP="001F27D2">
      <w:pPr>
        <w:rPr>
          <w:rFonts w:asciiTheme="minorHAnsi" w:hAnsiTheme="minorHAnsi" w:cs="Arial"/>
          <w:b/>
          <w:bCs/>
          <w:color w:val="409999"/>
          <w:sz w:val="22"/>
        </w:rPr>
      </w:pPr>
      <w:r w:rsidRPr="002B2A7F">
        <w:rPr>
          <w:rFonts w:asciiTheme="minorHAnsi" w:hAnsiTheme="minorHAnsi"/>
          <w:color w:val="409999"/>
        </w:rPr>
        <w:br w:type="page"/>
      </w: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5609"/>
        <w:gridCol w:w="1123"/>
        <w:gridCol w:w="1254"/>
        <w:gridCol w:w="1254"/>
        <w:gridCol w:w="1254"/>
        <w:gridCol w:w="1254"/>
        <w:gridCol w:w="1254"/>
        <w:gridCol w:w="1252"/>
      </w:tblGrid>
      <w:tr w:rsidR="00D318B6" w:rsidRPr="008359DD" w14:paraId="22887897" w14:textId="77777777" w:rsidTr="009170F6">
        <w:trPr>
          <w:trHeight w:val="320"/>
        </w:trPr>
        <w:tc>
          <w:tcPr>
            <w:tcW w:w="5000" w:type="pct"/>
            <w:gridSpan w:val="8"/>
            <w:shd w:val="clear" w:color="000000" w:fill="009193"/>
            <w:noWrap/>
            <w:vAlign w:val="bottom"/>
          </w:tcPr>
          <w:p w14:paraId="5C72287F" w14:textId="5A33CF1E" w:rsidR="00D318B6" w:rsidRPr="008359DD" w:rsidRDefault="00D318B6" w:rsidP="008359DD">
            <w:pPr>
              <w:pStyle w:val="Tableheading1"/>
              <w:rPr>
                <w:color w:val="FFFFFF"/>
              </w:rPr>
            </w:pPr>
            <w:bookmarkStart w:id="492" w:name="_Toc529739461"/>
            <w:bookmarkStart w:id="493" w:name="_Toc531122960"/>
            <w:bookmarkStart w:id="494" w:name="_Toc532812495"/>
            <w:r w:rsidRPr="008359DD">
              <w:lastRenderedPageBreak/>
              <w:t>Table 6.7</w:t>
            </w:r>
            <w:r w:rsidRPr="008359DD">
              <w:tab/>
              <w:t>Older person housing options being considered (number)</w:t>
            </w:r>
            <w:bookmarkEnd w:id="492"/>
            <w:bookmarkEnd w:id="493"/>
            <w:bookmarkEnd w:id="494"/>
          </w:p>
        </w:tc>
      </w:tr>
      <w:tr w:rsidR="009170F6" w:rsidRPr="008359DD" w14:paraId="358B650D" w14:textId="77777777" w:rsidTr="009170F6">
        <w:trPr>
          <w:trHeight w:val="320"/>
        </w:trPr>
        <w:tc>
          <w:tcPr>
            <w:tcW w:w="1967" w:type="pct"/>
            <w:vMerge w:val="restart"/>
            <w:shd w:val="clear" w:color="000000" w:fill="009193"/>
            <w:noWrap/>
            <w:vAlign w:val="bottom"/>
            <w:hideMark/>
          </w:tcPr>
          <w:p w14:paraId="450AAC27" w14:textId="42D60314" w:rsidR="009170F6" w:rsidRPr="008359DD" w:rsidRDefault="009170F6" w:rsidP="009170F6">
            <w:pPr>
              <w:spacing w:before="0" w:after="0"/>
              <w:rPr>
                <w:rFonts w:cs="Calibri"/>
                <w:b/>
                <w:bCs/>
                <w:color w:val="FFFFFF"/>
                <w:sz w:val="22"/>
                <w:szCs w:val="22"/>
              </w:rPr>
            </w:pPr>
            <w:r w:rsidRPr="008359DD">
              <w:rPr>
                <w:rFonts w:cs="Calibri"/>
                <w:b/>
                <w:bCs/>
                <w:color w:val="FFFFFF"/>
                <w:sz w:val="22"/>
                <w:szCs w:val="22"/>
              </w:rPr>
              <w:t>Housing option </w:t>
            </w:r>
          </w:p>
        </w:tc>
        <w:tc>
          <w:tcPr>
            <w:tcW w:w="2594" w:type="pct"/>
            <w:gridSpan w:val="6"/>
            <w:shd w:val="clear" w:color="000000" w:fill="009193"/>
            <w:noWrap/>
            <w:vAlign w:val="bottom"/>
            <w:hideMark/>
          </w:tcPr>
          <w:p w14:paraId="1F001A03" w14:textId="0834A77F" w:rsidR="009170F6" w:rsidRPr="009170F6" w:rsidRDefault="009170F6" w:rsidP="008359DD">
            <w:pPr>
              <w:spacing w:before="0" w:after="0"/>
              <w:jc w:val="center"/>
              <w:rPr>
                <w:rFonts w:cs="Calibri"/>
                <w:b/>
                <w:color w:val="FFFFFF"/>
                <w:sz w:val="22"/>
                <w:szCs w:val="22"/>
              </w:rPr>
            </w:pPr>
            <w:r w:rsidRPr="009170F6">
              <w:rPr>
                <w:rFonts w:cs="Calibri"/>
                <w:b/>
                <w:color w:val="FFFFFF"/>
                <w:sz w:val="22"/>
                <w:szCs w:val="22"/>
              </w:rPr>
              <w:t>Housing Market Area</w:t>
            </w:r>
          </w:p>
        </w:tc>
        <w:tc>
          <w:tcPr>
            <w:tcW w:w="440" w:type="pct"/>
            <w:vMerge w:val="restart"/>
            <w:shd w:val="clear" w:color="000000" w:fill="009193"/>
            <w:noWrap/>
            <w:vAlign w:val="bottom"/>
            <w:hideMark/>
          </w:tcPr>
          <w:p w14:paraId="61F2AAB2" w14:textId="32085C5A" w:rsidR="009170F6" w:rsidRPr="009170F6" w:rsidRDefault="009170F6" w:rsidP="008359DD">
            <w:pPr>
              <w:spacing w:before="0" w:after="0"/>
              <w:jc w:val="center"/>
              <w:rPr>
                <w:rFonts w:cs="Calibri"/>
                <w:b/>
                <w:color w:val="FFFFFF"/>
                <w:sz w:val="22"/>
                <w:szCs w:val="22"/>
              </w:rPr>
            </w:pPr>
            <w:r w:rsidRPr="009170F6">
              <w:rPr>
                <w:rFonts w:cs="Calibri"/>
                <w:b/>
                <w:color w:val="FFFFFF"/>
                <w:sz w:val="22"/>
                <w:szCs w:val="22"/>
              </w:rPr>
              <w:t>Total</w:t>
            </w:r>
          </w:p>
        </w:tc>
      </w:tr>
      <w:tr w:rsidR="009170F6" w:rsidRPr="008359DD" w14:paraId="205E0FDF" w14:textId="77777777" w:rsidTr="009170F6">
        <w:trPr>
          <w:trHeight w:val="1020"/>
        </w:trPr>
        <w:tc>
          <w:tcPr>
            <w:tcW w:w="1967" w:type="pct"/>
            <w:vMerge/>
            <w:shd w:val="clear" w:color="000000" w:fill="009193"/>
            <w:noWrap/>
            <w:vAlign w:val="bottom"/>
            <w:hideMark/>
          </w:tcPr>
          <w:p w14:paraId="3FB07D43" w14:textId="2935248C" w:rsidR="009170F6" w:rsidRPr="008359DD" w:rsidRDefault="009170F6" w:rsidP="008359DD">
            <w:pPr>
              <w:spacing w:before="0" w:after="0"/>
              <w:rPr>
                <w:rFonts w:cs="Calibri"/>
                <w:b/>
                <w:bCs/>
                <w:color w:val="FFFFFF"/>
                <w:sz w:val="22"/>
                <w:szCs w:val="22"/>
              </w:rPr>
            </w:pPr>
          </w:p>
        </w:tc>
        <w:tc>
          <w:tcPr>
            <w:tcW w:w="394" w:type="pct"/>
            <w:shd w:val="clear" w:color="000000" w:fill="009193"/>
            <w:vAlign w:val="bottom"/>
            <w:hideMark/>
          </w:tcPr>
          <w:p w14:paraId="70C24F80" w14:textId="77777777" w:rsidR="009170F6" w:rsidRPr="008359DD" w:rsidRDefault="009170F6" w:rsidP="008359DD">
            <w:pPr>
              <w:spacing w:before="0" w:after="0"/>
              <w:jc w:val="center"/>
              <w:rPr>
                <w:rFonts w:cs="Calibri"/>
                <w:color w:val="FFFFFF"/>
                <w:sz w:val="22"/>
                <w:szCs w:val="22"/>
              </w:rPr>
            </w:pPr>
            <w:r w:rsidRPr="008359DD">
              <w:rPr>
                <w:rFonts w:cs="Calibri"/>
                <w:color w:val="FFFFFF"/>
                <w:sz w:val="22"/>
                <w:szCs w:val="22"/>
              </w:rPr>
              <w:t xml:space="preserve">HMA1A </w:t>
            </w:r>
          </w:p>
          <w:p w14:paraId="6970CB5F" w14:textId="77777777" w:rsidR="009170F6" w:rsidRPr="008359DD" w:rsidRDefault="009170F6" w:rsidP="008359DD">
            <w:pPr>
              <w:spacing w:before="0" w:after="0"/>
              <w:jc w:val="center"/>
              <w:rPr>
                <w:rFonts w:cs="Calibri"/>
                <w:color w:val="FFFFFF"/>
                <w:sz w:val="22"/>
                <w:szCs w:val="22"/>
              </w:rPr>
            </w:pPr>
            <w:r w:rsidRPr="008359DD">
              <w:rPr>
                <w:rFonts w:cs="Calibri"/>
                <w:color w:val="FFFFFF"/>
                <w:sz w:val="22"/>
                <w:szCs w:val="22"/>
              </w:rPr>
              <w:t xml:space="preserve">Penrith </w:t>
            </w:r>
          </w:p>
          <w:p w14:paraId="2736EEAE" w14:textId="77777777" w:rsidR="009170F6" w:rsidRPr="008359DD" w:rsidRDefault="009170F6" w:rsidP="008359DD">
            <w:pPr>
              <w:spacing w:before="0" w:after="0"/>
              <w:jc w:val="center"/>
              <w:rPr>
                <w:rFonts w:cs="Calibri"/>
                <w:color w:val="FFFFFF"/>
                <w:sz w:val="22"/>
                <w:szCs w:val="22"/>
              </w:rPr>
            </w:pPr>
            <w:r w:rsidRPr="008359DD">
              <w:rPr>
                <w:rFonts w:cs="Calibri"/>
                <w:color w:val="FFFFFF"/>
                <w:sz w:val="22"/>
                <w:szCs w:val="22"/>
              </w:rPr>
              <w:t>Urban</w:t>
            </w:r>
          </w:p>
        </w:tc>
        <w:tc>
          <w:tcPr>
            <w:tcW w:w="440" w:type="pct"/>
            <w:shd w:val="clear" w:color="000000" w:fill="009193"/>
            <w:vAlign w:val="bottom"/>
            <w:hideMark/>
          </w:tcPr>
          <w:p w14:paraId="016F43A9" w14:textId="77777777" w:rsidR="009170F6" w:rsidRPr="008359DD" w:rsidRDefault="009170F6" w:rsidP="008359DD">
            <w:pPr>
              <w:spacing w:before="0" w:after="0"/>
              <w:jc w:val="center"/>
              <w:rPr>
                <w:rFonts w:cs="Calibri"/>
                <w:color w:val="FFFFFF"/>
                <w:sz w:val="22"/>
                <w:szCs w:val="22"/>
              </w:rPr>
            </w:pPr>
            <w:r w:rsidRPr="008359DD">
              <w:rPr>
                <w:rFonts w:cs="Calibri"/>
                <w:color w:val="FFFFFF"/>
                <w:sz w:val="22"/>
                <w:szCs w:val="22"/>
              </w:rPr>
              <w:t>HMA1B Penrith Rural</w:t>
            </w:r>
          </w:p>
        </w:tc>
        <w:tc>
          <w:tcPr>
            <w:tcW w:w="440" w:type="pct"/>
            <w:shd w:val="clear" w:color="000000" w:fill="009193"/>
            <w:vAlign w:val="bottom"/>
            <w:hideMark/>
          </w:tcPr>
          <w:p w14:paraId="24835196" w14:textId="77777777" w:rsidR="009170F6" w:rsidRPr="008359DD" w:rsidRDefault="009170F6" w:rsidP="008359DD">
            <w:pPr>
              <w:spacing w:before="0" w:after="0"/>
              <w:jc w:val="center"/>
              <w:rPr>
                <w:rFonts w:cs="Calibri"/>
                <w:color w:val="FFFFFF"/>
                <w:sz w:val="22"/>
                <w:szCs w:val="22"/>
              </w:rPr>
            </w:pPr>
            <w:r w:rsidRPr="008359DD">
              <w:rPr>
                <w:rFonts w:cs="Calibri"/>
                <w:color w:val="FFFFFF"/>
                <w:sz w:val="22"/>
                <w:szCs w:val="22"/>
              </w:rPr>
              <w:t>HMA2 Appleby</w:t>
            </w:r>
          </w:p>
        </w:tc>
        <w:tc>
          <w:tcPr>
            <w:tcW w:w="440" w:type="pct"/>
            <w:shd w:val="clear" w:color="000000" w:fill="009193"/>
            <w:vAlign w:val="bottom"/>
            <w:hideMark/>
          </w:tcPr>
          <w:p w14:paraId="5CDD9AE5" w14:textId="77777777" w:rsidR="009170F6" w:rsidRPr="008359DD" w:rsidRDefault="009170F6" w:rsidP="008359DD">
            <w:pPr>
              <w:spacing w:before="0" w:after="0"/>
              <w:jc w:val="center"/>
              <w:rPr>
                <w:rFonts w:cs="Calibri"/>
                <w:color w:val="FFFFFF"/>
                <w:sz w:val="22"/>
                <w:szCs w:val="22"/>
              </w:rPr>
            </w:pPr>
            <w:r w:rsidRPr="008359DD">
              <w:rPr>
                <w:rFonts w:cs="Calibri"/>
                <w:color w:val="FFFFFF"/>
                <w:sz w:val="22"/>
                <w:szCs w:val="22"/>
              </w:rPr>
              <w:t>HMA3 Kirkby Stephen</w:t>
            </w:r>
          </w:p>
        </w:tc>
        <w:tc>
          <w:tcPr>
            <w:tcW w:w="440" w:type="pct"/>
            <w:shd w:val="clear" w:color="000000" w:fill="009193"/>
            <w:vAlign w:val="bottom"/>
            <w:hideMark/>
          </w:tcPr>
          <w:p w14:paraId="3C8C1966" w14:textId="77777777" w:rsidR="009170F6" w:rsidRPr="008359DD" w:rsidRDefault="009170F6" w:rsidP="008359DD">
            <w:pPr>
              <w:spacing w:before="0" w:after="0"/>
              <w:jc w:val="center"/>
              <w:rPr>
                <w:rFonts w:cs="Calibri"/>
                <w:color w:val="FFFFFF"/>
                <w:sz w:val="22"/>
                <w:szCs w:val="22"/>
              </w:rPr>
            </w:pPr>
            <w:r w:rsidRPr="008359DD">
              <w:rPr>
                <w:rFonts w:cs="Calibri"/>
                <w:color w:val="FFFFFF"/>
                <w:sz w:val="22"/>
                <w:szCs w:val="22"/>
              </w:rPr>
              <w:t>HMA4 Alston</w:t>
            </w:r>
          </w:p>
        </w:tc>
        <w:tc>
          <w:tcPr>
            <w:tcW w:w="440" w:type="pct"/>
            <w:shd w:val="clear" w:color="000000" w:fill="009193"/>
            <w:vAlign w:val="bottom"/>
            <w:hideMark/>
          </w:tcPr>
          <w:p w14:paraId="65B723E3" w14:textId="77777777" w:rsidR="009170F6" w:rsidRPr="008359DD" w:rsidRDefault="009170F6" w:rsidP="008359DD">
            <w:pPr>
              <w:spacing w:before="0" w:after="0"/>
              <w:jc w:val="center"/>
              <w:rPr>
                <w:rFonts w:cs="Calibri"/>
                <w:color w:val="FFFFFF"/>
                <w:sz w:val="22"/>
                <w:szCs w:val="22"/>
              </w:rPr>
            </w:pPr>
            <w:r w:rsidRPr="008359DD">
              <w:rPr>
                <w:rFonts w:cs="Calibri"/>
                <w:color w:val="FFFFFF"/>
                <w:sz w:val="22"/>
                <w:szCs w:val="22"/>
              </w:rPr>
              <w:t>HMA5 West of M6</w:t>
            </w:r>
          </w:p>
        </w:tc>
        <w:tc>
          <w:tcPr>
            <w:tcW w:w="440" w:type="pct"/>
            <w:vMerge/>
            <w:shd w:val="clear" w:color="000000" w:fill="009193"/>
            <w:vAlign w:val="bottom"/>
            <w:hideMark/>
          </w:tcPr>
          <w:p w14:paraId="3DE8A065" w14:textId="7FDEA32B" w:rsidR="009170F6" w:rsidRPr="008359DD" w:rsidRDefault="009170F6" w:rsidP="008359DD">
            <w:pPr>
              <w:spacing w:before="0" w:after="0"/>
              <w:jc w:val="center"/>
              <w:rPr>
                <w:rFonts w:cs="Calibri"/>
                <w:color w:val="FFFFFF"/>
                <w:sz w:val="22"/>
                <w:szCs w:val="22"/>
              </w:rPr>
            </w:pPr>
          </w:p>
        </w:tc>
      </w:tr>
      <w:tr w:rsidR="001F27D2" w:rsidRPr="008359DD" w14:paraId="18C106BE" w14:textId="77777777" w:rsidTr="009170F6">
        <w:trPr>
          <w:trHeight w:val="680"/>
        </w:trPr>
        <w:tc>
          <w:tcPr>
            <w:tcW w:w="1967" w:type="pct"/>
            <w:shd w:val="clear" w:color="auto" w:fill="auto"/>
            <w:vAlign w:val="bottom"/>
            <w:hideMark/>
          </w:tcPr>
          <w:p w14:paraId="539394EF" w14:textId="77777777" w:rsidR="001F27D2" w:rsidRPr="008359DD" w:rsidRDefault="001F27D2" w:rsidP="008359DD">
            <w:pPr>
              <w:spacing w:before="0" w:after="0"/>
              <w:rPr>
                <w:rFonts w:cs="Calibri"/>
                <w:color w:val="000000"/>
                <w:sz w:val="22"/>
                <w:szCs w:val="22"/>
              </w:rPr>
            </w:pPr>
            <w:r w:rsidRPr="008359DD">
              <w:rPr>
                <w:rFonts w:cs="Calibri"/>
                <w:color w:val="000000"/>
                <w:sz w:val="22"/>
                <w:szCs w:val="22"/>
              </w:rPr>
              <w:t>1 - Continue to live in current home with support when needed (e.g. home visits, ‘call for help’ alarm)</w:t>
            </w:r>
          </w:p>
        </w:tc>
        <w:tc>
          <w:tcPr>
            <w:tcW w:w="394" w:type="pct"/>
            <w:shd w:val="clear" w:color="auto" w:fill="auto"/>
            <w:noWrap/>
            <w:vAlign w:val="center"/>
            <w:hideMark/>
          </w:tcPr>
          <w:p w14:paraId="5FC57422"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3242</w:t>
            </w:r>
          </w:p>
        </w:tc>
        <w:tc>
          <w:tcPr>
            <w:tcW w:w="440" w:type="pct"/>
            <w:shd w:val="clear" w:color="auto" w:fill="auto"/>
            <w:noWrap/>
            <w:vAlign w:val="center"/>
            <w:hideMark/>
          </w:tcPr>
          <w:p w14:paraId="350517FD"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2216</w:t>
            </w:r>
          </w:p>
        </w:tc>
        <w:tc>
          <w:tcPr>
            <w:tcW w:w="440" w:type="pct"/>
            <w:shd w:val="clear" w:color="auto" w:fill="auto"/>
            <w:noWrap/>
            <w:vAlign w:val="center"/>
            <w:hideMark/>
          </w:tcPr>
          <w:p w14:paraId="1F76245F"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2213</w:t>
            </w:r>
          </w:p>
        </w:tc>
        <w:tc>
          <w:tcPr>
            <w:tcW w:w="440" w:type="pct"/>
            <w:shd w:val="clear" w:color="auto" w:fill="auto"/>
            <w:noWrap/>
            <w:vAlign w:val="center"/>
            <w:hideMark/>
          </w:tcPr>
          <w:p w14:paraId="125E13BA"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1245</w:t>
            </w:r>
          </w:p>
        </w:tc>
        <w:tc>
          <w:tcPr>
            <w:tcW w:w="440" w:type="pct"/>
            <w:shd w:val="clear" w:color="auto" w:fill="auto"/>
            <w:noWrap/>
            <w:vAlign w:val="center"/>
            <w:hideMark/>
          </w:tcPr>
          <w:p w14:paraId="3E27776D"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867</w:t>
            </w:r>
          </w:p>
        </w:tc>
        <w:tc>
          <w:tcPr>
            <w:tcW w:w="440" w:type="pct"/>
            <w:shd w:val="clear" w:color="auto" w:fill="auto"/>
            <w:noWrap/>
            <w:vAlign w:val="center"/>
            <w:hideMark/>
          </w:tcPr>
          <w:p w14:paraId="0B1D5490"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1295</w:t>
            </w:r>
          </w:p>
        </w:tc>
        <w:tc>
          <w:tcPr>
            <w:tcW w:w="440" w:type="pct"/>
            <w:shd w:val="clear" w:color="auto" w:fill="auto"/>
            <w:noWrap/>
            <w:vAlign w:val="center"/>
            <w:hideMark/>
          </w:tcPr>
          <w:p w14:paraId="7F41C21E"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11078</w:t>
            </w:r>
          </w:p>
        </w:tc>
      </w:tr>
      <w:tr w:rsidR="001F27D2" w:rsidRPr="008359DD" w14:paraId="08E3ED9B" w14:textId="77777777" w:rsidTr="009170F6">
        <w:trPr>
          <w:trHeight w:val="340"/>
        </w:trPr>
        <w:tc>
          <w:tcPr>
            <w:tcW w:w="1967" w:type="pct"/>
            <w:shd w:val="clear" w:color="auto" w:fill="auto"/>
            <w:vAlign w:val="bottom"/>
            <w:hideMark/>
          </w:tcPr>
          <w:p w14:paraId="402C54A8" w14:textId="77777777" w:rsidR="001F27D2" w:rsidRPr="008359DD" w:rsidRDefault="001F27D2" w:rsidP="008359DD">
            <w:pPr>
              <w:spacing w:before="0" w:after="0"/>
              <w:rPr>
                <w:rFonts w:cs="Calibri"/>
                <w:color w:val="000000"/>
                <w:sz w:val="22"/>
                <w:szCs w:val="22"/>
              </w:rPr>
            </w:pPr>
            <w:r w:rsidRPr="008359DD">
              <w:rPr>
                <w:rFonts w:cs="Calibri"/>
                <w:color w:val="000000"/>
                <w:sz w:val="22"/>
                <w:szCs w:val="22"/>
              </w:rPr>
              <w:t>2 - Buying a suitable property on the open market</w:t>
            </w:r>
          </w:p>
        </w:tc>
        <w:tc>
          <w:tcPr>
            <w:tcW w:w="394" w:type="pct"/>
            <w:shd w:val="clear" w:color="auto" w:fill="auto"/>
            <w:noWrap/>
            <w:vAlign w:val="center"/>
            <w:hideMark/>
          </w:tcPr>
          <w:p w14:paraId="7FB87C41"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927</w:t>
            </w:r>
          </w:p>
        </w:tc>
        <w:tc>
          <w:tcPr>
            <w:tcW w:w="440" w:type="pct"/>
            <w:shd w:val="clear" w:color="auto" w:fill="auto"/>
            <w:noWrap/>
            <w:vAlign w:val="center"/>
            <w:hideMark/>
          </w:tcPr>
          <w:p w14:paraId="6383D7E6"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951</w:t>
            </w:r>
          </w:p>
        </w:tc>
        <w:tc>
          <w:tcPr>
            <w:tcW w:w="440" w:type="pct"/>
            <w:shd w:val="clear" w:color="auto" w:fill="auto"/>
            <w:noWrap/>
            <w:vAlign w:val="center"/>
            <w:hideMark/>
          </w:tcPr>
          <w:p w14:paraId="53FE905C"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989</w:t>
            </w:r>
          </w:p>
        </w:tc>
        <w:tc>
          <w:tcPr>
            <w:tcW w:w="440" w:type="pct"/>
            <w:shd w:val="clear" w:color="auto" w:fill="auto"/>
            <w:noWrap/>
            <w:vAlign w:val="center"/>
            <w:hideMark/>
          </w:tcPr>
          <w:p w14:paraId="67F4F249"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761</w:t>
            </w:r>
          </w:p>
        </w:tc>
        <w:tc>
          <w:tcPr>
            <w:tcW w:w="440" w:type="pct"/>
            <w:shd w:val="clear" w:color="auto" w:fill="auto"/>
            <w:noWrap/>
            <w:vAlign w:val="center"/>
            <w:hideMark/>
          </w:tcPr>
          <w:p w14:paraId="3AFFC4B2"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344</w:t>
            </w:r>
          </w:p>
        </w:tc>
        <w:tc>
          <w:tcPr>
            <w:tcW w:w="440" w:type="pct"/>
            <w:shd w:val="clear" w:color="auto" w:fill="auto"/>
            <w:noWrap/>
            <w:vAlign w:val="center"/>
            <w:hideMark/>
          </w:tcPr>
          <w:p w14:paraId="0129A2E8"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658</w:t>
            </w:r>
          </w:p>
        </w:tc>
        <w:tc>
          <w:tcPr>
            <w:tcW w:w="440" w:type="pct"/>
            <w:shd w:val="clear" w:color="auto" w:fill="auto"/>
            <w:noWrap/>
            <w:vAlign w:val="center"/>
            <w:hideMark/>
          </w:tcPr>
          <w:p w14:paraId="355B4146"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4630</w:t>
            </w:r>
          </w:p>
        </w:tc>
      </w:tr>
      <w:tr w:rsidR="001F27D2" w:rsidRPr="008359DD" w14:paraId="36AC4759" w14:textId="77777777" w:rsidTr="009170F6">
        <w:trPr>
          <w:trHeight w:val="340"/>
        </w:trPr>
        <w:tc>
          <w:tcPr>
            <w:tcW w:w="1967" w:type="pct"/>
            <w:shd w:val="clear" w:color="auto" w:fill="auto"/>
            <w:vAlign w:val="bottom"/>
            <w:hideMark/>
          </w:tcPr>
          <w:p w14:paraId="2B1F03C0" w14:textId="77777777" w:rsidR="001F27D2" w:rsidRPr="008359DD" w:rsidRDefault="001F27D2" w:rsidP="008359DD">
            <w:pPr>
              <w:spacing w:before="0" w:after="0"/>
              <w:rPr>
                <w:rFonts w:cs="Calibri"/>
                <w:color w:val="000000"/>
                <w:sz w:val="22"/>
                <w:szCs w:val="22"/>
              </w:rPr>
            </w:pPr>
            <w:r w:rsidRPr="008359DD">
              <w:rPr>
                <w:rFonts w:cs="Calibri"/>
                <w:color w:val="000000"/>
                <w:sz w:val="22"/>
                <w:szCs w:val="22"/>
              </w:rPr>
              <w:t>3 - Rent a more suitable property from a private landlord</w:t>
            </w:r>
          </w:p>
        </w:tc>
        <w:tc>
          <w:tcPr>
            <w:tcW w:w="394" w:type="pct"/>
            <w:shd w:val="clear" w:color="auto" w:fill="auto"/>
            <w:noWrap/>
            <w:vAlign w:val="center"/>
            <w:hideMark/>
          </w:tcPr>
          <w:p w14:paraId="5FDFB3ED"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207</w:t>
            </w:r>
          </w:p>
        </w:tc>
        <w:tc>
          <w:tcPr>
            <w:tcW w:w="440" w:type="pct"/>
            <w:shd w:val="clear" w:color="auto" w:fill="auto"/>
            <w:noWrap/>
            <w:vAlign w:val="center"/>
            <w:hideMark/>
          </w:tcPr>
          <w:p w14:paraId="2406851F"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171</w:t>
            </w:r>
          </w:p>
        </w:tc>
        <w:tc>
          <w:tcPr>
            <w:tcW w:w="440" w:type="pct"/>
            <w:shd w:val="clear" w:color="auto" w:fill="auto"/>
            <w:noWrap/>
            <w:vAlign w:val="center"/>
            <w:hideMark/>
          </w:tcPr>
          <w:p w14:paraId="292DB55A"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203</w:t>
            </w:r>
          </w:p>
        </w:tc>
        <w:tc>
          <w:tcPr>
            <w:tcW w:w="440" w:type="pct"/>
            <w:shd w:val="clear" w:color="auto" w:fill="auto"/>
            <w:noWrap/>
            <w:vAlign w:val="center"/>
            <w:hideMark/>
          </w:tcPr>
          <w:p w14:paraId="59931549"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122</w:t>
            </w:r>
          </w:p>
        </w:tc>
        <w:tc>
          <w:tcPr>
            <w:tcW w:w="440" w:type="pct"/>
            <w:shd w:val="clear" w:color="auto" w:fill="auto"/>
            <w:noWrap/>
            <w:vAlign w:val="center"/>
            <w:hideMark/>
          </w:tcPr>
          <w:p w14:paraId="7AA47851"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77</w:t>
            </w:r>
          </w:p>
        </w:tc>
        <w:tc>
          <w:tcPr>
            <w:tcW w:w="440" w:type="pct"/>
            <w:shd w:val="clear" w:color="auto" w:fill="auto"/>
            <w:noWrap/>
            <w:vAlign w:val="center"/>
            <w:hideMark/>
          </w:tcPr>
          <w:p w14:paraId="12A8C3B9"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148</w:t>
            </w:r>
          </w:p>
        </w:tc>
        <w:tc>
          <w:tcPr>
            <w:tcW w:w="440" w:type="pct"/>
            <w:shd w:val="clear" w:color="auto" w:fill="auto"/>
            <w:noWrap/>
            <w:vAlign w:val="center"/>
            <w:hideMark/>
          </w:tcPr>
          <w:p w14:paraId="6F695344"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927</w:t>
            </w:r>
          </w:p>
        </w:tc>
      </w:tr>
      <w:tr w:rsidR="001F27D2" w:rsidRPr="008359DD" w14:paraId="15CF8A65" w14:textId="77777777" w:rsidTr="009170F6">
        <w:trPr>
          <w:trHeight w:val="340"/>
        </w:trPr>
        <w:tc>
          <w:tcPr>
            <w:tcW w:w="1967" w:type="pct"/>
            <w:shd w:val="clear" w:color="auto" w:fill="auto"/>
            <w:vAlign w:val="bottom"/>
            <w:hideMark/>
          </w:tcPr>
          <w:p w14:paraId="0A39EDB0" w14:textId="77777777" w:rsidR="001F27D2" w:rsidRPr="008359DD" w:rsidRDefault="001F27D2" w:rsidP="008359DD">
            <w:pPr>
              <w:spacing w:before="0" w:after="0"/>
              <w:rPr>
                <w:rFonts w:cs="Calibri"/>
                <w:color w:val="000000"/>
                <w:sz w:val="22"/>
                <w:szCs w:val="22"/>
              </w:rPr>
            </w:pPr>
            <w:r w:rsidRPr="008359DD">
              <w:rPr>
                <w:rFonts w:cs="Calibri"/>
                <w:color w:val="000000"/>
                <w:sz w:val="22"/>
                <w:szCs w:val="22"/>
              </w:rPr>
              <w:t>4 - Rent a more suitable from a housing association</w:t>
            </w:r>
          </w:p>
        </w:tc>
        <w:tc>
          <w:tcPr>
            <w:tcW w:w="394" w:type="pct"/>
            <w:shd w:val="clear" w:color="auto" w:fill="auto"/>
            <w:noWrap/>
            <w:vAlign w:val="center"/>
            <w:hideMark/>
          </w:tcPr>
          <w:p w14:paraId="6B602FEF"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357</w:t>
            </w:r>
          </w:p>
        </w:tc>
        <w:tc>
          <w:tcPr>
            <w:tcW w:w="440" w:type="pct"/>
            <w:shd w:val="clear" w:color="auto" w:fill="auto"/>
            <w:noWrap/>
            <w:vAlign w:val="center"/>
            <w:hideMark/>
          </w:tcPr>
          <w:p w14:paraId="641BCA19"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222</w:t>
            </w:r>
          </w:p>
        </w:tc>
        <w:tc>
          <w:tcPr>
            <w:tcW w:w="440" w:type="pct"/>
            <w:shd w:val="clear" w:color="auto" w:fill="auto"/>
            <w:noWrap/>
            <w:vAlign w:val="center"/>
            <w:hideMark/>
          </w:tcPr>
          <w:p w14:paraId="19251F0A"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249</w:t>
            </w:r>
          </w:p>
        </w:tc>
        <w:tc>
          <w:tcPr>
            <w:tcW w:w="440" w:type="pct"/>
            <w:shd w:val="clear" w:color="auto" w:fill="auto"/>
            <w:noWrap/>
            <w:vAlign w:val="center"/>
            <w:hideMark/>
          </w:tcPr>
          <w:p w14:paraId="40248312"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221</w:t>
            </w:r>
          </w:p>
        </w:tc>
        <w:tc>
          <w:tcPr>
            <w:tcW w:w="440" w:type="pct"/>
            <w:shd w:val="clear" w:color="auto" w:fill="auto"/>
            <w:noWrap/>
            <w:vAlign w:val="center"/>
            <w:hideMark/>
          </w:tcPr>
          <w:p w14:paraId="53C52B78"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58</w:t>
            </w:r>
          </w:p>
        </w:tc>
        <w:tc>
          <w:tcPr>
            <w:tcW w:w="440" w:type="pct"/>
            <w:shd w:val="clear" w:color="auto" w:fill="auto"/>
            <w:noWrap/>
            <w:vAlign w:val="center"/>
            <w:hideMark/>
          </w:tcPr>
          <w:p w14:paraId="4E2183F1"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217</w:t>
            </w:r>
          </w:p>
        </w:tc>
        <w:tc>
          <w:tcPr>
            <w:tcW w:w="440" w:type="pct"/>
            <w:shd w:val="clear" w:color="auto" w:fill="auto"/>
            <w:noWrap/>
            <w:vAlign w:val="center"/>
            <w:hideMark/>
          </w:tcPr>
          <w:p w14:paraId="76CF9D39"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1324</w:t>
            </w:r>
          </w:p>
        </w:tc>
      </w:tr>
      <w:tr w:rsidR="001F27D2" w:rsidRPr="008359DD" w14:paraId="7850C545" w14:textId="77777777" w:rsidTr="009170F6">
        <w:trPr>
          <w:trHeight w:val="340"/>
        </w:trPr>
        <w:tc>
          <w:tcPr>
            <w:tcW w:w="1967" w:type="pct"/>
            <w:shd w:val="clear" w:color="auto" w:fill="auto"/>
            <w:vAlign w:val="bottom"/>
            <w:hideMark/>
          </w:tcPr>
          <w:p w14:paraId="55FD13BD" w14:textId="77777777" w:rsidR="001F27D2" w:rsidRPr="008359DD" w:rsidRDefault="001F27D2" w:rsidP="008359DD">
            <w:pPr>
              <w:spacing w:before="0" w:after="0"/>
              <w:rPr>
                <w:rFonts w:cs="Calibri"/>
                <w:color w:val="000000"/>
                <w:sz w:val="22"/>
                <w:szCs w:val="22"/>
              </w:rPr>
            </w:pPr>
            <w:r w:rsidRPr="008359DD">
              <w:rPr>
                <w:rFonts w:cs="Calibri"/>
                <w:color w:val="000000"/>
                <w:sz w:val="22"/>
                <w:szCs w:val="22"/>
              </w:rPr>
              <w:t>5 - Extra care housing - Renting</w:t>
            </w:r>
          </w:p>
        </w:tc>
        <w:tc>
          <w:tcPr>
            <w:tcW w:w="394" w:type="pct"/>
            <w:shd w:val="clear" w:color="auto" w:fill="auto"/>
            <w:noWrap/>
            <w:vAlign w:val="center"/>
            <w:hideMark/>
          </w:tcPr>
          <w:p w14:paraId="68EB2BB3"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759</w:t>
            </w:r>
          </w:p>
        </w:tc>
        <w:tc>
          <w:tcPr>
            <w:tcW w:w="440" w:type="pct"/>
            <w:shd w:val="clear" w:color="auto" w:fill="auto"/>
            <w:noWrap/>
            <w:vAlign w:val="center"/>
            <w:hideMark/>
          </w:tcPr>
          <w:p w14:paraId="20F85D67"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710</w:t>
            </w:r>
          </w:p>
        </w:tc>
        <w:tc>
          <w:tcPr>
            <w:tcW w:w="440" w:type="pct"/>
            <w:shd w:val="clear" w:color="auto" w:fill="auto"/>
            <w:noWrap/>
            <w:vAlign w:val="center"/>
            <w:hideMark/>
          </w:tcPr>
          <w:p w14:paraId="7323F70E"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657</w:t>
            </w:r>
          </w:p>
        </w:tc>
        <w:tc>
          <w:tcPr>
            <w:tcW w:w="440" w:type="pct"/>
            <w:shd w:val="clear" w:color="auto" w:fill="auto"/>
            <w:noWrap/>
            <w:vAlign w:val="center"/>
            <w:hideMark/>
          </w:tcPr>
          <w:p w14:paraId="45C9CE98"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500</w:t>
            </w:r>
          </w:p>
        </w:tc>
        <w:tc>
          <w:tcPr>
            <w:tcW w:w="440" w:type="pct"/>
            <w:shd w:val="clear" w:color="auto" w:fill="auto"/>
            <w:noWrap/>
            <w:vAlign w:val="center"/>
            <w:hideMark/>
          </w:tcPr>
          <w:p w14:paraId="6A077675"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268</w:t>
            </w:r>
          </w:p>
        </w:tc>
        <w:tc>
          <w:tcPr>
            <w:tcW w:w="440" w:type="pct"/>
            <w:shd w:val="clear" w:color="auto" w:fill="auto"/>
            <w:noWrap/>
            <w:vAlign w:val="center"/>
            <w:hideMark/>
          </w:tcPr>
          <w:p w14:paraId="3B584D28"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440</w:t>
            </w:r>
          </w:p>
        </w:tc>
        <w:tc>
          <w:tcPr>
            <w:tcW w:w="440" w:type="pct"/>
            <w:shd w:val="clear" w:color="auto" w:fill="auto"/>
            <w:noWrap/>
            <w:vAlign w:val="center"/>
            <w:hideMark/>
          </w:tcPr>
          <w:p w14:paraId="4594CB87"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3334</w:t>
            </w:r>
          </w:p>
        </w:tc>
      </w:tr>
      <w:tr w:rsidR="001F27D2" w:rsidRPr="008359DD" w14:paraId="4D096C22" w14:textId="77777777" w:rsidTr="009170F6">
        <w:trPr>
          <w:trHeight w:val="340"/>
        </w:trPr>
        <w:tc>
          <w:tcPr>
            <w:tcW w:w="1967" w:type="pct"/>
            <w:shd w:val="clear" w:color="auto" w:fill="auto"/>
            <w:vAlign w:val="bottom"/>
            <w:hideMark/>
          </w:tcPr>
          <w:p w14:paraId="4DACCFFE" w14:textId="61F50963" w:rsidR="001F27D2" w:rsidRPr="008359DD" w:rsidRDefault="001F27D2" w:rsidP="008359DD">
            <w:pPr>
              <w:spacing w:before="0" w:after="0"/>
              <w:rPr>
                <w:rFonts w:cs="Calibri"/>
                <w:color w:val="000000"/>
                <w:sz w:val="22"/>
                <w:szCs w:val="22"/>
              </w:rPr>
            </w:pPr>
            <w:r w:rsidRPr="008359DD">
              <w:rPr>
                <w:rFonts w:cs="Calibri"/>
                <w:color w:val="000000"/>
                <w:sz w:val="22"/>
                <w:szCs w:val="22"/>
              </w:rPr>
              <w:t xml:space="preserve">6 - Extra care housing </w:t>
            </w:r>
            <w:r w:rsidR="00605239">
              <w:rPr>
                <w:rFonts w:cs="Calibri"/>
                <w:color w:val="000000"/>
                <w:sz w:val="22"/>
                <w:szCs w:val="22"/>
              </w:rPr>
              <w:t>–</w:t>
            </w:r>
            <w:r w:rsidRPr="008359DD">
              <w:rPr>
                <w:rFonts w:cs="Calibri"/>
                <w:color w:val="000000"/>
                <w:sz w:val="22"/>
                <w:szCs w:val="22"/>
              </w:rPr>
              <w:t xml:space="preserve"> Buying</w:t>
            </w:r>
          </w:p>
        </w:tc>
        <w:tc>
          <w:tcPr>
            <w:tcW w:w="394" w:type="pct"/>
            <w:shd w:val="clear" w:color="auto" w:fill="auto"/>
            <w:noWrap/>
            <w:vAlign w:val="center"/>
            <w:hideMark/>
          </w:tcPr>
          <w:p w14:paraId="79B41AB6"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901</w:t>
            </w:r>
          </w:p>
        </w:tc>
        <w:tc>
          <w:tcPr>
            <w:tcW w:w="440" w:type="pct"/>
            <w:shd w:val="clear" w:color="auto" w:fill="auto"/>
            <w:noWrap/>
            <w:vAlign w:val="center"/>
            <w:hideMark/>
          </w:tcPr>
          <w:p w14:paraId="0D71B759"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823</w:t>
            </w:r>
          </w:p>
        </w:tc>
        <w:tc>
          <w:tcPr>
            <w:tcW w:w="440" w:type="pct"/>
            <w:shd w:val="clear" w:color="auto" w:fill="auto"/>
            <w:noWrap/>
            <w:vAlign w:val="center"/>
            <w:hideMark/>
          </w:tcPr>
          <w:p w14:paraId="5E93954A"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768</w:t>
            </w:r>
          </w:p>
        </w:tc>
        <w:tc>
          <w:tcPr>
            <w:tcW w:w="440" w:type="pct"/>
            <w:shd w:val="clear" w:color="auto" w:fill="auto"/>
            <w:noWrap/>
            <w:vAlign w:val="center"/>
            <w:hideMark/>
          </w:tcPr>
          <w:p w14:paraId="5ED32E6B"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466</w:t>
            </w:r>
          </w:p>
        </w:tc>
        <w:tc>
          <w:tcPr>
            <w:tcW w:w="440" w:type="pct"/>
            <w:shd w:val="clear" w:color="auto" w:fill="auto"/>
            <w:noWrap/>
            <w:vAlign w:val="center"/>
            <w:hideMark/>
          </w:tcPr>
          <w:p w14:paraId="66A8A658"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196</w:t>
            </w:r>
          </w:p>
        </w:tc>
        <w:tc>
          <w:tcPr>
            <w:tcW w:w="440" w:type="pct"/>
            <w:shd w:val="clear" w:color="auto" w:fill="auto"/>
            <w:noWrap/>
            <w:vAlign w:val="center"/>
            <w:hideMark/>
          </w:tcPr>
          <w:p w14:paraId="6F027840"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534</w:t>
            </w:r>
          </w:p>
        </w:tc>
        <w:tc>
          <w:tcPr>
            <w:tcW w:w="440" w:type="pct"/>
            <w:shd w:val="clear" w:color="auto" w:fill="auto"/>
            <w:noWrap/>
            <w:vAlign w:val="center"/>
            <w:hideMark/>
          </w:tcPr>
          <w:p w14:paraId="4CCC19DF"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3688</w:t>
            </w:r>
          </w:p>
        </w:tc>
      </w:tr>
      <w:tr w:rsidR="001F27D2" w:rsidRPr="008359DD" w14:paraId="4B7A4846" w14:textId="77777777" w:rsidTr="009170F6">
        <w:trPr>
          <w:trHeight w:val="340"/>
        </w:trPr>
        <w:tc>
          <w:tcPr>
            <w:tcW w:w="1967" w:type="pct"/>
            <w:shd w:val="clear" w:color="auto" w:fill="auto"/>
            <w:vAlign w:val="bottom"/>
            <w:hideMark/>
          </w:tcPr>
          <w:p w14:paraId="7D86324F" w14:textId="77777777" w:rsidR="001F27D2" w:rsidRPr="008359DD" w:rsidRDefault="001F27D2" w:rsidP="008359DD">
            <w:pPr>
              <w:spacing w:before="0" w:after="0"/>
              <w:rPr>
                <w:rFonts w:cs="Calibri"/>
                <w:color w:val="000000"/>
                <w:sz w:val="22"/>
                <w:szCs w:val="22"/>
              </w:rPr>
            </w:pPr>
            <w:r w:rsidRPr="008359DD">
              <w:rPr>
                <w:rFonts w:cs="Calibri"/>
                <w:color w:val="000000"/>
                <w:sz w:val="22"/>
                <w:szCs w:val="22"/>
              </w:rPr>
              <w:t>7 - Extra care housing - Shared ownership</w:t>
            </w:r>
          </w:p>
        </w:tc>
        <w:tc>
          <w:tcPr>
            <w:tcW w:w="394" w:type="pct"/>
            <w:shd w:val="clear" w:color="auto" w:fill="auto"/>
            <w:noWrap/>
            <w:vAlign w:val="center"/>
            <w:hideMark/>
          </w:tcPr>
          <w:p w14:paraId="2044F85D"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174</w:t>
            </w:r>
          </w:p>
        </w:tc>
        <w:tc>
          <w:tcPr>
            <w:tcW w:w="440" w:type="pct"/>
            <w:shd w:val="clear" w:color="auto" w:fill="auto"/>
            <w:noWrap/>
            <w:vAlign w:val="center"/>
            <w:hideMark/>
          </w:tcPr>
          <w:p w14:paraId="10F8BE69"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202</w:t>
            </w:r>
          </w:p>
        </w:tc>
        <w:tc>
          <w:tcPr>
            <w:tcW w:w="440" w:type="pct"/>
            <w:shd w:val="clear" w:color="auto" w:fill="auto"/>
            <w:noWrap/>
            <w:vAlign w:val="center"/>
            <w:hideMark/>
          </w:tcPr>
          <w:p w14:paraId="31AD8595"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288</w:t>
            </w:r>
          </w:p>
        </w:tc>
        <w:tc>
          <w:tcPr>
            <w:tcW w:w="440" w:type="pct"/>
            <w:shd w:val="clear" w:color="auto" w:fill="auto"/>
            <w:noWrap/>
            <w:vAlign w:val="center"/>
            <w:hideMark/>
          </w:tcPr>
          <w:p w14:paraId="68EA6AE3"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111</w:t>
            </w:r>
          </w:p>
        </w:tc>
        <w:tc>
          <w:tcPr>
            <w:tcW w:w="440" w:type="pct"/>
            <w:shd w:val="clear" w:color="auto" w:fill="auto"/>
            <w:noWrap/>
            <w:vAlign w:val="center"/>
            <w:hideMark/>
          </w:tcPr>
          <w:p w14:paraId="0413646E"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64</w:t>
            </w:r>
          </w:p>
        </w:tc>
        <w:tc>
          <w:tcPr>
            <w:tcW w:w="440" w:type="pct"/>
            <w:shd w:val="clear" w:color="auto" w:fill="auto"/>
            <w:noWrap/>
            <w:vAlign w:val="center"/>
            <w:hideMark/>
          </w:tcPr>
          <w:p w14:paraId="77007AE4"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131</w:t>
            </w:r>
          </w:p>
        </w:tc>
        <w:tc>
          <w:tcPr>
            <w:tcW w:w="440" w:type="pct"/>
            <w:shd w:val="clear" w:color="auto" w:fill="auto"/>
            <w:noWrap/>
            <w:vAlign w:val="center"/>
            <w:hideMark/>
          </w:tcPr>
          <w:p w14:paraId="6877801A"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970</w:t>
            </w:r>
          </w:p>
        </w:tc>
      </w:tr>
      <w:tr w:rsidR="001F27D2" w:rsidRPr="008359DD" w14:paraId="68F3D020" w14:textId="77777777" w:rsidTr="009170F6">
        <w:trPr>
          <w:trHeight w:val="340"/>
        </w:trPr>
        <w:tc>
          <w:tcPr>
            <w:tcW w:w="1967" w:type="pct"/>
            <w:shd w:val="clear" w:color="auto" w:fill="auto"/>
            <w:vAlign w:val="bottom"/>
            <w:hideMark/>
          </w:tcPr>
          <w:p w14:paraId="2D3395AC" w14:textId="77777777" w:rsidR="001F27D2" w:rsidRPr="008359DD" w:rsidRDefault="001F27D2" w:rsidP="008359DD">
            <w:pPr>
              <w:spacing w:before="0" w:after="0"/>
              <w:rPr>
                <w:rFonts w:cs="Calibri"/>
                <w:color w:val="000000"/>
                <w:sz w:val="22"/>
                <w:szCs w:val="22"/>
              </w:rPr>
            </w:pPr>
            <w:r w:rsidRPr="008359DD">
              <w:rPr>
                <w:rFonts w:cs="Calibri"/>
                <w:color w:val="000000"/>
                <w:sz w:val="22"/>
                <w:szCs w:val="22"/>
              </w:rPr>
              <w:t>8 - Sheltered accommodation - Renting</w:t>
            </w:r>
          </w:p>
        </w:tc>
        <w:tc>
          <w:tcPr>
            <w:tcW w:w="394" w:type="pct"/>
            <w:shd w:val="clear" w:color="auto" w:fill="auto"/>
            <w:noWrap/>
            <w:vAlign w:val="center"/>
            <w:hideMark/>
          </w:tcPr>
          <w:p w14:paraId="2F01C512"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898</w:t>
            </w:r>
          </w:p>
        </w:tc>
        <w:tc>
          <w:tcPr>
            <w:tcW w:w="440" w:type="pct"/>
            <w:shd w:val="clear" w:color="auto" w:fill="auto"/>
            <w:noWrap/>
            <w:vAlign w:val="center"/>
            <w:hideMark/>
          </w:tcPr>
          <w:p w14:paraId="71F2185B"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806</w:t>
            </w:r>
          </w:p>
        </w:tc>
        <w:tc>
          <w:tcPr>
            <w:tcW w:w="440" w:type="pct"/>
            <w:shd w:val="clear" w:color="auto" w:fill="auto"/>
            <w:noWrap/>
            <w:vAlign w:val="center"/>
            <w:hideMark/>
          </w:tcPr>
          <w:p w14:paraId="6F9D4C93"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639</w:t>
            </w:r>
          </w:p>
        </w:tc>
        <w:tc>
          <w:tcPr>
            <w:tcW w:w="440" w:type="pct"/>
            <w:shd w:val="clear" w:color="auto" w:fill="auto"/>
            <w:noWrap/>
            <w:vAlign w:val="center"/>
            <w:hideMark/>
          </w:tcPr>
          <w:p w14:paraId="008F8470"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552</w:t>
            </w:r>
          </w:p>
        </w:tc>
        <w:tc>
          <w:tcPr>
            <w:tcW w:w="440" w:type="pct"/>
            <w:shd w:val="clear" w:color="auto" w:fill="auto"/>
            <w:noWrap/>
            <w:vAlign w:val="center"/>
            <w:hideMark/>
          </w:tcPr>
          <w:p w14:paraId="1CD878DB"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273</w:t>
            </w:r>
          </w:p>
        </w:tc>
        <w:tc>
          <w:tcPr>
            <w:tcW w:w="440" w:type="pct"/>
            <w:shd w:val="clear" w:color="auto" w:fill="auto"/>
            <w:noWrap/>
            <w:vAlign w:val="center"/>
            <w:hideMark/>
          </w:tcPr>
          <w:p w14:paraId="37A13DEE"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460</w:t>
            </w:r>
          </w:p>
        </w:tc>
        <w:tc>
          <w:tcPr>
            <w:tcW w:w="440" w:type="pct"/>
            <w:shd w:val="clear" w:color="auto" w:fill="auto"/>
            <w:noWrap/>
            <w:vAlign w:val="center"/>
            <w:hideMark/>
          </w:tcPr>
          <w:p w14:paraId="3FD1A6AB"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3628</w:t>
            </w:r>
          </w:p>
        </w:tc>
      </w:tr>
      <w:tr w:rsidR="001F27D2" w:rsidRPr="008359DD" w14:paraId="3CB297EC" w14:textId="77777777" w:rsidTr="009170F6">
        <w:trPr>
          <w:trHeight w:val="340"/>
        </w:trPr>
        <w:tc>
          <w:tcPr>
            <w:tcW w:w="1967" w:type="pct"/>
            <w:shd w:val="clear" w:color="auto" w:fill="auto"/>
            <w:vAlign w:val="bottom"/>
            <w:hideMark/>
          </w:tcPr>
          <w:p w14:paraId="6C844BF1" w14:textId="77777777" w:rsidR="001F27D2" w:rsidRPr="008359DD" w:rsidRDefault="001F27D2" w:rsidP="008359DD">
            <w:pPr>
              <w:spacing w:before="0" w:after="0"/>
              <w:rPr>
                <w:rFonts w:cs="Calibri"/>
                <w:color w:val="000000"/>
                <w:sz w:val="22"/>
                <w:szCs w:val="22"/>
              </w:rPr>
            </w:pPr>
            <w:r w:rsidRPr="008359DD">
              <w:rPr>
                <w:rFonts w:cs="Calibri"/>
                <w:color w:val="000000"/>
                <w:sz w:val="22"/>
                <w:szCs w:val="22"/>
              </w:rPr>
              <w:t>9 - Sheltered accommodation - Buying</w:t>
            </w:r>
          </w:p>
        </w:tc>
        <w:tc>
          <w:tcPr>
            <w:tcW w:w="394" w:type="pct"/>
            <w:shd w:val="clear" w:color="auto" w:fill="auto"/>
            <w:noWrap/>
            <w:vAlign w:val="center"/>
            <w:hideMark/>
          </w:tcPr>
          <w:p w14:paraId="2A62411B"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903</w:t>
            </w:r>
          </w:p>
        </w:tc>
        <w:tc>
          <w:tcPr>
            <w:tcW w:w="440" w:type="pct"/>
            <w:shd w:val="clear" w:color="auto" w:fill="auto"/>
            <w:noWrap/>
            <w:vAlign w:val="center"/>
            <w:hideMark/>
          </w:tcPr>
          <w:p w14:paraId="166879A9"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805</w:t>
            </w:r>
          </w:p>
        </w:tc>
        <w:tc>
          <w:tcPr>
            <w:tcW w:w="440" w:type="pct"/>
            <w:shd w:val="clear" w:color="auto" w:fill="auto"/>
            <w:noWrap/>
            <w:vAlign w:val="center"/>
            <w:hideMark/>
          </w:tcPr>
          <w:p w14:paraId="410FFB7F"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721</w:t>
            </w:r>
          </w:p>
        </w:tc>
        <w:tc>
          <w:tcPr>
            <w:tcW w:w="440" w:type="pct"/>
            <w:shd w:val="clear" w:color="auto" w:fill="auto"/>
            <w:noWrap/>
            <w:vAlign w:val="center"/>
            <w:hideMark/>
          </w:tcPr>
          <w:p w14:paraId="1D300C55"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439</w:t>
            </w:r>
          </w:p>
        </w:tc>
        <w:tc>
          <w:tcPr>
            <w:tcW w:w="440" w:type="pct"/>
            <w:shd w:val="clear" w:color="auto" w:fill="auto"/>
            <w:noWrap/>
            <w:vAlign w:val="center"/>
            <w:hideMark/>
          </w:tcPr>
          <w:p w14:paraId="5755E082"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162</w:t>
            </w:r>
          </w:p>
        </w:tc>
        <w:tc>
          <w:tcPr>
            <w:tcW w:w="440" w:type="pct"/>
            <w:shd w:val="clear" w:color="auto" w:fill="auto"/>
            <w:noWrap/>
            <w:vAlign w:val="center"/>
            <w:hideMark/>
          </w:tcPr>
          <w:p w14:paraId="1492CDF2"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442</w:t>
            </w:r>
          </w:p>
        </w:tc>
        <w:tc>
          <w:tcPr>
            <w:tcW w:w="440" w:type="pct"/>
            <w:shd w:val="clear" w:color="auto" w:fill="auto"/>
            <w:noWrap/>
            <w:vAlign w:val="center"/>
            <w:hideMark/>
          </w:tcPr>
          <w:p w14:paraId="5EF373E9"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3472</w:t>
            </w:r>
          </w:p>
        </w:tc>
      </w:tr>
      <w:tr w:rsidR="001F27D2" w:rsidRPr="008359DD" w14:paraId="52997E82" w14:textId="77777777" w:rsidTr="009170F6">
        <w:trPr>
          <w:trHeight w:val="340"/>
        </w:trPr>
        <w:tc>
          <w:tcPr>
            <w:tcW w:w="1967" w:type="pct"/>
            <w:shd w:val="clear" w:color="auto" w:fill="auto"/>
            <w:vAlign w:val="bottom"/>
            <w:hideMark/>
          </w:tcPr>
          <w:p w14:paraId="2A7B1041" w14:textId="77777777" w:rsidR="001F27D2" w:rsidRPr="008359DD" w:rsidRDefault="001F27D2" w:rsidP="008359DD">
            <w:pPr>
              <w:spacing w:before="0" w:after="0"/>
              <w:rPr>
                <w:rFonts w:cs="Calibri"/>
                <w:color w:val="000000"/>
                <w:sz w:val="22"/>
                <w:szCs w:val="22"/>
              </w:rPr>
            </w:pPr>
            <w:r w:rsidRPr="008359DD">
              <w:rPr>
                <w:rFonts w:cs="Calibri"/>
                <w:color w:val="000000"/>
                <w:sz w:val="22"/>
                <w:szCs w:val="22"/>
              </w:rPr>
              <w:t>10 - Sheltered accommodation - Shared ownership</w:t>
            </w:r>
          </w:p>
        </w:tc>
        <w:tc>
          <w:tcPr>
            <w:tcW w:w="394" w:type="pct"/>
            <w:shd w:val="clear" w:color="auto" w:fill="auto"/>
            <w:noWrap/>
            <w:vAlign w:val="center"/>
            <w:hideMark/>
          </w:tcPr>
          <w:p w14:paraId="4E2B4715"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174</w:t>
            </w:r>
          </w:p>
        </w:tc>
        <w:tc>
          <w:tcPr>
            <w:tcW w:w="440" w:type="pct"/>
            <w:shd w:val="clear" w:color="auto" w:fill="auto"/>
            <w:noWrap/>
            <w:vAlign w:val="center"/>
            <w:hideMark/>
          </w:tcPr>
          <w:p w14:paraId="6D52D6AE"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222</w:t>
            </w:r>
          </w:p>
        </w:tc>
        <w:tc>
          <w:tcPr>
            <w:tcW w:w="440" w:type="pct"/>
            <w:shd w:val="clear" w:color="auto" w:fill="auto"/>
            <w:noWrap/>
            <w:vAlign w:val="center"/>
            <w:hideMark/>
          </w:tcPr>
          <w:p w14:paraId="1E02BA30"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222</w:t>
            </w:r>
          </w:p>
        </w:tc>
        <w:tc>
          <w:tcPr>
            <w:tcW w:w="440" w:type="pct"/>
            <w:shd w:val="clear" w:color="auto" w:fill="auto"/>
            <w:noWrap/>
            <w:vAlign w:val="center"/>
            <w:hideMark/>
          </w:tcPr>
          <w:p w14:paraId="69AD8958"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98</w:t>
            </w:r>
          </w:p>
        </w:tc>
        <w:tc>
          <w:tcPr>
            <w:tcW w:w="440" w:type="pct"/>
            <w:shd w:val="clear" w:color="auto" w:fill="auto"/>
            <w:noWrap/>
            <w:vAlign w:val="center"/>
            <w:hideMark/>
          </w:tcPr>
          <w:p w14:paraId="417AE0DE"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53</w:t>
            </w:r>
          </w:p>
        </w:tc>
        <w:tc>
          <w:tcPr>
            <w:tcW w:w="440" w:type="pct"/>
            <w:shd w:val="clear" w:color="auto" w:fill="auto"/>
            <w:noWrap/>
            <w:vAlign w:val="center"/>
            <w:hideMark/>
          </w:tcPr>
          <w:p w14:paraId="22116DB5"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131</w:t>
            </w:r>
          </w:p>
        </w:tc>
        <w:tc>
          <w:tcPr>
            <w:tcW w:w="440" w:type="pct"/>
            <w:shd w:val="clear" w:color="auto" w:fill="auto"/>
            <w:noWrap/>
            <w:vAlign w:val="center"/>
            <w:hideMark/>
          </w:tcPr>
          <w:p w14:paraId="11AA700E"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899</w:t>
            </w:r>
          </w:p>
        </w:tc>
      </w:tr>
      <w:tr w:rsidR="001F27D2" w:rsidRPr="008359DD" w14:paraId="3054F13D" w14:textId="77777777" w:rsidTr="009170F6">
        <w:trPr>
          <w:trHeight w:val="340"/>
        </w:trPr>
        <w:tc>
          <w:tcPr>
            <w:tcW w:w="1967" w:type="pct"/>
            <w:shd w:val="clear" w:color="auto" w:fill="auto"/>
            <w:vAlign w:val="bottom"/>
            <w:hideMark/>
          </w:tcPr>
          <w:p w14:paraId="65972E9F" w14:textId="77777777" w:rsidR="001F27D2" w:rsidRPr="008359DD" w:rsidRDefault="001F27D2" w:rsidP="008359DD">
            <w:pPr>
              <w:spacing w:before="0" w:after="0"/>
              <w:rPr>
                <w:rFonts w:cs="Calibri"/>
                <w:color w:val="000000"/>
                <w:sz w:val="22"/>
                <w:szCs w:val="22"/>
              </w:rPr>
            </w:pPr>
            <w:r w:rsidRPr="008359DD">
              <w:rPr>
                <w:rFonts w:cs="Calibri"/>
                <w:color w:val="000000"/>
                <w:sz w:val="22"/>
                <w:szCs w:val="22"/>
              </w:rPr>
              <w:t>11 - Residential care home</w:t>
            </w:r>
          </w:p>
        </w:tc>
        <w:tc>
          <w:tcPr>
            <w:tcW w:w="394" w:type="pct"/>
            <w:shd w:val="clear" w:color="auto" w:fill="auto"/>
            <w:noWrap/>
            <w:vAlign w:val="center"/>
            <w:hideMark/>
          </w:tcPr>
          <w:p w14:paraId="73E46B17"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653</w:t>
            </w:r>
          </w:p>
        </w:tc>
        <w:tc>
          <w:tcPr>
            <w:tcW w:w="440" w:type="pct"/>
            <w:shd w:val="clear" w:color="auto" w:fill="auto"/>
            <w:noWrap/>
            <w:vAlign w:val="center"/>
            <w:hideMark/>
          </w:tcPr>
          <w:p w14:paraId="1CED4FB0"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616</w:t>
            </w:r>
          </w:p>
        </w:tc>
        <w:tc>
          <w:tcPr>
            <w:tcW w:w="440" w:type="pct"/>
            <w:shd w:val="clear" w:color="auto" w:fill="auto"/>
            <w:noWrap/>
            <w:vAlign w:val="center"/>
            <w:hideMark/>
          </w:tcPr>
          <w:p w14:paraId="5716D001"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649</w:t>
            </w:r>
          </w:p>
        </w:tc>
        <w:tc>
          <w:tcPr>
            <w:tcW w:w="440" w:type="pct"/>
            <w:shd w:val="clear" w:color="auto" w:fill="auto"/>
            <w:noWrap/>
            <w:vAlign w:val="center"/>
            <w:hideMark/>
          </w:tcPr>
          <w:p w14:paraId="213691A1"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401</w:t>
            </w:r>
          </w:p>
        </w:tc>
        <w:tc>
          <w:tcPr>
            <w:tcW w:w="440" w:type="pct"/>
            <w:shd w:val="clear" w:color="auto" w:fill="auto"/>
            <w:noWrap/>
            <w:vAlign w:val="center"/>
            <w:hideMark/>
          </w:tcPr>
          <w:p w14:paraId="457D8A1B"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186</w:t>
            </w:r>
          </w:p>
        </w:tc>
        <w:tc>
          <w:tcPr>
            <w:tcW w:w="440" w:type="pct"/>
            <w:shd w:val="clear" w:color="auto" w:fill="auto"/>
            <w:noWrap/>
            <w:vAlign w:val="center"/>
            <w:hideMark/>
          </w:tcPr>
          <w:p w14:paraId="7C28059F"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425</w:t>
            </w:r>
          </w:p>
        </w:tc>
        <w:tc>
          <w:tcPr>
            <w:tcW w:w="440" w:type="pct"/>
            <w:shd w:val="clear" w:color="auto" w:fill="auto"/>
            <w:noWrap/>
            <w:vAlign w:val="center"/>
            <w:hideMark/>
          </w:tcPr>
          <w:p w14:paraId="266CA078"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2931</w:t>
            </w:r>
          </w:p>
        </w:tc>
      </w:tr>
      <w:tr w:rsidR="001F27D2" w:rsidRPr="008359DD" w14:paraId="3DE8107E" w14:textId="77777777" w:rsidTr="009170F6">
        <w:trPr>
          <w:trHeight w:val="340"/>
        </w:trPr>
        <w:tc>
          <w:tcPr>
            <w:tcW w:w="1967" w:type="pct"/>
            <w:shd w:val="clear" w:color="auto" w:fill="auto"/>
            <w:vAlign w:val="bottom"/>
            <w:hideMark/>
          </w:tcPr>
          <w:p w14:paraId="45B77C3D" w14:textId="77777777" w:rsidR="001F27D2" w:rsidRPr="008359DD" w:rsidRDefault="001F27D2" w:rsidP="008359DD">
            <w:pPr>
              <w:spacing w:before="0" w:after="0"/>
              <w:rPr>
                <w:rFonts w:cs="Calibri"/>
                <w:color w:val="000000"/>
                <w:sz w:val="22"/>
                <w:szCs w:val="22"/>
              </w:rPr>
            </w:pPr>
            <w:r w:rsidRPr="008359DD">
              <w:rPr>
                <w:rFonts w:cs="Calibri"/>
                <w:color w:val="000000"/>
                <w:sz w:val="22"/>
                <w:szCs w:val="22"/>
              </w:rPr>
              <w:t>12 - Go to live with children or other relatives/friends</w:t>
            </w:r>
          </w:p>
        </w:tc>
        <w:tc>
          <w:tcPr>
            <w:tcW w:w="394" w:type="pct"/>
            <w:shd w:val="clear" w:color="auto" w:fill="auto"/>
            <w:noWrap/>
            <w:vAlign w:val="center"/>
            <w:hideMark/>
          </w:tcPr>
          <w:p w14:paraId="2B260A27"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200</w:t>
            </w:r>
          </w:p>
        </w:tc>
        <w:tc>
          <w:tcPr>
            <w:tcW w:w="440" w:type="pct"/>
            <w:shd w:val="clear" w:color="auto" w:fill="auto"/>
            <w:noWrap/>
            <w:vAlign w:val="center"/>
            <w:hideMark/>
          </w:tcPr>
          <w:p w14:paraId="6D603369"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279</w:t>
            </w:r>
          </w:p>
        </w:tc>
        <w:tc>
          <w:tcPr>
            <w:tcW w:w="440" w:type="pct"/>
            <w:shd w:val="clear" w:color="auto" w:fill="auto"/>
            <w:noWrap/>
            <w:vAlign w:val="center"/>
            <w:hideMark/>
          </w:tcPr>
          <w:p w14:paraId="1EA13AA8"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288</w:t>
            </w:r>
          </w:p>
        </w:tc>
        <w:tc>
          <w:tcPr>
            <w:tcW w:w="440" w:type="pct"/>
            <w:shd w:val="clear" w:color="auto" w:fill="auto"/>
            <w:noWrap/>
            <w:vAlign w:val="center"/>
            <w:hideMark/>
          </w:tcPr>
          <w:p w14:paraId="2A540E15"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163</w:t>
            </w:r>
          </w:p>
        </w:tc>
        <w:tc>
          <w:tcPr>
            <w:tcW w:w="440" w:type="pct"/>
            <w:shd w:val="clear" w:color="auto" w:fill="auto"/>
            <w:noWrap/>
            <w:vAlign w:val="center"/>
            <w:hideMark/>
          </w:tcPr>
          <w:p w14:paraId="75AD074E"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142</w:t>
            </w:r>
          </w:p>
        </w:tc>
        <w:tc>
          <w:tcPr>
            <w:tcW w:w="440" w:type="pct"/>
            <w:shd w:val="clear" w:color="auto" w:fill="auto"/>
            <w:noWrap/>
            <w:vAlign w:val="center"/>
            <w:hideMark/>
          </w:tcPr>
          <w:p w14:paraId="09FE26B6"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178</w:t>
            </w:r>
          </w:p>
        </w:tc>
        <w:tc>
          <w:tcPr>
            <w:tcW w:w="440" w:type="pct"/>
            <w:shd w:val="clear" w:color="auto" w:fill="auto"/>
            <w:noWrap/>
            <w:vAlign w:val="center"/>
            <w:hideMark/>
          </w:tcPr>
          <w:p w14:paraId="761FD2D4"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1251</w:t>
            </w:r>
          </w:p>
        </w:tc>
      </w:tr>
      <w:tr w:rsidR="001F27D2" w:rsidRPr="008359DD" w14:paraId="79074AC0" w14:textId="77777777" w:rsidTr="009170F6">
        <w:trPr>
          <w:trHeight w:val="340"/>
        </w:trPr>
        <w:tc>
          <w:tcPr>
            <w:tcW w:w="1967" w:type="pct"/>
            <w:shd w:val="clear" w:color="auto" w:fill="auto"/>
            <w:vAlign w:val="bottom"/>
            <w:hideMark/>
          </w:tcPr>
          <w:p w14:paraId="0ACD86D2" w14:textId="77777777" w:rsidR="001F27D2" w:rsidRPr="008359DD" w:rsidRDefault="001F27D2" w:rsidP="008359DD">
            <w:pPr>
              <w:spacing w:before="0" w:after="0"/>
              <w:rPr>
                <w:rFonts w:cs="Calibri"/>
                <w:color w:val="000000"/>
                <w:sz w:val="22"/>
                <w:szCs w:val="22"/>
              </w:rPr>
            </w:pPr>
            <w:r w:rsidRPr="008359DD">
              <w:rPr>
                <w:rFonts w:cs="Calibri"/>
                <w:color w:val="000000"/>
                <w:sz w:val="22"/>
                <w:szCs w:val="22"/>
              </w:rPr>
              <w:t>13 – Other</w:t>
            </w:r>
          </w:p>
        </w:tc>
        <w:tc>
          <w:tcPr>
            <w:tcW w:w="394" w:type="pct"/>
            <w:shd w:val="clear" w:color="auto" w:fill="auto"/>
            <w:noWrap/>
            <w:vAlign w:val="center"/>
            <w:hideMark/>
          </w:tcPr>
          <w:p w14:paraId="09B9DFFD"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550</w:t>
            </w:r>
          </w:p>
        </w:tc>
        <w:tc>
          <w:tcPr>
            <w:tcW w:w="440" w:type="pct"/>
            <w:shd w:val="clear" w:color="auto" w:fill="auto"/>
            <w:noWrap/>
            <w:vAlign w:val="center"/>
            <w:hideMark/>
          </w:tcPr>
          <w:p w14:paraId="3AD29B24"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287</w:t>
            </w:r>
          </w:p>
        </w:tc>
        <w:tc>
          <w:tcPr>
            <w:tcW w:w="440" w:type="pct"/>
            <w:shd w:val="clear" w:color="auto" w:fill="auto"/>
            <w:noWrap/>
            <w:vAlign w:val="center"/>
            <w:hideMark/>
          </w:tcPr>
          <w:p w14:paraId="3C9690B1"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296</w:t>
            </w:r>
          </w:p>
        </w:tc>
        <w:tc>
          <w:tcPr>
            <w:tcW w:w="440" w:type="pct"/>
            <w:shd w:val="clear" w:color="auto" w:fill="auto"/>
            <w:noWrap/>
            <w:vAlign w:val="center"/>
            <w:hideMark/>
          </w:tcPr>
          <w:p w14:paraId="77399D41"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258</w:t>
            </w:r>
          </w:p>
        </w:tc>
        <w:tc>
          <w:tcPr>
            <w:tcW w:w="440" w:type="pct"/>
            <w:shd w:val="clear" w:color="auto" w:fill="auto"/>
            <w:noWrap/>
            <w:vAlign w:val="center"/>
            <w:hideMark/>
          </w:tcPr>
          <w:p w14:paraId="7852C756"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80</w:t>
            </w:r>
          </w:p>
        </w:tc>
        <w:tc>
          <w:tcPr>
            <w:tcW w:w="440" w:type="pct"/>
            <w:shd w:val="clear" w:color="auto" w:fill="auto"/>
            <w:noWrap/>
            <w:vAlign w:val="center"/>
            <w:hideMark/>
          </w:tcPr>
          <w:p w14:paraId="1AB630D8"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119</w:t>
            </w:r>
          </w:p>
        </w:tc>
        <w:tc>
          <w:tcPr>
            <w:tcW w:w="440" w:type="pct"/>
            <w:shd w:val="clear" w:color="auto" w:fill="auto"/>
            <w:noWrap/>
            <w:vAlign w:val="center"/>
            <w:hideMark/>
          </w:tcPr>
          <w:p w14:paraId="5A7C9905"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1590</w:t>
            </w:r>
          </w:p>
        </w:tc>
      </w:tr>
      <w:tr w:rsidR="001F27D2" w:rsidRPr="008359DD" w14:paraId="4A34E747" w14:textId="77777777" w:rsidTr="009170F6">
        <w:trPr>
          <w:trHeight w:val="340"/>
        </w:trPr>
        <w:tc>
          <w:tcPr>
            <w:tcW w:w="1967" w:type="pct"/>
            <w:shd w:val="clear" w:color="auto" w:fill="auto"/>
            <w:vAlign w:val="bottom"/>
            <w:hideMark/>
          </w:tcPr>
          <w:p w14:paraId="27CBA435" w14:textId="77777777" w:rsidR="001F27D2" w:rsidRPr="008359DD" w:rsidRDefault="001F27D2" w:rsidP="008359DD">
            <w:pPr>
              <w:spacing w:before="0" w:after="0"/>
              <w:rPr>
                <w:rFonts w:cs="Calibri"/>
                <w:color w:val="000000"/>
                <w:sz w:val="22"/>
                <w:szCs w:val="22"/>
              </w:rPr>
            </w:pPr>
            <w:r w:rsidRPr="008359DD">
              <w:rPr>
                <w:rFonts w:cs="Calibri"/>
                <w:color w:val="000000"/>
                <w:sz w:val="22"/>
                <w:szCs w:val="22"/>
              </w:rPr>
              <w:t>Base (number of respondents)</w:t>
            </w:r>
          </w:p>
        </w:tc>
        <w:tc>
          <w:tcPr>
            <w:tcW w:w="394" w:type="pct"/>
            <w:shd w:val="clear" w:color="auto" w:fill="auto"/>
            <w:noWrap/>
            <w:vAlign w:val="center"/>
            <w:hideMark/>
          </w:tcPr>
          <w:p w14:paraId="4A6753DA"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4144</w:t>
            </w:r>
          </w:p>
        </w:tc>
        <w:tc>
          <w:tcPr>
            <w:tcW w:w="440" w:type="pct"/>
            <w:shd w:val="clear" w:color="auto" w:fill="auto"/>
            <w:noWrap/>
            <w:vAlign w:val="center"/>
            <w:hideMark/>
          </w:tcPr>
          <w:p w14:paraId="7908C0C9"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2919</w:t>
            </w:r>
          </w:p>
        </w:tc>
        <w:tc>
          <w:tcPr>
            <w:tcW w:w="440" w:type="pct"/>
            <w:shd w:val="clear" w:color="auto" w:fill="auto"/>
            <w:noWrap/>
            <w:vAlign w:val="center"/>
            <w:hideMark/>
          </w:tcPr>
          <w:p w14:paraId="5FD8E31E"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2824</w:t>
            </w:r>
          </w:p>
        </w:tc>
        <w:tc>
          <w:tcPr>
            <w:tcW w:w="440" w:type="pct"/>
            <w:shd w:val="clear" w:color="auto" w:fill="auto"/>
            <w:noWrap/>
            <w:vAlign w:val="center"/>
            <w:hideMark/>
          </w:tcPr>
          <w:p w14:paraId="1E8DD8BB"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1829</w:t>
            </w:r>
          </w:p>
        </w:tc>
        <w:tc>
          <w:tcPr>
            <w:tcW w:w="440" w:type="pct"/>
            <w:shd w:val="clear" w:color="auto" w:fill="auto"/>
            <w:noWrap/>
            <w:vAlign w:val="center"/>
            <w:hideMark/>
          </w:tcPr>
          <w:p w14:paraId="42C047D0"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1092</w:t>
            </w:r>
          </w:p>
        </w:tc>
        <w:tc>
          <w:tcPr>
            <w:tcW w:w="440" w:type="pct"/>
            <w:shd w:val="clear" w:color="auto" w:fill="auto"/>
            <w:noWrap/>
            <w:vAlign w:val="center"/>
            <w:hideMark/>
          </w:tcPr>
          <w:p w14:paraId="658FD425"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1749</w:t>
            </w:r>
          </w:p>
        </w:tc>
        <w:tc>
          <w:tcPr>
            <w:tcW w:w="440" w:type="pct"/>
            <w:shd w:val="clear" w:color="auto" w:fill="auto"/>
            <w:noWrap/>
            <w:vAlign w:val="center"/>
            <w:hideMark/>
          </w:tcPr>
          <w:p w14:paraId="59CA8A9F" w14:textId="77777777" w:rsidR="001F27D2" w:rsidRPr="008359DD" w:rsidRDefault="001F27D2" w:rsidP="009170F6">
            <w:pPr>
              <w:spacing w:before="0" w:after="0"/>
              <w:jc w:val="center"/>
              <w:rPr>
                <w:rFonts w:cs="Calibri"/>
                <w:color w:val="000000"/>
                <w:sz w:val="22"/>
                <w:szCs w:val="22"/>
              </w:rPr>
            </w:pPr>
            <w:r w:rsidRPr="008359DD">
              <w:rPr>
                <w:rFonts w:cs="Calibri"/>
                <w:color w:val="000000"/>
                <w:sz w:val="22"/>
                <w:szCs w:val="22"/>
              </w:rPr>
              <w:t>14556</w:t>
            </w:r>
          </w:p>
        </w:tc>
      </w:tr>
    </w:tbl>
    <w:p w14:paraId="1B60F43D" w14:textId="77777777" w:rsidR="001F27D2" w:rsidRPr="002B2A7F" w:rsidRDefault="001F27D2" w:rsidP="001F27D2">
      <w:pPr>
        <w:rPr>
          <w:rFonts w:asciiTheme="minorHAnsi" w:hAnsiTheme="minorHAnsi"/>
        </w:rPr>
      </w:pPr>
      <w:r w:rsidRPr="002B2A7F">
        <w:rPr>
          <w:rFonts w:asciiTheme="minorHAnsi" w:hAnsiTheme="minorHAnsi" w:cs="Calibri"/>
          <w:sz w:val="20"/>
          <w:szCs w:val="20"/>
        </w:rPr>
        <w:t xml:space="preserve">Source: 2018 Household Survey </w:t>
      </w:r>
    </w:p>
    <w:p w14:paraId="718699AE" w14:textId="77777777" w:rsidR="001F27D2" w:rsidRPr="002B2A7F" w:rsidRDefault="001F27D2" w:rsidP="001F27D2">
      <w:pPr>
        <w:ind w:left="-851"/>
        <w:rPr>
          <w:rFonts w:asciiTheme="minorHAnsi" w:hAnsiTheme="minorHAnsi"/>
        </w:rPr>
        <w:sectPr w:rsidR="001F27D2" w:rsidRPr="002B2A7F" w:rsidSect="009F62A3">
          <w:headerReference w:type="default" r:id="rId52"/>
          <w:footerReference w:type="default" r:id="rId53"/>
          <w:pgSz w:w="16838" w:h="11906" w:orient="landscape"/>
          <w:pgMar w:top="1276" w:right="1134" w:bottom="1440" w:left="1440" w:header="708" w:footer="708" w:gutter="0"/>
          <w:cols w:space="708"/>
          <w:docGrid w:linePitch="360"/>
        </w:sectPr>
      </w:pPr>
    </w:p>
    <w:p w14:paraId="53C29A07" w14:textId="35F1EE5E" w:rsidR="001F27D2" w:rsidRPr="002B2A7F" w:rsidRDefault="001F27D2" w:rsidP="001F27D2">
      <w:pPr>
        <w:pStyle w:val="Reporttext"/>
      </w:pPr>
      <w:r w:rsidRPr="002B2A7F">
        <w:lastRenderedPageBreak/>
        <w:t xml:space="preserve">Of all older person households (65+ years), the 2018 </w:t>
      </w:r>
      <w:r w:rsidR="008D1B29">
        <w:t>h</w:t>
      </w:r>
      <w:r w:rsidRPr="002B2A7F">
        <w:t xml:space="preserve">ousehold </w:t>
      </w:r>
      <w:r w:rsidR="008D1B29">
        <w:t>s</w:t>
      </w:r>
      <w:r w:rsidRPr="002B2A7F">
        <w:t xml:space="preserve">urvey found that 27.4% would like to move in the next 5 years; 5.6% would like to move but are unable to; and 88.4% do not want to move. </w:t>
      </w:r>
    </w:p>
    <w:p w14:paraId="6B9BD515" w14:textId="69100B3E" w:rsidR="001F27D2" w:rsidRPr="002B2A7F" w:rsidRDefault="001F27D2" w:rsidP="001F27D2">
      <w:pPr>
        <w:pStyle w:val="Reporttext"/>
      </w:pPr>
      <w:r w:rsidRPr="002B2A7F">
        <w:t>Of households with a</w:t>
      </w:r>
      <w:r w:rsidR="00E1269E">
        <w:t>n</w:t>
      </w:r>
      <w:r w:rsidRPr="002B2A7F">
        <w:t xml:space="preserve"> HRP aged 65 and over who are unable to move, 40.6% stated they could not move because they could not afford a more suitable home, 65.3% stated they could not find a suitable property and 25.9% stated other reasons (note respondents could tick more than one option</w:t>
      </w:r>
      <w:r w:rsidR="00E1269E">
        <w:t>)</w:t>
      </w:r>
      <w:r w:rsidRPr="002B2A7F">
        <w:t xml:space="preserve">. </w:t>
      </w:r>
    </w:p>
    <w:p w14:paraId="544A7EF6" w14:textId="28AF969C" w:rsidR="001F27D2" w:rsidRPr="002B2A7F" w:rsidRDefault="001F27D2" w:rsidP="001F27D2">
      <w:pPr>
        <w:pStyle w:val="Reporttext"/>
      </w:pPr>
      <w:r w:rsidRPr="002B2A7F">
        <w:t>Of households with a</w:t>
      </w:r>
      <w:r w:rsidR="00E1269E">
        <w:t>n</w:t>
      </w:r>
      <w:r w:rsidRPr="002B2A7F">
        <w:t xml:space="preserve"> HRP aged 65 and over and planning to move, the </w:t>
      </w:r>
      <w:r w:rsidR="00E1269E">
        <w:t>h</w:t>
      </w:r>
      <w:r w:rsidRPr="002B2A7F">
        <w:t xml:space="preserve">ousehold </w:t>
      </w:r>
      <w:r w:rsidR="00E1269E">
        <w:t>s</w:t>
      </w:r>
      <w:r w:rsidRPr="002B2A7F">
        <w:t>urvey found that the principal reasons for moving were unable to manage existing house/garden too big (27.6%).</w:t>
      </w:r>
    </w:p>
    <w:p w14:paraId="48F598C8" w14:textId="53F39D1C" w:rsidR="001F27D2" w:rsidRPr="002B2A7F" w:rsidRDefault="001F27D2" w:rsidP="001F27D2">
      <w:pPr>
        <w:pStyle w:val="Reporttext"/>
      </w:pPr>
      <w:r w:rsidRPr="002B2A7F">
        <w:t xml:space="preserve">Table </w:t>
      </w:r>
      <w:r w:rsidRPr="002B2A7F">
        <w:rPr>
          <w:lang w:val="en-US"/>
        </w:rPr>
        <w:t>6.8</w:t>
      </w:r>
      <w:r w:rsidRPr="002B2A7F">
        <w:t xml:space="preserve"> considers the future housing choices being considered by older households within the next 5 years by reference to their current number of bedrooms and the number of bedrooms expected to move to. In terms of moving to a smaller property, 63.</w:t>
      </w:r>
      <w:r w:rsidR="00E1269E">
        <w:t>5</w:t>
      </w:r>
      <w:r w:rsidRPr="002B2A7F">
        <w:t xml:space="preserve">% of older households expected to </w:t>
      </w:r>
      <w:r w:rsidRPr="002B2A7F">
        <w:rPr>
          <w:lang w:val="en-US"/>
        </w:rPr>
        <w:t>downsize (</w:t>
      </w:r>
      <w:r w:rsidRPr="002B2A7F">
        <w:t>i.e. move to a property with fewer bedrooms). 29.8% expected to move into a property with the same number of bedrooms as they presently occupy and 6.8% expected to upsize to a property with a larger number of bedrooms.</w:t>
      </w:r>
    </w:p>
    <w:p w14:paraId="10F2FC56" w14:textId="77777777" w:rsidR="001F27D2" w:rsidRPr="002B2A7F" w:rsidRDefault="001F27D2" w:rsidP="001F27D2">
      <w:pPr>
        <w:rPr>
          <w:rFonts w:asciiTheme="minorHAnsi" w:hAnsiTheme="minorHAnsi" w:cs="Calibri"/>
          <w:lang w:val="x-none"/>
        </w:rPr>
      </w:pPr>
    </w:p>
    <w:tbl>
      <w:tblPr>
        <w:tblW w:w="8602" w:type="dxa"/>
        <w:tblInd w:w="720"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4208"/>
        <w:gridCol w:w="4394"/>
      </w:tblGrid>
      <w:tr w:rsidR="001F27D2" w:rsidRPr="009170F6" w14:paraId="792C6040" w14:textId="77777777" w:rsidTr="001F27D2">
        <w:trPr>
          <w:trHeight w:val="300"/>
        </w:trPr>
        <w:tc>
          <w:tcPr>
            <w:tcW w:w="8602" w:type="dxa"/>
            <w:gridSpan w:val="2"/>
            <w:shd w:val="clear" w:color="auto" w:fill="009999"/>
            <w:vAlign w:val="bottom"/>
            <w:hideMark/>
          </w:tcPr>
          <w:p w14:paraId="54C73440" w14:textId="77777777" w:rsidR="001F27D2" w:rsidRPr="009170F6" w:rsidRDefault="001F27D2" w:rsidP="009170F6">
            <w:pPr>
              <w:pStyle w:val="Tableheading1"/>
            </w:pPr>
            <w:bookmarkStart w:id="495" w:name="_Toc476317293"/>
            <w:bookmarkStart w:id="496" w:name="_Toc529652132"/>
            <w:bookmarkStart w:id="497" w:name="_Toc529739463"/>
            <w:bookmarkStart w:id="498" w:name="_Toc531122961"/>
            <w:bookmarkStart w:id="499" w:name="_Toc532812496"/>
            <w:r w:rsidRPr="009170F6">
              <w:t xml:space="preserve">Table </w:t>
            </w:r>
            <w:r w:rsidRPr="009170F6">
              <w:rPr>
                <w:lang w:val="en-US"/>
              </w:rPr>
              <w:t>6.8</w:t>
            </w:r>
            <w:r w:rsidRPr="009170F6">
              <w:tab/>
              <w:t>Future housing choices of older households (downsizing/upsizing)</w:t>
            </w:r>
            <w:bookmarkEnd w:id="495"/>
            <w:bookmarkEnd w:id="496"/>
            <w:bookmarkEnd w:id="497"/>
            <w:bookmarkEnd w:id="498"/>
            <w:bookmarkEnd w:id="499"/>
          </w:p>
        </w:tc>
      </w:tr>
      <w:tr w:rsidR="001F27D2" w:rsidRPr="009170F6" w14:paraId="77E76B21" w14:textId="77777777" w:rsidTr="001F27D2">
        <w:trPr>
          <w:trHeight w:val="300"/>
        </w:trPr>
        <w:tc>
          <w:tcPr>
            <w:tcW w:w="4208" w:type="dxa"/>
            <w:shd w:val="clear" w:color="auto" w:fill="009999"/>
            <w:noWrap/>
            <w:vAlign w:val="bottom"/>
            <w:hideMark/>
          </w:tcPr>
          <w:p w14:paraId="367571C2" w14:textId="77777777" w:rsidR="001F27D2" w:rsidRPr="009170F6" w:rsidRDefault="001F27D2" w:rsidP="009170F6">
            <w:pPr>
              <w:spacing w:before="0" w:after="0"/>
              <w:rPr>
                <w:rFonts w:cs="Calibri"/>
                <w:b/>
                <w:color w:val="FFFFFF" w:themeColor="background1"/>
                <w:sz w:val="22"/>
                <w:szCs w:val="22"/>
              </w:rPr>
            </w:pPr>
            <w:r w:rsidRPr="009170F6">
              <w:rPr>
                <w:rFonts w:cs="Calibri"/>
                <w:b/>
                <w:color w:val="FFFFFF" w:themeColor="background1"/>
                <w:sz w:val="22"/>
                <w:szCs w:val="22"/>
              </w:rPr>
              <w:t>Housing choice</w:t>
            </w:r>
          </w:p>
        </w:tc>
        <w:tc>
          <w:tcPr>
            <w:tcW w:w="4394" w:type="dxa"/>
            <w:shd w:val="clear" w:color="auto" w:fill="009999"/>
            <w:noWrap/>
            <w:vAlign w:val="bottom"/>
          </w:tcPr>
          <w:p w14:paraId="5299F8B7" w14:textId="77777777" w:rsidR="001F27D2" w:rsidRPr="009170F6" w:rsidRDefault="001F27D2" w:rsidP="009170F6">
            <w:pPr>
              <w:spacing w:before="0" w:after="0"/>
              <w:jc w:val="center"/>
              <w:rPr>
                <w:rFonts w:cs="Calibri"/>
                <w:b/>
                <w:color w:val="FFFFFF" w:themeColor="background1"/>
                <w:sz w:val="22"/>
                <w:szCs w:val="22"/>
              </w:rPr>
            </w:pPr>
            <w:r w:rsidRPr="009170F6">
              <w:rPr>
                <w:rFonts w:cs="Calibri"/>
                <w:b/>
                <w:color w:val="FFFFFF" w:themeColor="background1"/>
                <w:sz w:val="22"/>
                <w:szCs w:val="22"/>
              </w:rPr>
              <w:t>Expectation (%)</w:t>
            </w:r>
          </w:p>
        </w:tc>
      </w:tr>
      <w:tr w:rsidR="001F27D2" w:rsidRPr="009170F6" w14:paraId="38F495BF" w14:textId="77777777" w:rsidTr="001F27D2">
        <w:trPr>
          <w:trHeight w:val="300"/>
        </w:trPr>
        <w:tc>
          <w:tcPr>
            <w:tcW w:w="4208" w:type="dxa"/>
            <w:shd w:val="clear" w:color="auto" w:fill="auto"/>
            <w:noWrap/>
            <w:vAlign w:val="bottom"/>
            <w:hideMark/>
          </w:tcPr>
          <w:p w14:paraId="0405CB5A" w14:textId="77777777" w:rsidR="001F27D2" w:rsidRPr="009170F6" w:rsidRDefault="001F27D2" w:rsidP="009170F6">
            <w:pPr>
              <w:spacing w:before="0" w:after="0"/>
              <w:rPr>
                <w:rFonts w:cs="Calibri"/>
                <w:color w:val="000000"/>
                <w:sz w:val="22"/>
                <w:szCs w:val="22"/>
              </w:rPr>
            </w:pPr>
            <w:r w:rsidRPr="009170F6">
              <w:rPr>
                <w:rFonts w:cs="Calibri"/>
                <w:color w:val="000000"/>
                <w:sz w:val="22"/>
                <w:szCs w:val="22"/>
              </w:rPr>
              <w:t>Downsizing (moving to a smaller property)</w:t>
            </w:r>
          </w:p>
        </w:tc>
        <w:tc>
          <w:tcPr>
            <w:tcW w:w="4394" w:type="dxa"/>
            <w:shd w:val="clear" w:color="auto" w:fill="auto"/>
            <w:noWrap/>
            <w:vAlign w:val="center"/>
          </w:tcPr>
          <w:p w14:paraId="6D56E0A2"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63.5</w:t>
            </w:r>
          </w:p>
        </w:tc>
      </w:tr>
      <w:tr w:rsidR="001F27D2" w:rsidRPr="009170F6" w14:paraId="74251008" w14:textId="77777777" w:rsidTr="001F27D2">
        <w:trPr>
          <w:trHeight w:val="300"/>
        </w:trPr>
        <w:tc>
          <w:tcPr>
            <w:tcW w:w="4208" w:type="dxa"/>
            <w:shd w:val="clear" w:color="auto" w:fill="auto"/>
            <w:noWrap/>
            <w:vAlign w:val="bottom"/>
            <w:hideMark/>
          </w:tcPr>
          <w:p w14:paraId="1A2193A2" w14:textId="77777777" w:rsidR="001F27D2" w:rsidRPr="009170F6" w:rsidRDefault="001F27D2" w:rsidP="009170F6">
            <w:pPr>
              <w:spacing w:before="0" w:after="0"/>
              <w:rPr>
                <w:rFonts w:cs="Calibri"/>
                <w:color w:val="000000"/>
                <w:sz w:val="22"/>
                <w:szCs w:val="22"/>
              </w:rPr>
            </w:pPr>
            <w:r w:rsidRPr="009170F6">
              <w:rPr>
                <w:rFonts w:cs="Calibri"/>
                <w:color w:val="000000"/>
                <w:sz w:val="22"/>
                <w:szCs w:val="22"/>
              </w:rPr>
              <w:t>Staying same</w:t>
            </w:r>
          </w:p>
        </w:tc>
        <w:tc>
          <w:tcPr>
            <w:tcW w:w="4394" w:type="dxa"/>
            <w:shd w:val="clear" w:color="auto" w:fill="auto"/>
            <w:noWrap/>
            <w:vAlign w:val="center"/>
          </w:tcPr>
          <w:p w14:paraId="15298020"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29.8</w:t>
            </w:r>
          </w:p>
        </w:tc>
      </w:tr>
      <w:tr w:rsidR="001F27D2" w:rsidRPr="009170F6" w14:paraId="65FF54EE" w14:textId="77777777" w:rsidTr="001F27D2">
        <w:trPr>
          <w:trHeight w:val="300"/>
        </w:trPr>
        <w:tc>
          <w:tcPr>
            <w:tcW w:w="4208" w:type="dxa"/>
            <w:shd w:val="clear" w:color="auto" w:fill="auto"/>
            <w:noWrap/>
            <w:vAlign w:val="bottom"/>
            <w:hideMark/>
          </w:tcPr>
          <w:p w14:paraId="4CE4FCE4" w14:textId="77777777" w:rsidR="001F27D2" w:rsidRPr="009170F6" w:rsidRDefault="001F27D2" w:rsidP="009170F6">
            <w:pPr>
              <w:spacing w:before="0" w:after="0"/>
              <w:rPr>
                <w:rFonts w:cs="Calibri"/>
                <w:color w:val="000000"/>
                <w:sz w:val="22"/>
                <w:szCs w:val="22"/>
              </w:rPr>
            </w:pPr>
            <w:r w:rsidRPr="009170F6">
              <w:rPr>
                <w:rFonts w:cs="Calibri"/>
                <w:color w:val="000000"/>
                <w:sz w:val="22"/>
                <w:szCs w:val="22"/>
              </w:rPr>
              <w:t>Upsizing (moving to larger property)</w:t>
            </w:r>
          </w:p>
        </w:tc>
        <w:tc>
          <w:tcPr>
            <w:tcW w:w="4394" w:type="dxa"/>
            <w:shd w:val="clear" w:color="auto" w:fill="auto"/>
            <w:noWrap/>
            <w:vAlign w:val="center"/>
          </w:tcPr>
          <w:p w14:paraId="07C68595"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6.8</w:t>
            </w:r>
          </w:p>
        </w:tc>
      </w:tr>
      <w:tr w:rsidR="001F27D2" w:rsidRPr="009170F6" w14:paraId="7B88B4B0" w14:textId="77777777" w:rsidTr="001F27D2">
        <w:trPr>
          <w:trHeight w:val="300"/>
        </w:trPr>
        <w:tc>
          <w:tcPr>
            <w:tcW w:w="4208" w:type="dxa"/>
            <w:shd w:val="clear" w:color="auto" w:fill="auto"/>
            <w:noWrap/>
            <w:vAlign w:val="bottom"/>
            <w:hideMark/>
          </w:tcPr>
          <w:p w14:paraId="0F6A2A52" w14:textId="77777777" w:rsidR="001F27D2" w:rsidRPr="009170F6" w:rsidRDefault="001F27D2" w:rsidP="009170F6">
            <w:pPr>
              <w:spacing w:before="0" w:after="0"/>
              <w:rPr>
                <w:rFonts w:cs="Calibri"/>
                <w:color w:val="000000"/>
                <w:sz w:val="22"/>
                <w:szCs w:val="22"/>
              </w:rPr>
            </w:pPr>
            <w:r w:rsidRPr="009170F6">
              <w:rPr>
                <w:rFonts w:cs="Calibri"/>
                <w:color w:val="000000"/>
                <w:sz w:val="22"/>
                <w:szCs w:val="22"/>
              </w:rPr>
              <w:t>Total</w:t>
            </w:r>
          </w:p>
        </w:tc>
        <w:tc>
          <w:tcPr>
            <w:tcW w:w="4394" w:type="dxa"/>
            <w:shd w:val="clear" w:color="auto" w:fill="auto"/>
            <w:noWrap/>
            <w:vAlign w:val="center"/>
          </w:tcPr>
          <w:p w14:paraId="76E648ED" w14:textId="77777777" w:rsidR="001F27D2" w:rsidRPr="009170F6" w:rsidRDefault="001F27D2" w:rsidP="009170F6">
            <w:pPr>
              <w:spacing w:before="0" w:after="0"/>
              <w:jc w:val="center"/>
              <w:rPr>
                <w:rFonts w:cs="Calibri"/>
                <w:color w:val="000000"/>
                <w:sz w:val="22"/>
                <w:szCs w:val="22"/>
              </w:rPr>
            </w:pPr>
            <w:r w:rsidRPr="009170F6">
              <w:rPr>
                <w:rFonts w:cs="Calibri"/>
                <w:b/>
                <w:bCs/>
                <w:color w:val="000000"/>
                <w:sz w:val="22"/>
                <w:szCs w:val="22"/>
              </w:rPr>
              <w:t>100.0</w:t>
            </w:r>
          </w:p>
        </w:tc>
      </w:tr>
      <w:tr w:rsidR="001F27D2" w:rsidRPr="009170F6" w14:paraId="05982194" w14:textId="77777777" w:rsidTr="001F27D2">
        <w:trPr>
          <w:trHeight w:val="300"/>
        </w:trPr>
        <w:tc>
          <w:tcPr>
            <w:tcW w:w="4208" w:type="dxa"/>
            <w:shd w:val="clear" w:color="auto" w:fill="auto"/>
            <w:noWrap/>
            <w:vAlign w:val="bottom"/>
            <w:hideMark/>
          </w:tcPr>
          <w:p w14:paraId="4688C93C" w14:textId="77777777" w:rsidR="001F27D2" w:rsidRPr="009170F6" w:rsidRDefault="001F27D2" w:rsidP="009170F6">
            <w:pPr>
              <w:spacing w:before="0" w:after="0"/>
              <w:rPr>
                <w:rFonts w:cs="Calibri"/>
                <w:i/>
                <w:color w:val="000000"/>
                <w:sz w:val="22"/>
                <w:szCs w:val="22"/>
              </w:rPr>
            </w:pPr>
            <w:r w:rsidRPr="009170F6">
              <w:rPr>
                <w:rFonts w:cs="Calibri"/>
                <w:i/>
                <w:color w:val="000000"/>
                <w:sz w:val="22"/>
                <w:szCs w:val="22"/>
              </w:rPr>
              <w:t>Base (households responding)</w:t>
            </w:r>
          </w:p>
        </w:tc>
        <w:tc>
          <w:tcPr>
            <w:tcW w:w="4394" w:type="dxa"/>
            <w:shd w:val="clear" w:color="auto" w:fill="auto"/>
            <w:noWrap/>
            <w:vAlign w:val="center"/>
          </w:tcPr>
          <w:p w14:paraId="089CE209" w14:textId="77777777" w:rsidR="001F27D2" w:rsidRPr="009170F6" w:rsidRDefault="001F27D2" w:rsidP="009170F6">
            <w:pPr>
              <w:spacing w:before="0" w:after="0"/>
              <w:jc w:val="center"/>
              <w:rPr>
                <w:rFonts w:cs="Calibri"/>
                <w:i/>
                <w:color w:val="000000"/>
                <w:sz w:val="22"/>
                <w:szCs w:val="22"/>
              </w:rPr>
            </w:pPr>
            <w:r w:rsidRPr="009170F6">
              <w:rPr>
                <w:rFonts w:cs="Calibri"/>
                <w:i/>
                <w:color w:val="000000"/>
                <w:sz w:val="22"/>
                <w:szCs w:val="22"/>
              </w:rPr>
              <w:t>1,018</w:t>
            </w:r>
          </w:p>
        </w:tc>
      </w:tr>
    </w:tbl>
    <w:p w14:paraId="384CE7FC" w14:textId="77777777" w:rsidR="001F27D2" w:rsidRPr="002B2A7F" w:rsidRDefault="001F27D2" w:rsidP="001F27D2">
      <w:pPr>
        <w:ind w:left="720"/>
        <w:rPr>
          <w:rFonts w:asciiTheme="minorHAnsi" w:hAnsiTheme="minorHAnsi" w:cs="Calibri"/>
          <w:sz w:val="20"/>
          <w:szCs w:val="20"/>
        </w:rPr>
      </w:pPr>
      <w:r w:rsidRPr="002B2A7F">
        <w:rPr>
          <w:rFonts w:asciiTheme="minorHAnsi" w:hAnsiTheme="minorHAnsi" w:cs="Calibri"/>
          <w:sz w:val="20"/>
          <w:szCs w:val="20"/>
        </w:rPr>
        <w:t>Source: 2018 Household Survey</w:t>
      </w:r>
    </w:p>
    <w:p w14:paraId="796C7161" w14:textId="77777777" w:rsidR="001F27D2" w:rsidRPr="002B2A7F" w:rsidRDefault="001F27D2" w:rsidP="001F27D2">
      <w:pPr>
        <w:pStyle w:val="Reporttext"/>
        <w:numPr>
          <w:ilvl w:val="0"/>
          <w:numId w:val="0"/>
        </w:numPr>
      </w:pPr>
    </w:p>
    <w:p w14:paraId="50469757" w14:textId="77777777" w:rsidR="001F27D2" w:rsidRPr="002B2A7F" w:rsidRDefault="001F27D2" w:rsidP="001F27D2">
      <w:pPr>
        <w:pStyle w:val="Heading4"/>
        <w:rPr>
          <w:rFonts w:asciiTheme="minorHAnsi" w:hAnsiTheme="minorHAnsi" w:cs="Calibri"/>
        </w:rPr>
      </w:pPr>
      <w:r w:rsidRPr="002B2A7F">
        <w:rPr>
          <w:rFonts w:asciiTheme="minorHAnsi" w:hAnsiTheme="minorHAnsi" w:cs="Calibri"/>
        </w:rPr>
        <w:t>Existing stock and adaptation</w:t>
      </w:r>
    </w:p>
    <w:p w14:paraId="3F28BD3F" w14:textId="77777777" w:rsidR="001F27D2" w:rsidRPr="002B2A7F" w:rsidRDefault="001F27D2" w:rsidP="001F27D2">
      <w:pPr>
        <w:pStyle w:val="Reporttext"/>
      </w:pPr>
      <w:r w:rsidRPr="002B2A7F">
        <w:t>Given the high proportion of older households who want to continue living in their own home (Table 6.5 and associated discussion), the provision of home-based assistance, support and care is an increasingly important issue in the meeting of housing needs for older people. The key challenge for local authorities is the funding of services for growing numbers of older people.</w:t>
      </w:r>
    </w:p>
    <w:p w14:paraId="18F0EF28" w14:textId="34548DBA" w:rsidR="001F27D2" w:rsidRPr="002B2A7F" w:rsidRDefault="001F27D2" w:rsidP="001F27D2">
      <w:pPr>
        <w:pStyle w:val="Reporttext"/>
      </w:pPr>
      <w:r w:rsidRPr="002B2A7F">
        <w:t xml:space="preserve">Overall 15.3% of dwelling stock are bungalows and this is markedly higher than the regional average of 8.7% and national average of 9.6%. This is also a dwelling type particularly wanted by older people and dwelling need analysis (see </w:t>
      </w:r>
      <w:r w:rsidR="00E1269E">
        <w:t>C</w:t>
      </w:r>
      <w:r w:rsidRPr="002B2A7F">
        <w:t xml:space="preserve">hapter 7) points to an increase in need for this particular dwelling type – or level access accommodation. </w:t>
      </w:r>
    </w:p>
    <w:p w14:paraId="6E13A021" w14:textId="1957FB1D" w:rsidR="001F27D2" w:rsidRPr="002B2A7F" w:rsidRDefault="001F27D2" w:rsidP="001F27D2">
      <w:pPr>
        <w:pStyle w:val="Reporttext"/>
      </w:pPr>
      <w:r w:rsidRPr="002B2A7F">
        <w:t xml:space="preserve">The household survey identified that overall 4.9% of households lived in properties that had been adapted (3.6% of all owner occupied households lived in properties that had been adapted along with 4.0% private rented households and 14.7% of affordable housing residents). Across older person housing specifically, the proportions were much higher (Table 6.9) with 43.7% of dwellings adapted. Analysis also indicated that nearly half of older person households (44.2%) needed help with daily tasks and 26.5% needed </w:t>
      </w:r>
      <w:r w:rsidRPr="002B2A7F">
        <w:lastRenderedPageBreak/>
        <w:t>help with medication. A further 31.3</w:t>
      </w:r>
      <w:r w:rsidR="00E1269E">
        <w:t>%</w:t>
      </w:r>
      <w:r w:rsidRPr="002B2A7F">
        <w:t xml:space="preserve"> were unable to manage the stairs and needed ground floor accommodation. Around half (45.2%) of older person households had enough rooms to accommodate a carer overnight when needed. Table 6.</w:t>
      </w:r>
      <w:r w:rsidR="00E1269E">
        <w:t>9</w:t>
      </w:r>
      <w:r w:rsidRPr="002B2A7F">
        <w:t xml:space="preserve"> also provides indications of the additional needs arising from older person households over the period to 2032. </w:t>
      </w:r>
    </w:p>
    <w:p w14:paraId="01F30096" w14:textId="77777777" w:rsidR="001F27D2" w:rsidRPr="002B2A7F" w:rsidRDefault="001F27D2" w:rsidP="001F27D2">
      <w:pPr>
        <w:pStyle w:val="Reporttext"/>
        <w:numPr>
          <w:ilvl w:val="0"/>
          <w:numId w:val="0"/>
        </w:numPr>
      </w:pP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6055"/>
        <w:gridCol w:w="1660"/>
        <w:gridCol w:w="1465"/>
      </w:tblGrid>
      <w:tr w:rsidR="001F27D2" w:rsidRPr="009170F6" w14:paraId="1F07CE0C" w14:textId="77777777" w:rsidTr="009170F6">
        <w:trPr>
          <w:trHeight w:val="320"/>
        </w:trPr>
        <w:tc>
          <w:tcPr>
            <w:tcW w:w="5000" w:type="pct"/>
            <w:gridSpan w:val="3"/>
            <w:shd w:val="clear" w:color="auto" w:fill="009193"/>
          </w:tcPr>
          <w:p w14:paraId="626A31DD" w14:textId="03652975" w:rsidR="001F27D2" w:rsidRPr="009170F6" w:rsidRDefault="001F27D2" w:rsidP="009170F6">
            <w:pPr>
              <w:pStyle w:val="Tableheading1"/>
            </w:pPr>
            <w:bookmarkStart w:id="500" w:name="_Toc531122962"/>
            <w:bookmarkStart w:id="501" w:name="_Toc532812497"/>
            <w:r w:rsidRPr="009170F6">
              <w:t>Table 6.9</w:t>
            </w:r>
            <w:r w:rsidR="009170F6">
              <w:tab/>
            </w:r>
            <w:r w:rsidRPr="009170F6">
              <w:t>Comments relating to adaptions and supply amongst older person households</w:t>
            </w:r>
            <w:bookmarkEnd w:id="500"/>
            <w:bookmarkEnd w:id="501"/>
          </w:p>
        </w:tc>
      </w:tr>
      <w:tr w:rsidR="009170F6" w:rsidRPr="009170F6" w14:paraId="534468FB" w14:textId="77777777" w:rsidTr="009170F6">
        <w:trPr>
          <w:trHeight w:val="320"/>
        </w:trPr>
        <w:tc>
          <w:tcPr>
            <w:tcW w:w="3298" w:type="pct"/>
            <w:shd w:val="clear" w:color="auto" w:fill="009999"/>
            <w:noWrap/>
            <w:vAlign w:val="bottom"/>
            <w:hideMark/>
          </w:tcPr>
          <w:p w14:paraId="097855EA" w14:textId="77777777" w:rsidR="001F27D2" w:rsidRPr="009170F6" w:rsidRDefault="001F27D2" w:rsidP="009170F6">
            <w:pPr>
              <w:spacing w:before="0" w:after="0"/>
              <w:rPr>
                <w:rFonts w:cs="Calibri"/>
                <w:b/>
                <w:color w:val="FFFFFF" w:themeColor="background1"/>
                <w:sz w:val="22"/>
                <w:szCs w:val="22"/>
              </w:rPr>
            </w:pPr>
            <w:r w:rsidRPr="009170F6">
              <w:rPr>
                <w:rFonts w:cs="Calibri"/>
                <w:b/>
                <w:color w:val="FFFFFF" w:themeColor="background1"/>
                <w:sz w:val="22"/>
                <w:szCs w:val="22"/>
              </w:rPr>
              <w:t>Comment</w:t>
            </w:r>
          </w:p>
        </w:tc>
        <w:tc>
          <w:tcPr>
            <w:tcW w:w="904" w:type="pct"/>
            <w:shd w:val="clear" w:color="auto" w:fill="009999"/>
            <w:noWrap/>
            <w:vAlign w:val="bottom"/>
            <w:hideMark/>
          </w:tcPr>
          <w:p w14:paraId="6884A448" w14:textId="77777777" w:rsidR="001F27D2" w:rsidRPr="009170F6" w:rsidRDefault="001F27D2" w:rsidP="009170F6">
            <w:pPr>
              <w:spacing w:before="0" w:after="0"/>
              <w:jc w:val="center"/>
              <w:rPr>
                <w:rFonts w:cs="Calibri"/>
                <w:b/>
                <w:color w:val="FFFFFF" w:themeColor="background1"/>
                <w:sz w:val="22"/>
                <w:szCs w:val="22"/>
              </w:rPr>
            </w:pPr>
            <w:r w:rsidRPr="009170F6">
              <w:rPr>
                <w:rFonts w:cs="Calibri"/>
                <w:b/>
                <w:color w:val="FFFFFF" w:themeColor="background1"/>
                <w:sz w:val="22"/>
                <w:szCs w:val="22"/>
              </w:rPr>
              <w:t>% older person households</w:t>
            </w:r>
          </w:p>
        </w:tc>
        <w:tc>
          <w:tcPr>
            <w:tcW w:w="798" w:type="pct"/>
            <w:shd w:val="clear" w:color="auto" w:fill="009999"/>
          </w:tcPr>
          <w:p w14:paraId="439F59CA" w14:textId="77777777" w:rsidR="001F27D2" w:rsidRPr="009170F6" w:rsidRDefault="001F27D2" w:rsidP="009170F6">
            <w:pPr>
              <w:spacing w:before="0" w:after="0"/>
              <w:jc w:val="center"/>
              <w:rPr>
                <w:rFonts w:cs="Calibri"/>
                <w:b/>
                <w:color w:val="FFFFFF" w:themeColor="background1"/>
                <w:sz w:val="22"/>
                <w:szCs w:val="22"/>
              </w:rPr>
            </w:pPr>
            <w:r w:rsidRPr="009170F6">
              <w:rPr>
                <w:rFonts w:cs="Calibri"/>
                <w:b/>
                <w:color w:val="FFFFFF" w:themeColor="background1"/>
                <w:sz w:val="22"/>
                <w:szCs w:val="22"/>
              </w:rPr>
              <w:t>Increase in need to 2032</w:t>
            </w:r>
          </w:p>
        </w:tc>
      </w:tr>
      <w:tr w:rsidR="001F27D2" w:rsidRPr="009170F6" w14:paraId="3F5C05F6" w14:textId="77777777" w:rsidTr="009170F6">
        <w:trPr>
          <w:trHeight w:val="320"/>
        </w:trPr>
        <w:tc>
          <w:tcPr>
            <w:tcW w:w="3298" w:type="pct"/>
            <w:shd w:val="clear" w:color="auto" w:fill="auto"/>
            <w:noWrap/>
            <w:vAlign w:val="bottom"/>
            <w:hideMark/>
          </w:tcPr>
          <w:p w14:paraId="027C53C8" w14:textId="77777777" w:rsidR="001F27D2" w:rsidRPr="009170F6" w:rsidRDefault="001F27D2" w:rsidP="009170F6">
            <w:pPr>
              <w:spacing w:before="0" w:after="0"/>
              <w:rPr>
                <w:rFonts w:cs="Calibri"/>
                <w:color w:val="000000"/>
                <w:sz w:val="22"/>
                <w:szCs w:val="22"/>
              </w:rPr>
            </w:pPr>
            <w:r w:rsidRPr="009170F6">
              <w:rPr>
                <w:rFonts w:cs="Calibri"/>
                <w:color w:val="000000"/>
                <w:sz w:val="22"/>
                <w:szCs w:val="22"/>
              </w:rPr>
              <w:t>My home has been adapted to suit the needs of someone with a disability</w:t>
            </w:r>
          </w:p>
        </w:tc>
        <w:tc>
          <w:tcPr>
            <w:tcW w:w="904" w:type="pct"/>
            <w:shd w:val="clear" w:color="auto" w:fill="auto"/>
            <w:noWrap/>
            <w:vAlign w:val="bottom"/>
            <w:hideMark/>
          </w:tcPr>
          <w:p w14:paraId="76A6D706"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43.7%</w:t>
            </w:r>
          </w:p>
        </w:tc>
        <w:tc>
          <w:tcPr>
            <w:tcW w:w="798" w:type="pct"/>
          </w:tcPr>
          <w:p w14:paraId="79940A4C"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+1,019</w:t>
            </w:r>
          </w:p>
        </w:tc>
      </w:tr>
      <w:tr w:rsidR="001F27D2" w:rsidRPr="009170F6" w14:paraId="1359BC74" w14:textId="77777777" w:rsidTr="009170F6">
        <w:trPr>
          <w:trHeight w:val="320"/>
        </w:trPr>
        <w:tc>
          <w:tcPr>
            <w:tcW w:w="3298" w:type="pct"/>
            <w:shd w:val="clear" w:color="auto" w:fill="auto"/>
            <w:noWrap/>
            <w:vAlign w:val="bottom"/>
            <w:hideMark/>
          </w:tcPr>
          <w:p w14:paraId="485D8E0D" w14:textId="77777777" w:rsidR="001F27D2" w:rsidRPr="009170F6" w:rsidRDefault="001F27D2" w:rsidP="009170F6">
            <w:pPr>
              <w:spacing w:before="0" w:after="0"/>
              <w:rPr>
                <w:rFonts w:cs="Calibri"/>
                <w:color w:val="000000"/>
                <w:sz w:val="22"/>
                <w:szCs w:val="22"/>
              </w:rPr>
            </w:pPr>
            <w:r w:rsidRPr="009170F6">
              <w:rPr>
                <w:rFonts w:cs="Calibri"/>
                <w:color w:val="000000"/>
                <w:sz w:val="22"/>
                <w:szCs w:val="22"/>
              </w:rPr>
              <w:t>A member of my household needs help with daily tasks such as shopping, cleaning</w:t>
            </w:r>
          </w:p>
        </w:tc>
        <w:tc>
          <w:tcPr>
            <w:tcW w:w="904" w:type="pct"/>
            <w:shd w:val="clear" w:color="auto" w:fill="auto"/>
            <w:noWrap/>
            <w:vAlign w:val="bottom"/>
            <w:hideMark/>
          </w:tcPr>
          <w:p w14:paraId="481F60D7"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44.2%</w:t>
            </w:r>
          </w:p>
        </w:tc>
        <w:tc>
          <w:tcPr>
            <w:tcW w:w="798" w:type="pct"/>
          </w:tcPr>
          <w:p w14:paraId="76D2E2F5"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+1,031</w:t>
            </w:r>
          </w:p>
        </w:tc>
      </w:tr>
      <w:tr w:rsidR="001F27D2" w:rsidRPr="009170F6" w14:paraId="2389C4E8" w14:textId="77777777" w:rsidTr="009170F6">
        <w:trPr>
          <w:trHeight w:val="320"/>
        </w:trPr>
        <w:tc>
          <w:tcPr>
            <w:tcW w:w="3298" w:type="pct"/>
            <w:shd w:val="clear" w:color="auto" w:fill="auto"/>
            <w:noWrap/>
            <w:vAlign w:val="bottom"/>
            <w:hideMark/>
          </w:tcPr>
          <w:p w14:paraId="749F73E5" w14:textId="77777777" w:rsidR="001F27D2" w:rsidRPr="009170F6" w:rsidRDefault="001F27D2" w:rsidP="009170F6">
            <w:pPr>
              <w:spacing w:before="0" w:after="0"/>
              <w:rPr>
                <w:rFonts w:cs="Calibri"/>
                <w:color w:val="000000"/>
                <w:sz w:val="22"/>
                <w:szCs w:val="22"/>
              </w:rPr>
            </w:pPr>
            <w:r w:rsidRPr="009170F6">
              <w:rPr>
                <w:rFonts w:cs="Calibri"/>
                <w:color w:val="000000"/>
                <w:sz w:val="22"/>
                <w:szCs w:val="22"/>
              </w:rPr>
              <w:t>A member of my household needs help with personal care such as medication or bathing</w:t>
            </w:r>
          </w:p>
        </w:tc>
        <w:tc>
          <w:tcPr>
            <w:tcW w:w="904" w:type="pct"/>
            <w:shd w:val="clear" w:color="auto" w:fill="auto"/>
            <w:noWrap/>
            <w:vAlign w:val="bottom"/>
            <w:hideMark/>
          </w:tcPr>
          <w:p w14:paraId="242E1C84"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26.5%</w:t>
            </w:r>
          </w:p>
        </w:tc>
        <w:tc>
          <w:tcPr>
            <w:tcW w:w="798" w:type="pct"/>
          </w:tcPr>
          <w:p w14:paraId="1808C567"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+618</w:t>
            </w:r>
          </w:p>
        </w:tc>
      </w:tr>
      <w:tr w:rsidR="001F27D2" w:rsidRPr="009170F6" w14:paraId="52E0486B" w14:textId="77777777" w:rsidTr="009170F6">
        <w:trPr>
          <w:trHeight w:val="320"/>
        </w:trPr>
        <w:tc>
          <w:tcPr>
            <w:tcW w:w="3298" w:type="pct"/>
            <w:shd w:val="clear" w:color="auto" w:fill="auto"/>
            <w:noWrap/>
            <w:vAlign w:val="bottom"/>
            <w:hideMark/>
          </w:tcPr>
          <w:p w14:paraId="7753AC81" w14:textId="77777777" w:rsidR="001F27D2" w:rsidRPr="009170F6" w:rsidRDefault="001F27D2" w:rsidP="009170F6">
            <w:pPr>
              <w:spacing w:before="0" w:after="0"/>
              <w:rPr>
                <w:rFonts w:cs="Calibri"/>
                <w:color w:val="000000"/>
                <w:sz w:val="22"/>
                <w:szCs w:val="22"/>
              </w:rPr>
            </w:pPr>
            <w:r w:rsidRPr="009170F6">
              <w:rPr>
                <w:rFonts w:cs="Calibri"/>
                <w:color w:val="000000"/>
                <w:sz w:val="22"/>
                <w:szCs w:val="22"/>
              </w:rPr>
              <w:t>A member of my household uses a wheelchair inside the home</w:t>
            </w:r>
          </w:p>
        </w:tc>
        <w:tc>
          <w:tcPr>
            <w:tcW w:w="904" w:type="pct"/>
            <w:shd w:val="clear" w:color="auto" w:fill="auto"/>
            <w:noWrap/>
            <w:vAlign w:val="bottom"/>
            <w:hideMark/>
          </w:tcPr>
          <w:p w14:paraId="600DC1DA"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5.8%</w:t>
            </w:r>
          </w:p>
        </w:tc>
        <w:tc>
          <w:tcPr>
            <w:tcW w:w="798" w:type="pct"/>
          </w:tcPr>
          <w:p w14:paraId="0AD2C51B"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+135</w:t>
            </w:r>
          </w:p>
        </w:tc>
      </w:tr>
      <w:tr w:rsidR="001F27D2" w:rsidRPr="009170F6" w14:paraId="576AEF0D" w14:textId="77777777" w:rsidTr="009170F6">
        <w:trPr>
          <w:trHeight w:val="320"/>
        </w:trPr>
        <w:tc>
          <w:tcPr>
            <w:tcW w:w="3298" w:type="pct"/>
            <w:shd w:val="clear" w:color="auto" w:fill="auto"/>
            <w:noWrap/>
            <w:vAlign w:val="bottom"/>
            <w:hideMark/>
          </w:tcPr>
          <w:p w14:paraId="0146FFC6" w14:textId="77777777" w:rsidR="001F27D2" w:rsidRPr="009170F6" w:rsidRDefault="001F27D2" w:rsidP="009170F6">
            <w:pPr>
              <w:spacing w:before="0" w:after="0"/>
              <w:rPr>
                <w:rFonts w:cs="Calibri"/>
                <w:color w:val="000000"/>
                <w:sz w:val="22"/>
                <w:szCs w:val="22"/>
              </w:rPr>
            </w:pPr>
            <w:r w:rsidRPr="009170F6">
              <w:rPr>
                <w:rFonts w:cs="Calibri"/>
                <w:color w:val="000000"/>
                <w:sz w:val="22"/>
                <w:szCs w:val="22"/>
              </w:rPr>
              <w:t>A member of my household is unable to manage stairs and needs ground floor facilities</w:t>
            </w:r>
          </w:p>
        </w:tc>
        <w:tc>
          <w:tcPr>
            <w:tcW w:w="904" w:type="pct"/>
            <w:shd w:val="clear" w:color="auto" w:fill="auto"/>
            <w:noWrap/>
            <w:vAlign w:val="bottom"/>
            <w:hideMark/>
          </w:tcPr>
          <w:p w14:paraId="1BCF0CAC"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31.3%</w:t>
            </w:r>
          </w:p>
        </w:tc>
        <w:tc>
          <w:tcPr>
            <w:tcW w:w="798" w:type="pct"/>
          </w:tcPr>
          <w:p w14:paraId="7125EFBC"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+730</w:t>
            </w:r>
          </w:p>
        </w:tc>
      </w:tr>
      <w:tr w:rsidR="001F27D2" w:rsidRPr="009170F6" w14:paraId="4E38E4CE" w14:textId="77777777" w:rsidTr="009170F6">
        <w:trPr>
          <w:trHeight w:val="320"/>
        </w:trPr>
        <w:tc>
          <w:tcPr>
            <w:tcW w:w="3298" w:type="pct"/>
            <w:shd w:val="clear" w:color="auto" w:fill="auto"/>
            <w:noWrap/>
            <w:vAlign w:val="bottom"/>
            <w:hideMark/>
          </w:tcPr>
          <w:p w14:paraId="3C61AF99" w14:textId="77777777" w:rsidR="001F27D2" w:rsidRPr="009170F6" w:rsidRDefault="001F27D2" w:rsidP="009170F6">
            <w:pPr>
              <w:spacing w:before="0" w:after="0"/>
              <w:rPr>
                <w:rFonts w:cs="Calibri"/>
                <w:color w:val="000000"/>
                <w:sz w:val="22"/>
                <w:szCs w:val="22"/>
              </w:rPr>
            </w:pPr>
            <w:r w:rsidRPr="009170F6">
              <w:rPr>
                <w:rFonts w:cs="Calibri"/>
                <w:color w:val="000000"/>
                <w:sz w:val="22"/>
                <w:szCs w:val="22"/>
              </w:rPr>
              <w:t>There are enough rooms in my household to accommodate a carer overnight when needed</w:t>
            </w:r>
          </w:p>
        </w:tc>
        <w:tc>
          <w:tcPr>
            <w:tcW w:w="904" w:type="pct"/>
            <w:shd w:val="clear" w:color="auto" w:fill="auto"/>
            <w:noWrap/>
            <w:vAlign w:val="bottom"/>
            <w:hideMark/>
          </w:tcPr>
          <w:p w14:paraId="0A9A4D50"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45.2%</w:t>
            </w:r>
          </w:p>
        </w:tc>
        <w:tc>
          <w:tcPr>
            <w:tcW w:w="798" w:type="pct"/>
          </w:tcPr>
          <w:p w14:paraId="5C94A989"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+1,054</w:t>
            </w:r>
          </w:p>
        </w:tc>
      </w:tr>
      <w:tr w:rsidR="001F27D2" w:rsidRPr="009170F6" w14:paraId="054A41D7" w14:textId="77777777" w:rsidTr="009170F6">
        <w:trPr>
          <w:trHeight w:val="320"/>
        </w:trPr>
        <w:tc>
          <w:tcPr>
            <w:tcW w:w="3298" w:type="pct"/>
            <w:shd w:val="clear" w:color="auto" w:fill="auto"/>
            <w:noWrap/>
            <w:vAlign w:val="bottom"/>
            <w:hideMark/>
          </w:tcPr>
          <w:p w14:paraId="77AE8C39" w14:textId="77777777" w:rsidR="001F27D2" w:rsidRPr="009170F6" w:rsidRDefault="001F27D2" w:rsidP="009170F6">
            <w:pPr>
              <w:spacing w:before="0" w:after="0"/>
              <w:rPr>
                <w:rFonts w:cs="Calibri"/>
                <w:color w:val="000000"/>
                <w:sz w:val="22"/>
                <w:szCs w:val="22"/>
              </w:rPr>
            </w:pPr>
            <w:r w:rsidRPr="009170F6">
              <w:rPr>
                <w:rFonts w:cs="Calibri"/>
                <w:color w:val="000000"/>
                <w:sz w:val="22"/>
                <w:szCs w:val="22"/>
              </w:rPr>
              <w:t>Base (valid responses)</w:t>
            </w:r>
          </w:p>
        </w:tc>
        <w:tc>
          <w:tcPr>
            <w:tcW w:w="904" w:type="pct"/>
            <w:shd w:val="clear" w:color="auto" w:fill="auto"/>
            <w:noWrap/>
            <w:vAlign w:val="bottom"/>
            <w:hideMark/>
          </w:tcPr>
          <w:p w14:paraId="7E465B4B"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3117</w:t>
            </w:r>
          </w:p>
        </w:tc>
        <w:tc>
          <w:tcPr>
            <w:tcW w:w="798" w:type="pct"/>
          </w:tcPr>
          <w:p w14:paraId="6C293E5C" w14:textId="77777777" w:rsidR="001F27D2" w:rsidRPr="009170F6" w:rsidRDefault="001F27D2" w:rsidP="009170F6">
            <w:pPr>
              <w:spacing w:before="0" w:after="0"/>
              <w:jc w:val="center"/>
              <w:rPr>
                <w:rFonts w:cs="Calibri"/>
                <w:color w:val="000000"/>
                <w:sz w:val="22"/>
                <w:szCs w:val="22"/>
              </w:rPr>
            </w:pPr>
          </w:p>
        </w:tc>
      </w:tr>
      <w:tr w:rsidR="001F27D2" w:rsidRPr="009170F6" w14:paraId="5BBA34A1" w14:textId="77777777" w:rsidTr="009170F6">
        <w:trPr>
          <w:trHeight w:val="320"/>
        </w:trPr>
        <w:tc>
          <w:tcPr>
            <w:tcW w:w="3298" w:type="pct"/>
            <w:shd w:val="clear" w:color="auto" w:fill="auto"/>
            <w:noWrap/>
            <w:vAlign w:val="bottom"/>
          </w:tcPr>
          <w:p w14:paraId="0CCC96AC" w14:textId="77777777" w:rsidR="001F27D2" w:rsidRPr="009170F6" w:rsidRDefault="001F27D2" w:rsidP="009170F6">
            <w:pPr>
              <w:spacing w:before="0" w:after="0"/>
              <w:rPr>
                <w:rFonts w:cs="Calibri"/>
                <w:color w:val="000000"/>
                <w:sz w:val="22"/>
                <w:szCs w:val="22"/>
              </w:rPr>
            </w:pPr>
            <w:r w:rsidRPr="009170F6">
              <w:rPr>
                <w:rFonts w:cs="Calibri"/>
                <w:color w:val="000000"/>
                <w:sz w:val="22"/>
                <w:szCs w:val="22"/>
              </w:rPr>
              <w:t>Base (number of households)</w:t>
            </w:r>
          </w:p>
        </w:tc>
        <w:tc>
          <w:tcPr>
            <w:tcW w:w="904" w:type="pct"/>
            <w:shd w:val="clear" w:color="auto" w:fill="auto"/>
            <w:noWrap/>
            <w:vAlign w:val="bottom"/>
          </w:tcPr>
          <w:p w14:paraId="1FBCF57D"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9,236</w:t>
            </w:r>
          </w:p>
        </w:tc>
        <w:tc>
          <w:tcPr>
            <w:tcW w:w="798" w:type="pct"/>
          </w:tcPr>
          <w:p w14:paraId="2F228E4F"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11,568</w:t>
            </w:r>
          </w:p>
        </w:tc>
      </w:tr>
    </w:tbl>
    <w:p w14:paraId="1181ECB7" w14:textId="77777777" w:rsidR="001F27D2" w:rsidRPr="009170F6" w:rsidRDefault="001F27D2" w:rsidP="009170F6">
      <w:pPr>
        <w:pStyle w:val="Reporttext"/>
        <w:numPr>
          <w:ilvl w:val="0"/>
          <w:numId w:val="0"/>
        </w:numPr>
        <w:rPr>
          <w:sz w:val="20"/>
        </w:rPr>
      </w:pPr>
      <w:r w:rsidRPr="009170F6">
        <w:rPr>
          <w:sz w:val="20"/>
        </w:rPr>
        <w:t>Source: 2018 household survey</w:t>
      </w:r>
    </w:p>
    <w:p w14:paraId="4062F55B" w14:textId="77777777" w:rsidR="001F27D2" w:rsidRPr="002B2A7F" w:rsidRDefault="001F27D2" w:rsidP="001F27D2">
      <w:pPr>
        <w:pStyle w:val="Reporttext"/>
        <w:numPr>
          <w:ilvl w:val="0"/>
          <w:numId w:val="0"/>
        </w:numPr>
        <w:ind w:left="709"/>
      </w:pPr>
    </w:p>
    <w:p w14:paraId="2F6B8BD6" w14:textId="77777777" w:rsidR="001F27D2" w:rsidRPr="002B2A7F" w:rsidRDefault="001F27D2" w:rsidP="001F27D2">
      <w:pPr>
        <w:pStyle w:val="Reporttext"/>
      </w:pPr>
      <w:r w:rsidRPr="002B2A7F">
        <w:t>Resources for aids and adaptations remain limited, particularly for households in the private sector (owner occupation or privately rented accommodation). However, as mentioned above in respect of support requirements, the provision of appropriate adaptations is essential to older households in maintaining independent living. Alternative sources of funding, such as equity loans, could be considered to finance remedial measures required by older person households.  It should be pointed out that whilst local authorities will assess anyone’s needs, assistance is means tested and many will self-fund.</w:t>
      </w:r>
    </w:p>
    <w:p w14:paraId="4BE05A2C" w14:textId="77777777" w:rsidR="001F27D2" w:rsidRPr="002B2A7F" w:rsidRDefault="001F27D2" w:rsidP="001F27D2">
      <w:pPr>
        <w:pStyle w:val="Reporttext"/>
      </w:pPr>
      <w:r w:rsidRPr="002B2A7F">
        <w:t>As a preventative measure, the Government has given local authorities discretionary powers to require housebuilders to build a proportion of new homes to defined access standards.</w:t>
      </w:r>
    </w:p>
    <w:p w14:paraId="78F0241F" w14:textId="77777777" w:rsidR="001F27D2" w:rsidRPr="002B2A7F" w:rsidRDefault="001F27D2" w:rsidP="009170F6">
      <w:pPr>
        <w:rPr>
          <w:lang w:val="en-US"/>
        </w:rPr>
      </w:pPr>
    </w:p>
    <w:p w14:paraId="2FA6A6CF" w14:textId="77777777" w:rsidR="001F27D2" w:rsidRPr="002B2A7F" w:rsidRDefault="001F27D2" w:rsidP="001F27D2">
      <w:pPr>
        <w:pStyle w:val="Heading3"/>
        <w:rPr>
          <w:rFonts w:asciiTheme="minorHAnsi" w:hAnsiTheme="minorHAnsi"/>
          <w:lang w:val="en-US"/>
        </w:rPr>
      </w:pPr>
      <w:r w:rsidRPr="002B2A7F">
        <w:rPr>
          <w:rFonts w:asciiTheme="minorHAnsi" w:hAnsiTheme="minorHAnsi"/>
          <w:lang w:val="en-US"/>
        </w:rPr>
        <w:t>Conclusions of the need for older persons housing</w:t>
      </w:r>
    </w:p>
    <w:p w14:paraId="275A1C42" w14:textId="0AF65F4E" w:rsidR="001F27D2" w:rsidRPr="002B2A7F" w:rsidRDefault="001F27D2" w:rsidP="001F27D2">
      <w:pPr>
        <w:pStyle w:val="Reporttext"/>
      </w:pPr>
      <w:r w:rsidRPr="002B2A7F">
        <w:t>In</w:t>
      </w:r>
      <w:r w:rsidRPr="002B2A7F">
        <w:rPr>
          <w:lang w:val="en-US"/>
        </w:rPr>
        <w:t xml:space="preserve"> accordance with PPG, the </w:t>
      </w:r>
      <w:r w:rsidR="00E1269E">
        <w:rPr>
          <w:lang w:val="en-US"/>
        </w:rPr>
        <w:t>H</w:t>
      </w:r>
      <w:r w:rsidRPr="002B2A7F">
        <w:rPr>
          <w:lang w:val="en-US"/>
        </w:rPr>
        <w:t xml:space="preserve">ousing </w:t>
      </w:r>
      <w:r w:rsidR="00E1269E">
        <w:rPr>
          <w:lang w:val="en-US"/>
        </w:rPr>
        <w:t>N</w:t>
      </w:r>
      <w:r w:rsidRPr="002B2A7F">
        <w:rPr>
          <w:lang w:val="en-US"/>
        </w:rPr>
        <w:t xml:space="preserve">eeds </w:t>
      </w:r>
      <w:r w:rsidR="00E1269E">
        <w:rPr>
          <w:lang w:val="en-US"/>
        </w:rPr>
        <w:t>S</w:t>
      </w:r>
      <w:r w:rsidRPr="002B2A7F">
        <w:rPr>
          <w:lang w:val="en-US"/>
        </w:rPr>
        <w:t>tudy has considered the future need for older person specialist accommodation, the need for residential care institutions and considered the role of general housing in meeting needs, in particular bungalows and homes that can be adapted to meet a change in needs.</w:t>
      </w:r>
    </w:p>
    <w:p w14:paraId="46FAC746" w14:textId="3074EA80" w:rsidR="001F27D2" w:rsidRPr="002B2A7F" w:rsidRDefault="001F27D2" w:rsidP="001F27D2">
      <w:pPr>
        <w:pStyle w:val="Reporttext"/>
      </w:pPr>
      <w:r w:rsidRPr="002B2A7F">
        <w:rPr>
          <w:lang w:val="en-US"/>
        </w:rPr>
        <w:t>The number of households headed by someone aged 60 or over is expected to increase by around 3,140 by 2032. The majority (76.1%) of older survey respondents want to continue to live in their current home with support when needed</w:t>
      </w:r>
      <w:r w:rsidR="00E1269E">
        <w:rPr>
          <w:lang w:val="en-US"/>
        </w:rPr>
        <w:t>.</w:t>
      </w:r>
      <w:r w:rsidRPr="002B2A7F">
        <w:rPr>
          <w:lang w:val="en-US"/>
        </w:rPr>
        <w:t xml:space="preserve"> National arc4 surveys </w:t>
      </w:r>
      <w:r w:rsidRPr="002B2A7F">
        <w:rPr>
          <w:lang w:val="en-US"/>
        </w:rPr>
        <w:lastRenderedPageBreak/>
        <w:t xml:space="preserve">suggest that help with repair/maintenance, gardening, cleaning and other practical tasks would help people remain in their own home and this is reflected in local evidence across the District and the number of households likely to require support over the </w:t>
      </w:r>
      <w:r w:rsidR="00E1269E">
        <w:rPr>
          <w:lang w:val="en-US"/>
        </w:rPr>
        <w:t>P</w:t>
      </w:r>
      <w:r w:rsidRPr="002B2A7F">
        <w:rPr>
          <w:lang w:val="en-US"/>
        </w:rPr>
        <w:t xml:space="preserve">lan </w:t>
      </w:r>
      <w:r w:rsidR="00E1269E">
        <w:rPr>
          <w:lang w:val="en-US"/>
        </w:rPr>
        <w:t>P</w:t>
      </w:r>
      <w:r w:rsidRPr="002B2A7F">
        <w:rPr>
          <w:lang w:val="en-US"/>
        </w:rPr>
        <w:t xml:space="preserve">eriod. The household survey also points to a need to deliver a range of smaller dwellings for older people in the general market and specialist older housing provision. </w:t>
      </w:r>
    </w:p>
    <w:p w14:paraId="1DBBA438" w14:textId="77777777" w:rsidR="001F27D2" w:rsidRPr="002B2A7F" w:rsidRDefault="001F27D2" w:rsidP="001F27D2">
      <w:pPr>
        <w:pStyle w:val="Reporttext"/>
      </w:pPr>
      <w:r w:rsidRPr="002B2A7F">
        <w:rPr>
          <w:lang w:val="en-US"/>
        </w:rPr>
        <w:t xml:space="preserve">There are currently around 764 units of specialist older persons accommodation including 253 units of residential care (C2) units. 58% is provided by a Registered Provider and 42% by a private organisation. It is estimated that an additional 248 units of specialist older person (C2) and 123 units of residential care (C3) will be required to 2032. </w:t>
      </w:r>
    </w:p>
    <w:p w14:paraId="4297BF60" w14:textId="27DC8FE7" w:rsidR="001F27D2" w:rsidRPr="002B2A7F" w:rsidRDefault="001F27D2" w:rsidP="001F27D2">
      <w:pPr>
        <w:pStyle w:val="Reporttext"/>
      </w:pPr>
      <w:r w:rsidRPr="002B2A7F">
        <w:rPr>
          <w:lang w:val="en-US"/>
        </w:rPr>
        <w:t xml:space="preserve">A key conclusion is that there needs to be a broader housing offer for older people across the </w:t>
      </w:r>
      <w:r w:rsidR="00E1269E">
        <w:rPr>
          <w:lang w:val="en-US"/>
        </w:rPr>
        <w:t>D</w:t>
      </w:r>
      <w:r w:rsidRPr="002B2A7F">
        <w:rPr>
          <w:lang w:val="en-US"/>
        </w:rPr>
        <w:t xml:space="preserve">istrict and this study has provided evidence of scale and range of dwellings needed. </w:t>
      </w:r>
    </w:p>
    <w:p w14:paraId="5295A735" w14:textId="77777777" w:rsidR="001F27D2" w:rsidRPr="002B2A7F" w:rsidRDefault="001F27D2" w:rsidP="001F27D2">
      <w:pPr>
        <w:rPr>
          <w:rFonts w:asciiTheme="minorHAnsi" w:hAnsiTheme="minorHAnsi" w:cs="Calibri"/>
        </w:rPr>
      </w:pPr>
    </w:p>
    <w:p w14:paraId="523C7438" w14:textId="77777777" w:rsidR="001F27D2" w:rsidRPr="002B2A7F" w:rsidRDefault="001F27D2" w:rsidP="001F27D2">
      <w:pPr>
        <w:pStyle w:val="Heading2"/>
        <w:rPr>
          <w:rFonts w:asciiTheme="minorHAnsi" w:hAnsiTheme="minorHAnsi"/>
        </w:rPr>
      </w:pPr>
      <w:bookmarkStart w:id="502" w:name="_Toc529780769"/>
      <w:bookmarkStart w:id="503" w:name="_Toc531122893"/>
      <w:bookmarkStart w:id="504" w:name="_Toc532812425"/>
      <w:r w:rsidRPr="002B2A7F">
        <w:rPr>
          <w:rFonts w:asciiTheme="minorHAnsi" w:hAnsiTheme="minorHAnsi"/>
        </w:rPr>
        <w:t>Housing for people with disabilities and additional needs</w:t>
      </w:r>
      <w:bookmarkEnd w:id="502"/>
      <w:bookmarkEnd w:id="503"/>
      <w:bookmarkEnd w:id="504"/>
    </w:p>
    <w:p w14:paraId="74436B9F" w14:textId="540EA480" w:rsidR="001F27D2" w:rsidRPr="002B2A7F" w:rsidRDefault="001F27D2" w:rsidP="001F27D2">
      <w:pPr>
        <w:pStyle w:val="Reporttext"/>
      </w:pPr>
      <w:r w:rsidRPr="002B2A7F">
        <w:t xml:space="preserve">A range of data </w:t>
      </w:r>
      <w:r w:rsidRPr="002B2A7F">
        <w:rPr>
          <w:lang w:val="en-US"/>
        </w:rPr>
        <w:t xml:space="preserve">has been </w:t>
      </w:r>
      <w:r w:rsidR="00E1269E">
        <w:rPr>
          <w:lang w:val="en-US"/>
        </w:rPr>
        <w:t xml:space="preserve">used </w:t>
      </w:r>
      <w:r w:rsidRPr="002B2A7F">
        <w:rPr>
          <w:lang w:val="en-US"/>
        </w:rPr>
        <w:t>to consider the housing needs of people with disabilities and additional needs. This section considers data which sets out the likely scale of residents who have particular disabilities and additional needs; and then considers any evidence regarding the nature of dwelling stock required to help meet the needs of different groups.</w:t>
      </w:r>
    </w:p>
    <w:p w14:paraId="5984A673" w14:textId="77777777" w:rsidR="001F27D2" w:rsidRPr="002B2A7F" w:rsidRDefault="001F27D2" w:rsidP="001F27D2">
      <w:pPr>
        <w:pStyle w:val="Reporttext"/>
      </w:pPr>
      <w:r w:rsidRPr="002B2A7F">
        <w:rPr>
          <w:lang w:val="en-US"/>
        </w:rPr>
        <w:t>The data assembled falls into the following categories:</w:t>
      </w:r>
    </w:p>
    <w:p w14:paraId="50F27500" w14:textId="613D6A40" w:rsidR="001F27D2" w:rsidRPr="002B2A7F" w:rsidRDefault="001F27D2" w:rsidP="001F27D2">
      <w:pPr>
        <w:pStyle w:val="bullet"/>
        <w:spacing w:before="0"/>
        <w:jc w:val="left"/>
        <w:rPr>
          <w:rFonts w:asciiTheme="minorHAnsi" w:hAnsiTheme="minorHAnsi"/>
        </w:rPr>
      </w:pPr>
      <w:r w:rsidRPr="002B2A7F">
        <w:rPr>
          <w:rFonts w:asciiTheme="minorHAnsi" w:hAnsiTheme="minorHAnsi"/>
          <w:lang w:val="en-US"/>
        </w:rPr>
        <w:t xml:space="preserve">National sources including the Census, national disability prevalence rates applied to the </w:t>
      </w:r>
      <w:r w:rsidR="00E1269E">
        <w:rPr>
          <w:rFonts w:asciiTheme="minorHAnsi" w:hAnsiTheme="minorHAnsi"/>
          <w:lang w:val="en-US"/>
        </w:rPr>
        <w:t>b</w:t>
      </w:r>
      <w:r w:rsidRPr="002B2A7F">
        <w:rPr>
          <w:rFonts w:asciiTheme="minorHAnsi" w:hAnsiTheme="minorHAnsi"/>
          <w:lang w:val="en-US"/>
        </w:rPr>
        <w:t>orough population, Disability Living Allowance statistics;</w:t>
      </w:r>
    </w:p>
    <w:p w14:paraId="007F5812" w14:textId="0FC392B4" w:rsidR="001F27D2" w:rsidRPr="002B2A7F" w:rsidRDefault="001F27D2" w:rsidP="001F27D2">
      <w:pPr>
        <w:pStyle w:val="bullet"/>
        <w:spacing w:before="0"/>
        <w:jc w:val="left"/>
        <w:rPr>
          <w:rFonts w:asciiTheme="minorHAnsi" w:hAnsiTheme="minorHAnsi"/>
        </w:rPr>
      </w:pPr>
      <w:r w:rsidRPr="002B2A7F">
        <w:rPr>
          <w:rFonts w:asciiTheme="minorHAnsi" w:hAnsiTheme="minorHAnsi"/>
          <w:lang w:val="en-US"/>
        </w:rPr>
        <w:t xml:space="preserve">Data from the </w:t>
      </w:r>
      <w:r w:rsidR="00E1269E">
        <w:rPr>
          <w:rFonts w:asciiTheme="minorHAnsi" w:hAnsiTheme="minorHAnsi"/>
          <w:lang w:val="en-US"/>
        </w:rPr>
        <w:t>h</w:t>
      </w:r>
      <w:r w:rsidRPr="002B2A7F">
        <w:rPr>
          <w:rFonts w:asciiTheme="minorHAnsi" w:hAnsiTheme="minorHAnsi"/>
          <w:lang w:val="en-US"/>
        </w:rPr>
        <w:t xml:space="preserve">ousehold </w:t>
      </w:r>
      <w:r w:rsidR="00E1269E">
        <w:rPr>
          <w:rFonts w:asciiTheme="minorHAnsi" w:hAnsiTheme="minorHAnsi"/>
          <w:lang w:val="en-US"/>
        </w:rPr>
        <w:t>s</w:t>
      </w:r>
      <w:r w:rsidRPr="002B2A7F">
        <w:rPr>
          <w:rFonts w:asciiTheme="minorHAnsi" w:hAnsiTheme="minorHAnsi"/>
          <w:lang w:val="en-US"/>
        </w:rPr>
        <w:t>urvey;</w:t>
      </w:r>
    </w:p>
    <w:p w14:paraId="30626090" w14:textId="77777777" w:rsidR="001F27D2" w:rsidRPr="002B2A7F" w:rsidRDefault="001F27D2" w:rsidP="001F27D2">
      <w:pPr>
        <w:pStyle w:val="bullet"/>
        <w:spacing w:before="0"/>
        <w:jc w:val="left"/>
        <w:rPr>
          <w:rFonts w:asciiTheme="minorHAnsi" w:hAnsiTheme="minorHAnsi"/>
        </w:rPr>
      </w:pPr>
      <w:r w:rsidRPr="002B2A7F">
        <w:rPr>
          <w:rFonts w:asciiTheme="minorHAnsi" w:hAnsiTheme="minorHAnsi"/>
          <w:lang w:val="en-US"/>
        </w:rPr>
        <w:t>Qualitative data obtained from service providers within the Council through in-depth discussions;</w:t>
      </w:r>
    </w:p>
    <w:p w14:paraId="491F4CBB" w14:textId="77777777" w:rsidR="001F27D2" w:rsidRPr="002B2A7F" w:rsidRDefault="001F27D2" w:rsidP="001F27D2">
      <w:pPr>
        <w:pStyle w:val="bullet"/>
        <w:spacing w:before="0"/>
        <w:jc w:val="left"/>
        <w:rPr>
          <w:rFonts w:asciiTheme="minorHAnsi" w:hAnsiTheme="minorHAnsi"/>
        </w:rPr>
      </w:pPr>
      <w:r w:rsidRPr="002B2A7F">
        <w:rPr>
          <w:rFonts w:asciiTheme="minorHAnsi" w:hAnsiTheme="minorHAnsi"/>
          <w:lang w:val="en-US"/>
        </w:rPr>
        <w:t xml:space="preserve">Quantitative data obtained from service providers; </w:t>
      </w:r>
    </w:p>
    <w:p w14:paraId="50CF6DCC" w14:textId="77777777" w:rsidR="001F27D2" w:rsidRPr="002B2A7F" w:rsidRDefault="001F27D2" w:rsidP="001F27D2">
      <w:pPr>
        <w:pStyle w:val="bullet"/>
        <w:spacing w:before="0"/>
        <w:jc w:val="left"/>
        <w:rPr>
          <w:rFonts w:asciiTheme="minorHAnsi" w:hAnsiTheme="minorHAnsi"/>
        </w:rPr>
      </w:pPr>
      <w:r w:rsidRPr="002B2A7F">
        <w:rPr>
          <w:rFonts w:asciiTheme="minorHAnsi" w:hAnsiTheme="minorHAnsi"/>
          <w:lang w:val="en-US"/>
        </w:rPr>
        <w:t>Feedback from general stakeholder consultation carried out as part of the study.</w:t>
      </w:r>
    </w:p>
    <w:p w14:paraId="40B414C2" w14:textId="1D1F1FC7" w:rsidR="001F27D2" w:rsidRPr="002B2A7F" w:rsidRDefault="001F27D2" w:rsidP="001F27D2">
      <w:pPr>
        <w:pStyle w:val="Reporttext"/>
      </w:pPr>
      <w:r w:rsidRPr="002B2A7F">
        <w:rPr>
          <w:lang w:val="en-US"/>
        </w:rPr>
        <w:t xml:space="preserve">It should be noted that there can be variation in the estimates of residents with particular disabilities and additional needs. There are several reasons for this, for instance a person may self-report as having an illness/disability on the 2011 Census or the 2018 </w:t>
      </w:r>
      <w:r w:rsidR="00E1269E">
        <w:rPr>
          <w:lang w:val="en-US"/>
        </w:rPr>
        <w:t>h</w:t>
      </w:r>
      <w:r w:rsidRPr="002B2A7F">
        <w:rPr>
          <w:lang w:val="en-US"/>
        </w:rPr>
        <w:t xml:space="preserve">ousehold </w:t>
      </w:r>
      <w:r w:rsidR="00E1269E">
        <w:rPr>
          <w:lang w:val="en-US"/>
        </w:rPr>
        <w:t>s</w:t>
      </w:r>
      <w:r w:rsidRPr="002B2A7F">
        <w:rPr>
          <w:lang w:val="en-US"/>
        </w:rPr>
        <w:t>urvey but not be known to service providers; and some data may be collected for specific administrative purposes, for instance when someone presents themselves to service providers for assistance. There are also variations in the timescales for data reported across different groups. Therefore, the data is not necessarily consistent across each of the needs grou</w:t>
      </w:r>
      <w:r w:rsidR="00E1269E">
        <w:rPr>
          <w:lang w:val="en-US"/>
        </w:rPr>
        <w:t>ps</w:t>
      </w:r>
      <w:r w:rsidRPr="002B2A7F">
        <w:rPr>
          <w:lang w:val="en-US"/>
        </w:rPr>
        <w:t xml:space="preserve"> but a genuine attempt has been made to compile available data from published sources, primary research and data from Council officers and consider the accommodation needs of particular groups. </w:t>
      </w:r>
    </w:p>
    <w:p w14:paraId="578D34A9" w14:textId="77777777" w:rsidR="001F27D2" w:rsidRPr="002B2A7F" w:rsidRDefault="001F27D2" w:rsidP="001F27D2">
      <w:pPr>
        <w:pStyle w:val="Reporttext"/>
      </w:pPr>
      <w:r w:rsidRPr="002B2A7F">
        <w:t>Arc4 considers that the following categories of need should be considered in an assessment of needs for people with disabilities and additional needs</w:t>
      </w:r>
      <w:r w:rsidRPr="002B2A7F">
        <w:rPr>
          <w:lang w:val="en-US"/>
        </w:rPr>
        <w:t>. This forms the basis of our assessment of housing need for people with disabilities and additional needs</w:t>
      </w:r>
      <w:r w:rsidRPr="002B2A7F">
        <w:t>:</w:t>
      </w:r>
    </w:p>
    <w:p w14:paraId="5F2A1D98" w14:textId="77777777" w:rsidR="001F27D2" w:rsidRPr="002B2A7F" w:rsidRDefault="001F27D2" w:rsidP="007D2B69">
      <w:pPr>
        <w:pStyle w:val="Reporttext"/>
        <w:numPr>
          <w:ilvl w:val="0"/>
          <w:numId w:val="32"/>
        </w:numPr>
      </w:pPr>
      <w:r w:rsidRPr="002B2A7F">
        <w:lastRenderedPageBreak/>
        <w:t>People with disability and health needs:</w:t>
      </w:r>
    </w:p>
    <w:p w14:paraId="6DBE4721" w14:textId="77777777" w:rsidR="001F27D2" w:rsidRPr="002B2A7F" w:rsidRDefault="001F27D2" w:rsidP="001F27D2">
      <w:pPr>
        <w:pStyle w:val="bullet"/>
        <w:spacing w:before="0"/>
        <w:ind w:left="1429"/>
        <w:jc w:val="left"/>
        <w:rPr>
          <w:rFonts w:asciiTheme="minorHAnsi" w:hAnsiTheme="minorHAnsi"/>
        </w:rPr>
      </w:pPr>
      <w:r w:rsidRPr="002B2A7F">
        <w:rPr>
          <w:rFonts w:asciiTheme="minorHAnsi" w:hAnsiTheme="minorHAnsi"/>
        </w:rPr>
        <w:t>People with learning disabilities,</w:t>
      </w:r>
    </w:p>
    <w:p w14:paraId="37BBA0F2" w14:textId="77777777" w:rsidR="001F27D2" w:rsidRPr="002B2A7F" w:rsidRDefault="001F27D2" w:rsidP="001F27D2">
      <w:pPr>
        <w:pStyle w:val="bullet"/>
        <w:spacing w:before="0"/>
        <w:ind w:left="1429"/>
        <w:jc w:val="left"/>
        <w:rPr>
          <w:rFonts w:asciiTheme="minorHAnsi" w:hAnsiTheme="minorHAnsi"/>
        </w:rPr>
      </w:pPr>
      <w:r w:rsidRPr="002B2A7F">
        <w:rPr>
          <w:rFonts w:asciiTheme="minorHAnsi" w:hAnsiTheme="minorHAnsi"/>
        </w:rPr>
        <w:t>People with profound intellectual and multiple disabilities (complex needs),</w:t>
      </w:r>
    </w:p>
    <w:p w14:paraId="341A2361" w14:textId="77777777" w:rsidR="001F27D2" w:rsidRPr="002B2A7F" w:rsidRDefault="001F27D2" w:rsidP="001F27D2">
      <w:pPr>
        <w:pStyle w:val="bullet"/>
        <w:spacing w:before="0"/>
        <w:ind w:left="1429"/>
        <w:jc w:val="left"/>
        <w:rPr>
          <w:rFonts w:asciiTheme="minorHAnsi" w:hAnsiTheme="minorHAnsi"/>
        </w:rPr>
      </w:pPr>
      <w:r w:rsidRPr="002B2A7F">
        <w:rPr>
          <w:rFonts w:asciiTheme="minorHAnsi" w:hAnsiTheme="minorHAnsi"/>
        </w:rPr>
        <w:t>People with Autism including Aspergers,</w:t>
      </w:r>
    </w:p>
    <w:p w14:paraId="69CC144E" w14:textId="77777777" w:rsidR="001F27D2" w:rsidRPr="002B2A7F" w:rsidRDefault="001F27D2" w:rsidP="001F27D2">
      <w:pPr>
        <w:pStyle w:val="bullet"/>
        <w:spacing w:before="0"/>
        <w:ind w:left="1429"/>
        <w:jc w:val="left"/>
        <w:rPr>
          <w:rFonts w:asciiTheme="minorHAnsi" w:hAnsiTheme="minorHAnsi"/>
        </w:rPr>
      </w:pPr>
      <w:r w:rsidRPr="002B2A7F">
        <w:rPr>
          <w:rFonts w:asciiTheme="minorHAnsi" w:hAnsiTheme="minorHAnsi"/>
        </w:rPr>
        <w:t>People with behaviours which challenge e.g. people with complex mental health needs, learning disabilities and autism (Transforming Care cohort) who may be a risk to self and to others,</w:t>
      </w:r>
    </w:p>
    <w:p w14:paraId="5533ECE5" w14:textId="77777777" w:rsidR="001F27D2" w:rsidRPr="002B2A7F" w:rsidRDefault="001F27D2" w:rsidP="001F27D2">
      <w:pPr>
        <w:pStyle w:val="bullet"/>
        <w:spacing w:before="0"/>
        <w:ind w:left="1429"/>
        <w:jc w:val="left"/>
        <w:rPr>
          <w:rFonts w:asciiTheme="minorHAnsi" w:hAnsiTheme="minorHAnsi"/>
        </w:rPr>
      </w:pPr>
      <w:r w:rsidRPr="002B2A7F">
        <w:rPr>
          <w:rFonts w:asciiTheme="minorHAnsi" w:hAnsiTheme="minorHAnsi"/>
        </w:rPr>
        <w:t>People with physical disabilities,</w:t>
      </w:r>
    </w:p>
    <w:p w14:paraId="4413F0FF" w14:textId="77777777" w:rsidR="001F27D2" w:rsidRPr="002B2A7F" w:rsidRDefault="001F27D2" w:rsidP="001F27D2">
      <w:pPr>
        <w:pStyle w:val="bullet"/>
        <w:spacing w:before="0"/>
        <w:ind w:left="1429"/>
        <w:jc w:val="left"/>
        <w:rPr>
          <w:rFonts w:asciiTheme="minorHAnsi" w:hAnsiTheme="minorHAnsi"/>
        </w:rPr>
      </w:pPr>
      <w:r w:rsidRPr="002B2A7F">
        <w:rPr>
          <w:rFonts w:asciiTheme="minorHAnsi" w:hAnsiTheme="minorHAnsi"/>
        </w:rPr>
        <w:t>People with sensory impairments,</w:t>
      </w:r>
    </w:p>
    <w:p w14:paraId="4C113E61" w14:textId="77777777" w:rsidR="001F27D2" w:rsidRPr="002B2A7F" w:rsidRDefault="001F27D2" w:rsidP="001F27D2">
      <w:pPr>
        <w:pStyle w:val="bullet"/>
        <w:spacing w:before="0"/>
        <w:ind w:left="1429"/>
        <w:jc w:val="left"/>
        <w:rPr>
          <w:rFonts w:asciiTheme="minorHAnsi" w:hAnsiTheme="minorHAnsi"/>
        </w:rPr>
      </w:pPr>
      <w:r w:rsidRPr="002B2A7F">
        <w:rPr>
          <w:rFonts w:asciiTheme="minorHAnsi" w:hAnsiTheme="minorHAnsi"/>
        </w:rPr>
        <w:t>Rehabilitation or Reablement support (e.g. acquired brain injury, stroke, following a hospital stay),</w:t>
      </w:r>
    </w:p>
    <w:p w14:paraId="4C92DD9D" w14:textId="77777777" w:rsidR="001F27D2" w:rsidRPr="002B2A7F" w:rsidRDefault="001F27D2" w:rsidP="001F27D2">
      <w:pPr>
        <w:pStyle w:val="bullet"/>
        <w:spacing w:before="0"/>
        <w:ind w:left="1429"/>
        <w:jc w:val="left"/>
        <w:rPr>
          <w:rFonts w:asciiTheme="minorHAnsi" w:hAnsiTheme="minorHAnsi"/>
        </w:rPr>
      </w:pPr>
      <w:r w:rsidRPr="002B2A7F">
        <w:rPr>
          <w:rFonts w:asciiTheme="minorHAnsi" w:hAnsiTheme="minorHAnsi"/>
        </w:rPr>
        <w:t>People with profound/complex needs who have a combination of conditions which can also include long-term conditions (e.g. diabetes, heart disease),</w:t>
      </w:r>
    </w:p>
    <w:p w14:paraId="394CA9BA" w14:textId="77777777" w:rsidR="001F27D2" w:rsidRPr="002B2A7F" w:rsidRDefault="001F27D2" w:rsidP="001F27D2">
      <w:pPr>
        <w:pStyle w:val="bullet"/>
        <w:spacing w:before="0"/>
        <w:ind w:left="1429"/>
        <w:jc w:val="left"/>
        <w:rPr>
          <w:rFonts w:asciiTheme="minorHAnsi" w:hAnsiTheme="minorHAnsi"/>
        </w:rPr>
      </w:pPr>
      <w:r w:rsidRPr="002B2A7F">
        <w:rPr>
          <w:rFonts w:asciiTheme="minorHAnsi" w:hAnsiTheme="minorHAnsi"/>
        </w:rPr>
        <w:t>People experiencing early onset dementia.</w:t>
      </w:r>
    </w:p>
    <w:p w14:paraId="4D18084E" w14:textId="77777777" w:rsidR="001F27D2" w:rsidRPr="002B2A7F" w:rsidRDefault="001F27D2" w:rsidP="001F27D2">
      <w:pPr>
        <w:pStyle w:val="Reporttext"/>
        <w:numPr>
          <w:ilvl w:val="0"/>
          <w:numId w:val="0"/>
        </w:numPr>
        <w:ind w:left="709"/>
      </w:pPr>
    </w:p>
    <w:p w14:paraId="2E0379F8" w14:textId="4E12D5A8" w:rsidR="001F27D2" w:rsidRPr="002B2A7F" w:rsidRDefault="001F27D2" w:rsidP="007D2B69">
      <w:pPr>
        <w:pStyle w:val="Reporttext"/>
        <w:numPr>
          <w:ilvl w:val="0"/>
          <w:numId w:val="32"/>
        </w:numPr>
      </w:pPr>
      <w:r w:rsidRPr="002B2A7F">
        <w:t>Other people with support needs</w:t>
      </w:r>
      <w:r w:rsidR="00E1269E">
        <w:t>:</w:t>
      </w:r>
    </w:p>
    <w:p w14:paraId="566AEC92" w14:textId="77777777" w:rsidR="001F27D2" w:rsidRPr="002B2A7F" w:rsidRDefault="001F27D2" w:rsidP="001F27D2">
      <w:pPr>
        <w:pStyle w:val="bullet"/>
        <w:spacing w:before="0"/>
        <w:ind w:left="1429"/>
        <w:jc w:val="left"/>
        <w:rPr>
          <w:rFonts w:asciiTheme="minorHAnsi" w:hAnsiTheme="minorHAnsi"/>
        </w:rPr>
      </w:pPr>
      <w:r w:rsidRPr="002B2A7F">
        <w:rPr>
          <w:rFonts w:asciiTheme="minorHAnsi" w:hAnsiTheme="minorHAnsi"/>
        </w:rPr>
        <w:t>People with multiple disadvantages,</w:t>
      </w:r>
    </w:p>
    <w:p w14:paraId="5F026FD5" w14:textId="77777777" w:rsidR="001F27D2" w:rsidRPr="002B2A7F" w:rsidRDefault="001F27D2" w:rsidP="001F27D2">
      <w:pPr>
        <w:pStyle w:val="bullet"/>
        <w:spacing w:before="0"/>
        <w:ind w:left="1429"/>
        <w:jc w:val="left"/>
        <w:rPr>
          <w:rFonts w:asciiTheme="minorHAnsi" w:hAnsiTheme="minorHAnsi"/>
        </w:rPr>
      </w:pPr>
      <w:r w:rsidRPr="002B2A7F">
        <w:rPr>
          <w:rFonts w:asciiTheme="minorHAnsi" w:hAnsiTheme="minorHAnsi"/>
        </w:rPr>
        <w:t>People with mental health issues,</w:t>
      </w:r>
    </w:p>
    <w:p w14:paraId="7B893390" w14:textId="77777777" w:rsidR="001F27D2" w:rsidRPr="002B2A7F" w:rsidRDefault="001F27D2" w:rsidP="001F27D2">
      <w:pPr>
        <w:pStyle w:val="bullet"/>
        <w:spacing w:before="0"/>
        <w:ind w:left="1429"/>
        <w:jc w:val="left"/>
        <w:rPr>
          <w:rFonts w:asciiTheme="minorHAnsi" w:hAnsiTheme="minorHAnsi"/>
        </w:rPr>
      </w:pPr>
      <w:r w:rsidRPr="002B2A7F">
        <w:rPr>
          <w:rFonts w:asciiTheme="minorHAnsi" w:hAnsiTheme="minorHAnsi"/>
        </w:rPr>
        <w:t>Rehabilitation support for substance users (e.g. drugs, alcohol),</w:t>
      </w:r>
    </w:p>
    <w:p w14:paraId="598C1ECF" w14:textId="77777777" w:rsidR="001F27D2" w:rsidRPr="002B2A7F" w:rsidRDefault="001F27D2" w:rsidP="001F27D2">
      <w:pPr>
        <w:pStyle w:val="bullet"/>
        <w:spacing w:before="0"/>
        <w:ind w:left="1429"/>
        <w:jc w:val="left"/>
        <w:rPr>
          <w:rFonts w:asciiTheme="minorHAnsi" w:hAnsiTheme="minorHAnsi"/>
        </w:rPr>
      </w:pPr>
      <w:r w:rsidRPr="002B2A7F">
        <w:rPr>
          <w:rFonts w:asciiTheme="minorHAnsi" w:hAnsiTheme="minorHAnsi"/>
        </w:rPr>
        <w:t>People experiencing homelessness and rough sleepers,</w:t>
      </w:r>
    </w:p>
    <w:p w14:paraId="6F86E302" w14:textId="77777777" w:rsidR="001F27D2" w:rsidRPr="002B2A7F" w:rsidRDefault="001F27D2" w:rsidP="001F27D2">
      <w:pPr>
        <w:pStyle w:val="bullet"/>
        <w:spacing w:before="0"/>
        <w:ind w:left="1429"/>
        <w:jc w:val="left"/>
        <w:rPr>
          <w:rFonts w:asciiTheme="minorHAnsi" w:hAnsiTheme="minorHAnsi"/>
        </w:rPr>
      </w:pPr>
      <w:r w:rsidRPr="002B2A7F">
        <w:rPr>
          <w:rFonts w:asciiTheme="minorHAnsi" w:hAnsiTheme="minorHAnsi"/>
        </w:rPr>
        <w:t>Young people with support needs (including NEET, floating support, leaving care and at risk),</w:t>
      </w:r>
    </w:p>
    <w:p w14:paraId="24BFAE94" w14:textId="77777777" w:rsidR="001F27D2" w:rsidRPr="002B2A7F" w:rsidRDefault="001F27D2" w:rsidP="001F27D2">
      <w:pPr>
        <w:pStyle w:val="bullet"/>
        <w:spacing w:before="0"/>
        <w:ind w:left="1429"/>
        <w:jc w:val="left"/>
        <w:rPr>
          <w:rFonts w:asciiTheme="minorHAnsi" w:hAnsiTheme="minorHAnsi"/>
        </w:rPr>
      </w:pPr>
      <w:r w:rsidRPr="002B2A7F">
        <w:rPr>
          <w:rFonts w:asciiTheme="minorHAnsi" w:hAnsiTheme="minorHAnsi"/>
        </w:rPr>
        <w:t>People fleeing domestic abuse,</w:t>
      </w:r>
    </w:p>
    <w:p w14:paraId="68991823" w14:textId="77777777" w:rsidR="001F27D2" w:rsidRPr="002B2A7F" w:rsidRDefault="001F27D2" w:rsidP="001F27D2">
      <w:pPr>
        <w:pStyle w:val="bullet"/>
        <w:spacing w:before="0"/>
        <w:ind w:left="1429"/>
        <w:jc w:val="left"/>
        <w:rPr>
          <w:rFonts w:asciiTheme="minorHAnsi" w:hAnsiTheme="minorHAnsi"/>
        </w:rPr>
      </w:pPr>
      <w:r w:rsidRPr="002B2A7F">
        <w:rPr>
          <w:rFonts w:asciiTheme="minorHAnsi" w:hAnsiTheme="minorHAnsi"/>
        </w:rPr>
        <w:t>Ex-offenders and people using probation services,</w:t>
      </w:r>
    </w:p>
    <w:p w14:paraId="543FF5A4" w14:textId="77777777" w:rsidR="001F27D2" w:rsidRPr="002B2A7F" w:rsidRDefault="001F27D2" w:rsidP="001F27D2">
      <w:pPr>
        <w:pStyle w:val="bullet"/>
        <w:spacing w:before="0"/>
        <w:ind w:left="1429"/>
        <w:jc w:val="left"/>
        <w:rPr>
          <w:rFonts w:asciiTheme="minorHAnsi" w:hAnsiTheme="minorHAnsi"/>
        </w:rPr>
      </w:pPr>
      <w:r w:rsidRPr="002B2A7F">
        <w:rPr>
          <w:rFonts w:asciiTheme="minorHAnsi" w:hAnsiTheme="minorHAnsi"/>
        </w:rPr>
        <w:t>People with learning difficulties (e.g. ADHD, dyslexia, dyspraxia, dysphasia),</w:t>
      </w:r>
    </w:p>
    <w:p w14:paraId="34BF893E" w14:textId="77777777" w:rsidR="001F27D2" w:rsidRPr="002B2A7F" w:rsidRDefault="001F27D2" w:rsidP="001F27D2">
      <w:pPr>
        <w:pStyle w:val="bullet"/>
        <w:spacing w:before="0"/>
        <w:ind w:left="1429"/>
        <w:jc w:val="left"/>
        <w:rPr>
          <w:rFonts w:asciiTheme="minorHAnsi" w:hAnsiTheme="minorHAnsi"/>
        </w:rPr>
      </w:pPr>
      <w:r w:rsidRPr="002B2A7F">
        <w:rPr>
          <w:rFonts w:asciiTheme="minorHAnsi" w:hAnsiTheme="minorHAnsi"/>
        </w:rPr>
        <w:t>Ex-armed forces,</w:t>
      </w:r>
    </w:p>
    <w:p w14:paraId="3300E23F" w14:textId="77777777" w:rsidR="001F27D2" w:rsidRPr="002B2A7F" w:rsidRDefault="001F27D2" w:rsidP="001F27D2">
      <w:pPr>
        <w:pStyle w:val="bullet"/>
        <w:spacing w:before="0"/>
        <w:ind w:left="1429"/>
        <w:jc w:val="left"/>
        <w:rPr>
          <w:rFonts w:asciiTheme="minorHAnsi" w:hAnsiTheme="minorHAnsi"/>
        </w:rPr>
      </w:pPr>
      <w:r w:rsidRPr="002B2A7F">
        <w:rPr>
          <w:rFonts w:asciiTheme="minorHAnsi" w:hAnsiTheme="minorHAnsi"/>
        </w:rPr>
        <w:t>People without recourse and access to finances (not in receipt of benefits) – e.g. asylum seekers, refugees and people unable to claim benefits.</w:t>
      </w:r>
    </w:p>
    <w:p w14:paraId="43F452BE" w14:textId="3C17C5BF" w:rsidR="001F27D2" w:rsidRPr="002B2A7F" w:rsidRDefault="001F27D2" w:rsidP="001F27D2">
      <w:pPr>
        <w:pStyle w:val="Reporttext"/>
      </w:pPr>
      <w:r w:rsidRPr="002B2A7F">
        <w:t xml:space="preserve">Whilst information is not necessarily readily available for all of these groups, it is recommended that this </w:t>
      </w:r>
      <w:r w:rsidRPr="002B2A7F">
        <w:rPr>
          <w:lang w:val="en-US"/>
        </w:rPr>
        <w:t>analysis provides</w:t>
      </w:r>
      <w:r w:rsidRPr="002B2A7F">
        <w:t xml:space="preserve"> basis for future reviews of supported and special needs housing across the </w:t>
      </w:r>
      <w:r w:rsidR="00E1269E">
        <w:t>D</w:t>
      </w:r>
      <w:r w:rsidRPr="002B2A7F">
        <w:t xml:space="preserve">istrict. </w:t>
      </w:r>
    </w:p>
    <w:p w14:paraId="0F172449" w14:textId="77777777" w:rsidR="001F27D2" w:rsidRPr="002B2A7F" w:rsidRDefault="001F27D2" w:rsidP="001F27D2">
      <w:pPr>
        <w:rPr>
          <w:rFonts w:asciiTheme="minorHAnsi" w:hAnsiTheme="minorHAnsi"/>
        </w:rPr>
      </w:pPr>
    </w:p>
    <w:p w14:paraId="05D7AF28" w14:textId="77777777" w:rsidR="001F27D2" w:rsidRPr="002B2A7F" w:rsidRDefault="001F27D2" w:rsidP="001F27D2">
      <w:pPr>
        <w:pStyle w:val="Heading3"/>
        <w:rPr>
          <w:rFonts w:asciiTheme="minorHAnsi" w:hAnsiTheme="minorHAnsi"/>
          <w:lang w:val="en-US"/>
        </w:rPr>
      </w:pPr>
      <w:r w:rsidRPr="002B2A7F">
        <w:rPr>
          <w:rFonts w:asciiTheme="minorHAnsi" w:hAnsiTheme="minorHAnsi"/>
          <w:lang w:val="en-US"/>
        </w:rPr>
        <w:t>Establishing the overall level of disability/support needs across the district</w:t>
      </w:r>
    </w:p>
    <w:p w14:paraId="3E675292" w14:textId="53A22DFF" w:rsidR="001F27D2" w:rsidRPr="002B2A7F" w:rsidRDefault="001F27D2" w:rsidP="001F27D2">
      <w:pPr>
        <w:pStyle w:val="Reporttext"/>
        <w:rPr>
          <w:lang w:val="en-US"/>
        </w:rPr>
      </w:pPr>
      <w:r w:rsidRPr="002B2A7F">
        <w:rPr>
          <w:lang w:val="en-US"/>
        </w:rPr>
        <w:t xml:space="preserve">A range of sources can be drawn upon to establish the overall scale of disability/support needs across the </w:t>
      </w:r>
      <w:r w:rsidR="00E1269E">
        <w:rPr>
          <w:lang w:val="en-US"/>
        </w:rPr>
        <w:t>D</w:t>
      </w:r>
      <w:r w:rsidRPr="002B2A7F">
        <w:rPr>
          <w:lang w:val="en-US"/>
        </w:rPr>
        <w:t xml:space="preserve">istrict. The extent to which specific accommodation for different groups may be required is then explored using available data and specific gaps in understanding are also highlighted. </w:t>
      </w:r>
    </w:p>
    <w:p w14:paraId="1CD777FE" w14:textId="6C3F1FF1" w:rsidR="001F27D2" w:rsidRDefault="001F27D2" w:rsidP="001F27D2">
      <w:pPr>
        <w:pStyle w:val="Reporttext"/>
        <w:rPr>
          <w:lang w:val="en-US"/>
        </w:rPr>
      </w:pPr>
      <w:r w:rsidRPr="002B2A7F">
        <w:rPr>
          <w:lang w:val="en-US"/>
        </w:rPr>
        <w:lastRenderedPageBreak/>
        <w:t xml:space="preserve">The data available from a range of sources are now explored to establish a broad measure of the overall level of disability/support needs across the </w:t>
      </w:r>
      <w:r w:rsidR="003E0DC8">
        <w:rPr>
          <w:lang w:val="en-US"/>
        </w:rPr>
        <w:t>D</w:t>
      </w:r>
      <w:r w:rsidRPr="002B2A7F">
        <w:rPr>
          <w:lang w:val="en-US"/>
        </w:rPr>
        <w:t xml:space="preserve">istrict, drawing upon: the Joint Strategic Needs Assessment (JSNA); 2011 Census; 2018 household survey evidence; likely prevalence based on national rates; </w:t>
      </w:r>
      <w:r>
        <w:rPr>
          <w:lang w:val="en-US"/>
        </w:rPr>
        <w:t>and stakeholder comments.</w:t>
      </w:r>
    </w:p>
    <w:p w14:paraId="112313A8" w14:textId="7B662473" w:rsidR="001F27D2" w:rsidRPr="002B2A7F" w:rsidRDefault="001F27D2" w:rsidP="001F27D2">
      <w:pPr>
        <w:pStyle w:val="Reporttext"/>
        <w:rPr>
          <w:lang w:val="en-US"/>
        </w:rPr>
      </w:pPr>
      <w:r>
        <w:rPr>
          <w:lang w:val="en-US"/>
        </w:rPr>
        <w:t xml:space="preserve">It has been particularly challenging to obtain </w:t>
      </w:r>
      <w:r w:rsidR="003E0DC8">
        <w:rPr>
          <w:lang w:val="en-US"/>
        </w:rPr>
        <w:t>D</w:t>
      </w:r>
      <w:r>
        <w:rPr>
          <w:lang w:val="en-US"/>
        </w:rPr>
        <w:t>istrict-specific data because published material tends to be produced for Cumbria as a whole.</w:t>
      </w:r>
    </w:p>
    <w:p w14:paraId="09B5D958" w14:textId="77777777" w:rsidR="001F27D2" w:rsidRPr="009170F6" w:rsidRDefault="001F27D2" w:rsidP="001F27D2">
      <w:pPr>
        <w:rPr>
          <w:rFonts w:asciiTheme="minorHAnsi" w:hAnsiTheme="minorHAnsi"/>
          <w:sz w:val="12"/>
          <w:lang w:val="en-US"/>
        </w:rPr>
      </w:pPr>
    </w:p>
    <w:p w14:paraId="205FB91F" w14:textId="77777777" w:rsidR="001F27D2" w:rsidRPr="002B2A7F" w:rsidRDefault="001F27D2" w:rsidP="001F27D2">
      <w:pPr>
        <w:pStyle w:val="Heading3"/>
        <w:rPr>
          <w:rFonts w:asciiTheme="minorHAnsi" w:hAnsiTheme="minorHAnsi"/>
          <w:lang w:val="en-US"/>
        </w:rPr>
      </w:pPr>
      <w:r w:rsidRPr="002B2A7F">
        <w:rPr>
          <w:rFonts w:asciiTheme="minorHAnsi" w:hAnsiTheme="minorHAnsi"/>
          <w:lang w:val="en-US"/>
        </w:rPr>
        <w:t>Joint Strategic Needs Assessment (JSNA)</w:t>
      </w:r>
    </w:p>
    <w:p w14:paraId="134D9DED" w14:textId="77777777" w:rsidR="001F27D2" w:rsidRPr="00A35449" w:rsidRDefault="001F27D2" w:rsidP="001F27D2">
      <w:pPr>
        <w:pStyle w:val="Reporttext"/>
        <w:rPr>
          <w:lang w:val="en-US"/>
        </w:rPr>
      </w:pPr>
      <w:r w:rsidRPr="00A35449">
        <w:rPr>
          <w:lang w:val="en-US"/>
        </w:rPr>
        <w:t xml:space="preserve">A Cumbria-wide JSNA provides an assessment of the current and future health and social care needs of Cumbria’s local communities. A continuous rolling programme has been adopted whereby individual JSNA topics are investigated in detail and updated every three years. An executive summary is produced at regular intervals to review strategic headline information. </w:t>
      </w:r>
    </w:p>
    <w:p w14:paraId="23B04166" w14:textId="1E998010" w:rsidR="001F27D2" w:rsidRPr="009170F6" w:rsidRDefault="001F27D2" w:rsidP="009170F6">
      <w:pPr>
        <w:rPr>
          <w:sz w:val="8"/>
          <w:lang w:val="en-US"/>
        </w:rPr>
      </w:pPr>
    </w:p>
    <w:p w14:paraId="3BC9B7A7" w14:textId="77777777" w:rsidR="001F27D2" w:rsidRPr="002B2A7F" w:rsidRDefault="001F27D2" w:rsidP="001F27D2">
      <w:pPr>
        <w:pStyle w:val="Heading3"/>
        <w:rPr>
          <w:rFonts w:asciiTheme="minorHAnsi" w:hAnsiTheme="minorHAnsi"/>
          <w:lang w:val="en-US"/>
        </w:rPr>
      </w:pPr>
      <w:r w:rsidRPr="002B2A7F">
        <w:rPr>
          <w:rFonts w:asciiTheme="minorHAnsi" w:hAnsiTheme="minorHAnsi"/>
          <w:lang w:val="en-US"/>
        </w:rPr>
        <w:t>Census 2011 data</w:t>
      </w:r>
    </w:p>
    <w:p w14:paraId="44975417" w14:textId="1A543AE5" w:rsidR="001F27D2" w:rsidRPr="002B2A7F" w:rsidRDefault="001F27D2" w:rsidP="001F27D2">
      <w:pPr>
        <w:pStyle w:val="Reporttext"/>
        <w:rPr>
          <w:lang w:val="en-US"/>
        </w:rPr>
      </w:pPr>
      <w:r w:rsidRPr="002B2A7F">
        <w:rPr>
          <w:lang w:val="en-US"/>
        </w:rPr>
        <w:t xml:space="preserve">The Census records a baseline of broad measures of disability across the population. Table 6.10 reports that across the </w:t>
      </w:r>
      <w:r w:rsidR="003E0DC8">
        <w:rPr>
          <w:lang w:val="en-US"/>
        </w:rPr>
        <w:t>D</w:t>
      </w:r>
      <w:r w:rsidRPr="002B2A7F">
        <w:rPr>
          <w:lang w:val="en-US"/>
        </w:rPr>
        <w:t>istrict, 4.4% of residents stated they were in bad or very bad health (and particularly associated with older age groups) and a further 13.4% were in ‘fair’ health. The majority (82.2%) were in ‘very good or good health’. Overall, the 2011 Census estimated that around 9,170 residents were in fair or bad/very bad health (17.8% of residents). This compares with 18.3% for England.</w:t>
      </w:r>
    </w:p>
    <w:p w14:paraId="7C81C8B3" w14:textId="77777777" w:rsidR="001F27D2" w:rsidRPr="009170F6" w:rsidRDefault="001F27D2" w:rsidP="001F27D2">
      <w:pPr>
        <w:rPr>
          <w:rFonts w:asciiTheme="minorHAnsi" w:hAnsiTheme="minorHAnsi"/>
          <w:sz w:val="14"/>
          <w:lang w:val="en-US"/>
        </w:rPr>
      </w:pPr>
    </w:p>
    <w:tbl>
      <w:tblPr>
        <w:tblW w:w="8602" w:type="dxa"/>
        <w:tblInd w:w="720"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649"/>
        <w:gridCol w:w="1984"/>
        <w:gridCol w:w="1701"/>
        <w:gridCol w:w="2268"/>
      </w:tblGrid>
      <w:tr w:rsidR="001F27D2" w:rsidRPr="009170F6" w14:paraId="2A429138" w14:textId="77777777" w:rsidTr="009170F6">
        <w:tc>
          <w:tcPr>
            <w:tcW w:w="8602" w:type="dxa"/>
            <w:gridSpan w:val="4"/>
            <w:shd w:val="clear" w:color="auto" w:fill="009999"/>
            <w:noWrap/>
            <w:vAlign w:val="bottom"/>
          </w:tcPr>
          <w:p w14:paraId="19FD6CC5" w14:textId="77777777" w:rsidR="001F27D2" w:rsidRPr="009170F6" w:rsidRDefault="001F27D2" w:rsidP="009170F6">
            <w:pPr>
              <w:pStyle w:val="Tableheading1"/>
            </w:pPr>
            <w:bookmarkStart w:id="505" w:name="_Toc397250688"/>
            <w:bookmarkStart w:id="506" w:name="_Toc529739467"/>
            <w:bookmarkStart w:id="507" w:name="_Toc531122963"/>
            <w:bookmarkStart w:id="508" w:name="_Toc532812498"/>
            <w:r w:rsidRPr="009170F6">
              <w:t>Table 6.10</w:t>
            </w:r>
            <w:r w:rsidRPr="009170F6">
              <w:tab/>
              <w:t>Long-term health problem or disability</w:t>
            </w:r>
            <w:bookmarkEnd w:id="505"/>
            <w:bookmarkEnd w:id="506"/>
            <w:bookmarkEnd w:id="507"/>
            <w:bookmarkEnd w:id="508"/>
          </w:p>
        </w:tc>
      </w:tr>
      <w:tr w:rsidR="009170F6" w:rsidRPr="009170F6" w14:paraId="6910E90E" w14:textId="77777777" w:rsidTr="009170F6">
        <w:tc>
          <w:tcPr>
            <w:tcW w:w="2649" w:type="dxa"/>
            <w:vMerge w:val="restart"/>
            <w:shd w:val="clear" w:color="auto" w:fill="009999"/>
            <w:noWrap/>
            <w:vAlign w:val="bottom"/>
            <w:hideMark/>
          </w:tcPr>
          <w:p w14:paraId="56C9C80A" w14:textId="42CCD0DE" w:rsidR="009170F6" w:rsidRPr="009170F6" w:rsidRDefault="009170F6" w:rsidP="009170F6">
            <w:pPr>
              <w:spacing w:before="0" w:after="0"/>
              <w:rPr>
                <w:rFonts w:cs="Calibri"/>
                <w:b/>
                <w:color w:val="FFFFFF" w:themeColor="background1"/>
                <w:sz w:val="22"/>
                <w:szCs w:val="22"/>
              </w:rPr>
            </w:pPr>
            <w:r w:rsidRPr="009170F6">
              <w:rPr>
                <w:rFonts w:cs="Calibri"/>
                <w:b/>
                <w:color w:val="FFFFFF" w:themeColor="background1"/>
                <w:sz w:val="22"/>
                <w:szCs w:val="22"/>
              </w:rPr>
              <w:t>Age Group</w:t>
            </w:r>
            <w:r w:rsidRPr="009170F6">
              <w:rPr>
                <w:rFonts w:cs="Calibri"/>
                <w:color w:val="FFFFFF" w:themeColor="background1"/>
                <w:sz w:val="22"/>
                <w:szCs w:val="22"/>
              </w:rPr>
              <w:t> </w:t>
            </w:r>
          </w:p>
        </w:tc>
        <w:tc>
          <w:tcPr>
            <w:tcW w:w="5953" w:type="dxa"/>
            <w:gridSpan w:val="3"/>
            <w:shd w:val="clear" w:color="auto" w:fill="009999"/>
            <w:noWrap/>
            <w:vAlign w:val="bottom"/>
            <w:hideMark/>
          </w:tcPr>
          <w:p w14:paraId="160C1867" w14:textId="77777777" w:rsidR="009170F6" w:rsidRPr="009170F6" w:rsidRDefault="009170F6" w:rsidP="009170F6">
            <w:pPr>
              <w:spacing w:before="0" w:after="0"/>
              <w:jc w:val="center"/>
              <w:rPr>
                <w:rFonts w:cs="Calibri"/>
                <w:b/>
                <w:color w:val="FFFFFF" w:themeColor="background1"/>
                <w:sz w:val="22"/>
                <w:szCs w:val="22"/>
              </w:rPr>
            </w:pPr>
            <w:r w:rsidRPr="009170F6">
              <w:rPr>
                <w:rFonts w:cs="Calibri"/>
                <w:b/>
                <w:color w:val="FFFFFF" w:themeColor="background1"/>
                <w:sz w:val="22"/>
                <w:szCs w:val="22"/>
              </w:rPr>
              <w:t>Measure of health (%)</w:t>
            </w:r>
          </w:p>
        </w:tc>
      </w:tr>
      <w:tr w:rsidR="009170F6" w:rsidRPr="009170F6" w14:paraId="62DF0C32" w14:textId="77777777" w:rsidTr="009170F6">
        <w:tc>
          <w:tcPr>
            <w:tcW w:w="2649" w:type="dxa"/>
            <w:vMerge/>
            <w:shd w:val="clear" w:color="auto" w:fill="009999"/>
            <w:noWrap/>
            <w:vAlign w:val="bottom"/>
            <w:hideMark/>
          </w:tcPr>
          <w:p w14:paraId="48C99C6C" w14:textId="4B3A0FF8" w:rsidR="009170F6" w:rsidRPr="009170F6" w:rsidRDefault="009170F6" w:rsidP="009170F6">
            <w:pPr>
              <w:spacing w:before="0" w:after="0"/>
              <w:rPr>
                <w:rFonts w:cs="Calibri"/>
                <w:color w:val="FFFFFF" w:themeColor="background1"/>
                <w:sz w:val="22"/>
                <w:szCs w:val="22"/>
              </w:rPr>
            </w:pPr>
          </w:p>
        </w:tc>
        <w:tc>
          <w:tcPr>
            <w:tcW w:w="1984" w:type="dxa"/>
            <w:shd w:val="clear" w:color="auto" w:fill="009999"/>
            <w:vAlign w:val="bottom"/>
            <w:hideMark/>
          </w:tcPr>
          <w:p w14:paraId="7982A902" w14:textId="77777777" w:rsidR="009170F6" w:rsidRPr="009170F6" w:rsidRDefault="009170F6" w:rsidP="009170F6">
            <w:pPr>
              <w:spacing w:before="0" w:after="0"/>
              <w:jc w:val="center"/>
              <w:rPr>
                <w:rFonts w:cs="Calibri"/>
                <w:bCs/>
                <w:color w:val="FFFFFF" w:themeColor="background1"/>
                <w:sz w:val="22"/>
                <w:szCs w:val="22"/>
              </w:rPr>
            </w:pPr>
            <w:r w:rsidRPr="009170F6">
              <w:rPr>
                <w:rFonts w:cs="Calibri"/>
                <w:bCs/>
                <w:color w:val="FFFFFF" w:themeColor="background1"/>
                <w:sz w:val="22"/>
                <w:szCs w:val="22"/>
              </w:rPr>
              <w:t>Very good or good health (%)</w:t>
            </w:r>
          </w:p>
        </w:tc>
        <w:tc>
          <w:tcPr>
            <w:tcW w:w="1701" w:type="dxa"/>
            <w:shd w:val="clear" w:color="auto" w:fill="009999"/>
            <w:vAlign w:val="bottom"/>
            <w:hideMark/>
          </w:tcPr>
          <w:p w14:paraId="249AA066" w14:textId="77777777" w:rsidR="009170F6" w:rsidRPr="009170F6" w:rsidRDefault="009170F6" w:rsidP="009170F6">
            <w:pPr>
              <w:spacing w:before="0" w:after="0"/>
              <w:jc w:val="center"/>
              <w:rPr>
                <w:rFonts w:cs="Calibri"/>
                <w:bCs/>
                <w:color w:val="FFFFFF" w:themeColor="background1"/>
                <w:sz w:val="22"/>
                <w:szCs w:val="22"/>
              </w:rPr>
            </w:pPr>
            <w:r w:rsidRPr="009170F6">
              <w:rPr>
                <w:rFonts w:cs="Calibri"/>
                <w:bCs/>
                <w:color w:val="FFFFFF" w:themeColor="background1"/>
                <w:sz w:val="22"/>
                <w:szCs w:val="22"/>
              </w:rPr>
              <w:t>Fair health (%)</w:t>
            </w:r>
          </w:p>
        </w:tc>
        <w:tc>
          <w:tcPr>
            <w:tcW w:w="2268" w:type="dxa"/>
            <w:shd w:val="clear" w:color="auto" w:fill="009999"/>
            <w:vAlign w:val="bottom"/>
            <w:hideMark/>
          </w:tcPr>
          <w:p w14:paraId="5B082778" w14:textId="77777777" w:rsidR="009170F6" w:rsidRPr="009170F6" w:rsidRDefault="009170F6" w:rsidP="009170F6">
            <w:pPr>
              <w:spacing w:before="0" w:after="0"/>
              <w:jc w:val="center"/>
              <w:rPr>
                <w:rFonts w:cs="Calibri"/>
                <w:bCs/>
                <w:color w:val="FFFFFF" w:themeColor="background1"/>
                <w:sz w:val="22"/>
                <w:szCs w:val="22"/>
              </w:rPr>
            </w:pPr>
            <w:r w:rsidRPr="009170F6">
              <w:rPr>
                <w:rFonts w:cs="Calibri"/>
                <w:bCs/>
                <w:color w:val="FFFFFF" w:themeColor="background1"/>
                <w:sz w:val="22"/>
                <w:szCs w:val="22"/>
              </w:rPr>
              <w:t>Bad or very bad health (%)</w:t>
            </w:r>
          </w:p>
        </w:tc>
      </w:tr>
      <w:tr w:rsidR="001F27D2" w:rsidRPr="009170F6" w14:paraId="0B49E815" w14:textId="77777777" w:rsidTr="009170F6">
        <w:tc>
          <w:tcPr>
            <w:tcW w:w="2649" w:type="dxa"/>
            <w:shd w:val="clear" w:color="auto" w:fill="auto"/>
            <w:noWrap/>
            <w:vAlign w:val="center"/>
            <w:hideMark/>
          </w:tcPr>
          <w:p w14:paraId="21E3BFB2" w14:textId="77777777" w:rsidR="001F27D2" w:rsidRPr="009170F6" w:rsidRDefault="001F27D2" w:rsidP="009170F6">
            <w:pPr>
              <w:spacing w:before="0" w:after="0"/>
              <w:rPr>
                <w:rFonts w:cs="Calibri"/>
                <w:sz w:val="22"/>
                <w:szCs w:val="22"/>
              </w:rPr>
            </w:pPr>
            <w:r w:rsidRPr="009170F6">
              <w:rPr>
                <w:rFonts w:cs="Calibri"/>
                <w:sz w:val="22"/>
                <w:szCs w:val="22"/>
              </w:rPr>
              <w:t>Age 0 to 15</w:t>
            </w:r>
          </w:p>
        </w:tc>
        <w:tc>
          <w:tcPr>
            <w:tcW w:w="1984" w:type="dxa"/>
            <w:shd w:val="clear" w:color="auto" w:fill="auto"/>
            <w:noWrap/>
            <w:vAlign w:val="bottom"/>
            <w:hideMark/>
          </w:tcPr>
          <w:p w14:paraId="393DC7DC"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98.0</w:t>
            </w:r>
          </w:p>
        </w:tc>
        <w:tc>
          <w:tcPr>
            <w:tcW w:w="1701" w:type="dxa"/>
            <w:shd w:val="clear" w:color="auto" w:fill="auto"/>
            <w:noWrap/>
            <w:vAlign w:val="bottom"/>
            <w:hideMark/>
          </w:tcPr>
          <w:p w14:paraId="1229259B"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1.5</w:t>
            </w:r>
          </w:p>
        </w:tc>
        <w:tc>
          <w:tcPr>
            <w:tcW w:w="2268" w:type="dxa"/>
            <w:shd w:val="clear" w:color="auto" w:fill="auto"/>
            <w:noWrap/>
            <w:vAlign w:val="bottom"/>
            <w:hideMark/>
          </w:tcPr>
          <w:p w14:paraId="4F946740"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0.5</w:t>
            </w:r>
          </w:p>
        </w:tc>
      </w:tr>
      <w:tr w:rsidR="001F27D2" w:rsidRPr="009170F6" w14:paraId="3CE96B54" w14:textId="77777777" w:rsidTr="009170F6">
        <w:tc>
          <w:tcPr>
            <w:tcW w:w="2649" w:type="dxa"/>
            <w:shd w:val="clear" w:color="auto" w:fill="auto"/>
            <w:noWrap/>
            <w:vAlign w:val="center"/>
            <w:hideMark/>
          </w:tcPr>
          <w:p w14:paraId="2D591B56" w14:textId="77777777" w:rsidR="001F27D2" w:rsidRPr="009170F6" w:rsidRDefault="001F27D2" w:rsidP="009170F6">
            <w:pPr>
              <w:spacing w:before="0" w:after="0"/>
              <w:rPr>
                <w:rFonts w:cs="Calibri"/>
                <w:sz w:val="22"/>
                <w:szCs w:val="22"/>
              </w:rPr>
            </w:pPr>
            <w:r w:rsidRPr="009170F6">
              <w:rPr>
                <w:rFonts w:cs="Calibri"/>
                <w:sz w:val="22"/>
                <w:szCs w:val="22"/>
              </w:rPr>
              <w:t>Age 16 to 24</w:t>
            </w:r>
          </w:p>
        </w:tc>
        <w:tc>
          <w:tcPr>
            <w:tcW w:w="1984" w:type="dxa"/>
            <w:shd w:val="clear" w:color="auto" w:fill="auto"/>
            <w:noWrap/>
            <w:vAlign w:val="bottom"/>
            <w:hideMark/>
          </w:tcPr>
          <w:p w14:paraId="4E7A8470"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95.7</w:t>
            </w:r>
          </w:p>
        </w:tc>
        <w:tc>
          <w:tcPr>
            <w:tcW w:w="1701" w:type="dxa"/>
            <w:shd w:val="clear" w:color="auto" w:fill="auto"/>
            <w:noWrap/>
            <w:vAlign w:val="bottom"/>
            <w:hideMark/>
          </w:tcPr>
          <w:p w14:paraId="4D37A07E"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3.3</w:t>
            </w:r>
          </w:p>
        </w:tc>
        <w:tc>
          <w:tcPr>
            <w:tcW w:w="2268" w:type="dxa"/>
            <w:shd w:val="clear" w:color="auto" w:fill="auto"/>
            <w:noWrap/>
            <w:vAlign w:val="bottom"/>
            <w:hideMark/>
          </w:tcPr>
          <w:p w14:paraId="6A14D983"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1.0</w:t>
            </w:r>
          </w:p>
        </w:tc>
      </w:tr>
      <w:tr w:rsidR="001F27D2" w:rsidRPr="009170F6" w14:paraId="38980641" w14:textId="77777777" w:rsidTr="009170F6">
        <w:tc>
          <w:tcPr>
            <w:tcW w:w="2649" w:type="dxa"/>
            <w:shd w:val="clear" w:color="auto" w:fill="auto"/>
            <w:noWrap/>
            <w:vAlign w:val="center"/>
            <w:hideMark/>
          </w:tcPr>
          <w:p w14:paraId="61C74F34" w14:textId="77777777" w:rsidR="001F27D2" w:rsidRPr="009170F6" w:rsidRDefault="001F27D2" w:rsidP="009170F6">
            <w:pPr>
              <w:spacing w:before="0" w:after="0"/>
              <w:rPr>
                <w:rFonts w:cs="Calibri"/>
                <w:sz w:val="22"/>
                <w:szCs w:val="22"/>
              </w:rPr>
            </w:pPr>
            <w:r w:rsidRPr="009170F6">
              <w:rPr>
                <w:rFonts w:cs="Calibri"/>
                <w:sz w:val="22"/>
                <w:szCs w:val="22"/>
              </w:rPr>
              <w:t>Age 25 to 34</w:t>
            </w:r>
          </w:p>
        </w:tc>
        <w:tc>
          <w:tcPr>
            <w:tcW w:w="1984" w:type="dxa"/>
            <w:shd w:val="clear" w:color="auto" w:fill="auto"/>
            <w:noWrap/>
            <w:vAlign w:val="bottom"/>
            <w:hideMark/>
          </w:tcPr>
          <w:p w14:paraId="363667FD"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93.0</w:t>
            </w:r>
          </w:p>
        </w:tc>
        <w:tc>
          <w:tcPr>
            <w:tcW w:w="1701" w:type="dxa"/>
            <w:shd w:val="clear" w:color="auto" w:fill="auto"/>
            <w:noWrap/>
            <w:vAlign w:val="bottom"/>
            <w:hideMark/>
          </w:tcPr>
          <w:p w14:paraId="6040368A"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5.7</w:t>
            </w:r>
          </w:p>
        </w:tc>
        <w:tc>
          <w:tcPr>
            <w:tcW w:w="2268" w:type="dxa"/>
            <w:shd w:val="clear" w:color="auto" w:fill="auto"/>
            <w:noWrap/>
            <w:vAlign w:val="bottom"/>
            <w:hideMark/>
          </w:tcPr>
          <w:p w14:paraId="1A793FF9"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1.3</w:t>
            </w:r>
          </w:p>
        </w:tc>
      </w:tr>
      <w:tr w:rsidR="001F27D2" w:rsidRPr="009170F6" w14:paraId="2C0542E7" w14:textId="77777777" w:rsidTr="009170F6">
        <w:tc>
          <w:tcPr>
            <w:tcW w:w="2649" w:type="dxa"/>
            <w:shd w:val="clear" w:color="auto" w:fill="auto"/>
            <w:noWrap/>
            <w:vAlign w:val="center"/>
            <w:hideMark/>
          </w:tcPr>
          <w:p w14:paraId="3B34BA70" w14:textId="77777777" w:rsidR="001F27D2" w:rsidRPr="009170F6" w:rsidRDefault="001F27D2" w:rsidP="009170F6">
            <w:pPr>
              <w:spacing w:before="0" w:after="0"/>
              <w:rPr>
                <w:rFonts w:cs="Calibri"/>
                <w:sz w:val="22"/>
                <w:szCs w:val="22"/>
              </w:rPr>
            </w:pPr>
            <w:r w:rsidRPr="009170F6">
              <w:rPr>
                <w:rFonts w:cs="Calibri"/>
                <w:sz w:val="22"/>
                <w:szCs w:val="22"/>
              </w:rPr>
              <w:t>Age 35 to 49</w:t>
            </w:r>
          </w:p>
        </w:tc>
        <w:tc>
          <w:tcPr>
            <w:tcW w:w="1984" w:type="dxa"/>
            <w:shd w:val="clear" w:color="auto" w:fill="auto"/>
            <w:noWrap/>
            <w:vAlign w:val="bottom"/>
            <w:hideMark/>
          </w:tcPr>
          <w:p w14:paraId="70E137D2"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89.0</w:t>
            </w:r>
          </w:p>
        </w:tc>
        <w:tc>
          <w:tcPr>
            <w:tcW w:w="1701" w:type="dxa"/>
            <w:shd w:val="clear" w:color="auto" w:fill="auto"/>
            <w:noWrap/>
            <w:vAlign w:val="bottom"/>
            <w:hideMark/>
          </w:tcPr>
          <w:p w14:paraId="0B276B07"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7.9</w:t>
            </w:r>
          </w:p>
        </w:tc>
        <w:tc>
          <w:tcPr>
            <w:tcW w:w="2268" w:type="dxa"/>
            <w:shd w:val="clear" w:color="auto" w:fill="auto"/>
            <w:noWrap/>
            <w:vAlign w:val="bottom"/>
            <w:hideMark/>
          </w:tcPr>
          <w:p w14:paraId="0241A937"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3.1</w:t>
            </w:r>
          </w:p>
        </w:tc>
      </w:tr>
      <w:tr w:rsidR="001F27D2" w:rsidRPr="009170F6" w14:paraId="2692E2FE" w14:textId="77777777" w:rsidTr="009170F6">
        <w:tc>
          <w:tcPr>
            <w:tcW w:w="2649" w:type="dxa"/>
            <w:shd w:val="clear" w:color="auto" w:fill="auto"/>
            <w:noWrap/>
            <w:vAlign w:val="center"/>
            <w:hideMark/>
          </w:tcPr>
          <w:p w14:paraId="60E459EE" w14:textId="77777777" w:rsidR="001F27D2" w:rsidRPr="009170F6" w:rsidRDefault="001F27D2" w:rsidP="009170F6">
            <w:pPr>
              <w:spacing w:before="0" w:after="0"/>
              <w:rPr>
                <w:rFonts w:cs="Calibri"/>
                <w:sz w:val="22"/>
                <w:szCs w:val="22"/>
              </w:rPr>
            </w:pPr>
            <w:r w:rsidRPr="009170F6">
              <w:rPr>
                <w:rFonts w:cs="Calibri"/>
                <w:sz w:val="22"/>
                <w:szCs w:val="22"/>
              </w:rPr>
              <w:t>Age 50 to 64</w:t>
            </w:r>
          </w:p>
        </w:tc>
        <w:tc>
          <w:tcPr>
            <w:tcW w:w="1984" w:type="dxa"/>
            <w:shd w:val="clear" w:color="auto" w:fill="auto"/>
            <w:noWrap/>
            <w:vAlign w:val="bottom"/>
            <w:hideMark/>
          </w:tcPr>
          <w:p w14:paraId="335AF147"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78.4</w:t>
            </w:r>
          </w:p>
        </w:tc>
        <w:tc>
          <w:tcPr>
            <w:tcW w:w="1701" w:type="dxa"/>
            <w:shd w:val="clear" w:color="auto" w:fill="auto"/>
            <w:noWrap/>
            <w:vAlign w:val="bottom"/>
            <w:hideMark/>
          </w:tcPr>
          <w:p w14:paraId="42E70743"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15.9</w:t>
            </w:r>
          </w:p>
        </w:tc>
        <w:tc>
          <w:tcPr>
            <w:tcW w:w="2268" w:type="dxa"/>
            <w:shd w:val="clear" w:color="auto" w:fill="auto"/>
            <w:noWrap/>
            <w:vAlign w:val="bottom"/>
            <w:hideMark/>
          </w:tcPr>
          <w:p w14:paraId="340E6058"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5.7</w:t>
            </w:r>
          </w:p>
        </w:tc>
      </w:tr>
      <w:tr w:rsidR="001F27D2" w:rsidRPr="009170F6" w14:paraId="10F778F1" w14:textId="77777777" w:rsidTr="009170F6">
        <w:tc>
          <w:tcPr>
            <w:tcW w:w="2649" w:type="dxa"/>
            <w:shd w:val="clear" w:color="auto" w:fill="auto"/>
            <w:noWrap/>
            <w:vAlign w:val="center"/>
            <w:hideMark/>
          </w:tcPr>
          <w:p w14:paraId="6C1AE7A3" w14:textId="77777777" w:rsidR="001F27D2" w:rsidRPr="009170F6" w:rsidRDefault="001F27D2" w:rsidP="009170F6">
            <w:pPr>
              <w:spacing w:before="0" w:after="0"/>
              <w:rPr>
                <w:rFonts w:cs="Calibri"/>
                <w:sz w:val="22"/>
                <w:szCs w:val="22"/>
              </w:rPr>
            </w:pPr>
            <w:r w:rsidRPr="009170F6">
              <w:rPr>
                <w:rFonts w:cs="Calibri"/>
                <w:sz w:val="22"/>
                <w:szCs w:val="22"/>
              </w:rPr>
              <w:t>Age 65 to 74</w:t>
            </w:r>
          </w:p>
        </w:tc>
        <w:tc>
          <w:tcPr>
            <w:tcW w:w="1984" w:type="dxa"/>
            <w:shd w:val="clear" w:color="auto" w:fill="auto"/>
            <w:noWrap/>
            <w:vAlign w:val="bottom"/>
            <w:hideMark/>
          </w:tcPr>
          <w:p w14:paraId="5F354F59"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66.9</w:t>
            </w:r>
          </w:p>
        </w:tc>
        <w:tc>
          <w:tcPr>
            <w:tcW w:w="1701" w:type="dxa"/>
            <w:shd w:val="clear" w:color="auto" w:fill="auto"/>
            <w:noWrap/>
            <w:vAlign w:val="bottom"/>
            <w:hideMark/>
          </w:tcPr>
          <w:p w14:paraId="1B320258"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26.2</w:t>
            </w:r>
          </w:p>
        </w:tc>
        <w:tc>
          <w:tcPr>
            <w:tcW w:w="2268" w:type="dxa"/>
            <w:shd w:val="clear" w:color="auto" w:fill="auto"/>
            <w:noWrap/>
            <w:vAlign w:val="bottom"/>
            <w:hideMark/>
          </w:tcPr>
          <w:p w14:paraId="6890AADB"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7.0</w:t>
            </w:r>
          </w:p>
        </w:tc>
      </w:tr>
      <w:tr w:rsidR="001F27D2" w:rsidRPr="009170F6" w14:paraId="1753303E" w14:textId="77777777" w:rsidTr="009170F6">
        <w:tc>
          <w:tcPr>
            <w:tcW w:w="2649" w:type="dxa"/>
            <w:shd w:val="clear" w:color="auto" w:fill="auto"/>
            <w:noWrap/>
            <w:vAlign w:val="center"/>
            <w:hideMark/>
          </w:tcPr>
          <w:p w14:paraId="00E75FD1" w14:textId="77777777" w:rsidR="001F27D2" w:rsidRPr="009170F6" w:rsidRDefault="001F27D2" w:rsidP="009170F6">
            <w:pPr>
              <w:spacing w:before="0" w:after="0"/>
              <w:rPr>
                <w:rFonts w:cs="Calibri"/>
                <w:sz w:val="22"/>
                <w:szCs w:val="22"/>
              </w:rPr>
            </w:pPr>
            <w:r w:rsidRPr="009170F6">
              <w:rPr>
                <w:rFonts w:cs="Calibri"/>
                <w:sz w:val="22"/>
                <w:szCs w:val="22"/>
              </w:rPr>
              <w:t>Age 75 to 84</w:t>
            </w:r>
          </w:p>
        </w:tc>
        <w:tc>
          <w:tcPr>
            <w:tcW w:w="1984" w:type="dxa"/>
            <w:shd w:val="clear" w:color="auto" w:fill="auto"/>
            <w:noWrap/>
            <w:vAlign w:val="bottom"/>
            <w:hideMark/>
          </w:tcPr>
          <w:p w14:paraId="4753731F"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49.3</w:t>
            </w:r>
          </w:p>
        </w:tc>
        <w:tc>
          <w:tcPr>
            <w:tcW w:w="1701" w:type="dxa"/>
            <w:shd w:val="clear" w:color="auto" w:fill="auto"/>
            <w:noWrap/>
            <w:vAlign w:val="bottom"/>
            <w:hideMark/>
          </w:tcPr>
          <w:p w14:paraId="67744DD1"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39.5</w:t>
            </w:r>
          </w:p>
        </w:tc>
        <w:tc>
          <w:tcPr>
            <w:tcW w:w="2268" w:type="dxa"/>
            <w:shd w:val="clear" w:color="auto" w:fill="auto"/>
            <w:noWrap/>
            <w:vAlign w:val="bottom"/>
            <w:hideMark/>
          </w:tcPr>
          <w:p w14:paraId="73DA4342"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11.2</w:t>
            </w:r>
          </w:p>
        </w:tc>
      </w:tr>
      <w:tr w:rsidR="001F27D2" w:rsidRPr="009170F6" w14:paraId="3872359F" w14:textId="77777777" w:rsidTr="009170F6">
        <w:tc>
          <w:tcPr>
            <w:tcW w:w="2649" w:type="dxa"/>
            <w:shd w:val="clear" w:color="auto" w:fill="auto"/>
            <w:noWrap/>
            <w:vAlign w:val="center"/>
            <w:hideMark/>
          </w:tcPr>
          <w:p w14:paraId="6D6E7856" w14:textId="77777777" w:rsidR="001F27D2" w:rsidRPr="009170F6" w:rsidRDefault="001F27D2" w:rsidP="009170F6">
            <w:pPr>
              <w:spacing w:before="0" w:after="0"/>
              <w:rPr>
                <w:rFonts w:cs="Calibri"/>
                <w:sz w:val="22"/>
                <w:szCs w:val="22"/>
              </w:rPr>
            </w:pPr>
            <w:r w:rsidRPr="009170F6">
              <w:rPr>
                <w:rFonts w:cs="Calibri"/>
                <w:sz w:val="22"/>
                <w:szCs w:val="22"/>
              </w:rPr>
              <w:t>Age 85 and over</w:t>
            </w:r>
          </w:p>
        </w:tc>
        <w:tc>
          <w:tcPr>
            <w:tcW w:w="1984" w:type="dxa"/>
            <w:shd w:val="clear" w:color="auto" w:fill="auto"/>
            <w:noWrap/>
            <w:vAlign w:val="bottom"/>
            <w:hideMark/>
          </w:tcPr>
          <w:p w14:paraId="420B75D3"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33.9</w:t>
            </w:r>
          </w:p>
        </w:tc>
        <w:tc>
          <w:tcPr>
            <w:tcW w:w="1701" w:type="dxa"/>
            <w:shd w:val="clear" w:color="auto" w:fill="auto"/>
            <w:noWrap/>
            <w:vAlign w:val="bottom"/>
            <w:hideMark/>
          </w:tcPr>
          <w:p w14:paraId="4CB3FFC9"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46.0</w:t>
            </w:r>
          </w:p>
        </w:tc>
        <w:tc>
          <w:tcPr>
            <w:tcW w:w="2268" w:type="dxa"/>
            <w:shd w:val="clear" w:color="auto" w:fill="auto"/>
            <w:noWrap/>
            <w:vAlign w:val="bottom"/>
            <w:hideMark/>
          </w:tcPr>
          <w:p w14:paraId="30689D95"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20.1</w:t>
            </w:r>
          </w:p>
        </w:tc>
      </w:tr>
      <w:tr w:rsidR="001F27D2" w:rsidRPr="009170F6" w14:paraId="3CD64448" w14:textId="77777777" w:rsidTr="009170F6">
        <w:tc>
          <w:tcPr>
            <w:tcW w:w="2649" w:type="dxa"/>
            <w:shd w:val="clear" w:color="auto" w:fill="auto"/>
            <w:noWrap/>
            <w:vAlign w:val="center"/>
            <w:hideMark/>
          </w:tcPr>
          <w:p w14:paraId="107FDC19" w14:textId="77777777" w:rsidR="001F27D2" w:rsidRPr="009170F6" w:rsidRDefault="001F27D2" w:rsidP="009170F6">
            <w:pPr>
              <w:spacing w:before="0" w:after="0"/>
              <w:rPr>
                <w:rFonts w:cs="Calibri"/>
                <w:sz w:val="22"/>
                <w:szCs w:val="22"/>
              </w:rPr>
            </w:pPr>
            <w:r w:rsidRPr="009170F6">
              <w:rPr>
                <w:rFonts w:cs="Calibri"/>
                <w:sz w:val="22"/>
                <w:szCs w:val="22"/>
              </w:rPr>
              <w:t>All categories: Age</w:t>
            </w:r>
          </w:p>
        </w:tc>
        <w:tc>
          <w:tcPr>
            <w:tcW w:w="1984" w:type="dxa"/>
            <w:shd w:val="clear" w:color="auto" w:fill="auto"/>
            <w:noWrap/>
            <w:vAlign w:val="bottom"/>
            <w:hideMark/>
          </w:tcPr>
          <w:p w14:paraId="142B5B90"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82.2</w:t>
            </w:r>
          </w:p>
        </w:tc>
        <w:tc>
          <w:tcPr>
            <w:tcW w:w="1701" w:type="dxa"/>
            <w:shd w:val="clear" w:color="auto" w:fill="auto"/>
            <w:noWrap/>
            <w:vAlign w:val="bottom"/>
            <w:hideMark/>
          </w:tcPr>
          <w:p w14:paraId="5E646ACB"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13.4</w:t>
            </w:r>
          </w:p>
        </w:tc>
        <w:tc>
          <w:tcPr>
            <w:tcW w:w="2268" w:type="dxa"/>
            <w:shd w:val="clear" w:color="auto" w:fill="auto"/>
            <w:noWrap/>
            <w:vAlign w:val="bottom"/>
            <w:hideMark/>
          </w:tcPr>
          <w:p w14:paraId="4D61D286"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4.4</w:t>
            </w:r>
          </w:p>
        </w:tc>
      </w:tr>
      <w:tr w:rsidR="001F27D2" w:rsidRPr="009170F6" w14:paraId="1ABF74BF" w14:textId="77777777" w:rsidTr="009170F6">
        <w:tc>
          <w:tcPr>
            <w:tcW w:w="2649" w:type="dxa"/>
            <w:shd w:val="clear" w:color="auto" w:fill="auto"/>
            <w:noWrap/>
            <w:vAlign w:val="center"/>
          </w:tcPr>
          <w:p w14:paraId="030663B0" w14:textId="77777777" w:rsidR="001F27D2" w:rsidRPr="009170F6" w:rsidRDefault="001F27D2" w:rsidP="009170F6">
            <w:pPr>
              <w:spacing w:before="0" w:after="0"/>
              <w:rPr>
                <w:rFonts w:cs="Calibri"/>
                <w:sz w:val="22"/>
                <w:szCs w:val="22"/>
              </w:rPr>
            </w:pPr>
            <w:r w:rsidRPr="009170F6">
              <w:rPr>
                <w:rFonts w:cs="Calibri"/>
                <w:sz w:val="22"/>
                <w:szCs w:val="22"/>
              </w:rPr>
              <w:t>Total by measure of health</w:t>
            </w:r>
          </w:p>
        </w:tc>
        <w:tc>
          <w:tcPr>
            <w:tcW w:w="1984" w:type="dxa"/>
            <w:shd w:val="clear" w:color="auto" w:fill="auto"/>
            <w:noWrap/>
          </w:tcPr>
          <w:p w14:paraId="272B0F23" w14:textId="77777777" w:rsidR="001F27D2" w:rsidRPr="009170F6" w:rsidRDefault="001F27D2" w:rsidP="009170F6">
            <w:pPr>
              <w:spacing w:before="0" w:after="0"/>
              <w:jc w:val="center"/>
              <w:rPr>
                <w:rFonts w:cs="Calibri"/>
                <w:color w:val="000000"/>
                <w:sz w:val="22"/>
                <w:szCs w:val="22"/>
              </w:rPr>
            </w:pPr>
            <w:r w:rsidRPr="009170F6">
              <w:rPr>
                <w:rFonts w:cs="Calibri"/>
                <w:sz w:val="22"/>
                <w:szCs w:val="22"/>
              </w:rPr>
              <w:t>42,443</w:t>
            </w:r>
          </w:p>
        </w:tc>
        <w:tc>
          <w:tcPr>
            <w:tcW w:w="1701" w:type="dxa"/>
            <w:shd w:val="clear" w:color="auto" w:fill="auto"/>
            <w:noWrap/>
          </w:tcPr>
          <w:p w14:paraId="39F06E09" w14:textId="77777777" w:rsidR="001F27D2" w:rsidRPr="009170F6" w:rsidRDefault="001F27D2" w:rsidP="009170F6">
            <w:pPr>
              <w:spacing w:before="0" w:after="0"/>
              <w:jc w:val="center"/>
              <w:rPr>
                <w:rFonts w:cs="Calibri"/>
                <w:color w:val="000000"/>
                <w:sz w:val="22"/>
                <w:szCs w:val="22"/>
              </w:rPr>
            </w:pPr>
            <w:r w:rsidRPr="009170F6">
              <w:rPr>
                <w:rFonts w:cs="Calibri"/>
                <w:sz w:val="22"/>
                <w:szCs w:val="22"/>
              </w:rPr>
              <w:t>6,920</w:t>
            </w:r>
          </w:p>
        </w:tc>
        <w:tc>
          <w:tcPr>
            <w:tcW w:w="2268" w:type="dxa"/>
            <w:shd w:val="clear" w:color="auto" w:fill="auto"/>
            <w:noWrap/>
          </w:tcPr>
          <w:p w14:paraId="57BA2237" w14:textId="77777777" w:rsidR="001F27D2" w:rsidRPr="009170F6" w:rsidRDefault="001F27D2" w:rsidP="009170F6">
            <w:pPr>
              <w:spacing w:before="0" w:after="0"/>
              <w:jc w:val="center"/>
              <w:rPr>
                <w:rFonts w:cs="Calibri"/>
                <w:color w:val="000000"/>
                <w:sz w:val="22"/>
                <w:szCs w:val="22"/>
              </w:rPr>
            </w:pPr>
            <w:r w:rsidRPr="009170F6">
              <w:rPr>
                <w:rFonts w:cs="Calibri"/>
                <w:sz w:val="22"/>
                <w:szCs w:val="22"/>
              </w:rPr>
              <w:t>2,250</w:t>
            </w:r>
          </w:p>
        </w:tc>
      </w:tr>
    </w:tbl>
    <w:p w14:paraId="3DEE71EB" w14:textId="4829297B" w:rsidR="001F27D2" w:rsidRDefault="001F27D2" w:rsidP="009170F6">
      <w:pPr>
        <w:pStyle w:val="Reporttext"/>
        <w:numPr>
          <w:ilvl w:val="0"/>
          <w:numId w:val="0"/>
        </w:numPr>
        <w:ind w:left="720"/>
        <w:rPr>
          <w:sz w:val="20"/>
          <w:lang w:val="en-US"/>
        </w:rPr>
      </w:pPr>
      <w:r w:rsidRPr="009170F6">
        <w:rPr>
          <w:sz w:val="20"/>
          <w:lang w:val="en-US"/>
        </w:rPr>
        <w:t>Source: 2011 Census Table DC3302EW</w:t>
      </w:r>
    </w:p>
    <w:p w14:paraId="6E293E01" w14:textId="77777777" w:rsidR="003106AD" w:rsidRPr="009170F6" w:rsidRDefault="003106AD" w:rsidP="009170F6">
      <w:pPr>
        <w:pStyle w:val="Reporttext"/>
        <w:numPr>
          <w:ilvl w:val="0"/>
          <w:numId w:val="0"/>
        </w:numPr>
        <w:ind w:left="720"/>
        <w:rPr>
          <w:sz w:val="20"/>
          <w:lang w:val="en-US"/>
        </w:rPr>
      </w:pPr>
    </w:p>
    <w:p w14:paraId="158CBC9D" w14:textId="2C6427AD" w:rsidR="001F27D2" w:rsidRPr="002B2A7F" w:rsidRDefault="001F27D2" w:rsidP="001F27D2">
      <w:pPr>
        <w:pStyle w:val="Reporttext"/>
        <w:rPr>
          <w:lang w:val="en-US"/>
        </w:rPr>
      </w:pPr>
      <w:r w:rsidRPr="002B2A7F">
        <w:rPr>
          <w:lang w:val="en-US"/>
        </w:rPr>
        <w:t xml:space="preserve">The Census also reported that around 3,780 (7.3%) of residents reported that their daily activities were limited ‘a lot’ and 5,246 (10.2%) ‘a little’. This compares with 8.3% and 9.3% respectively for England as a whole.  </w:t>
      </w:r>
    </w:p>
    <w:p w14:paraId="532C889C" w14:textId="77777777" w:rsidR="001F27D2" w:rsidRPr="002B2A7F" w:rsidRDefault="001F27D2" w:rsidP="001F27D2">
      <w:pPr>
        <w:pStyle w:val="Reporttext"/>
        <w:numPr>
          <w:ilvl w:val="0"/>
          <w:numId w:val="0"/>
        </w:numPr>
      </w:pPr>
    </w:p>
    <w:p w14:paraId="6E819DA3" w14:textId="77777777" w:rsidR="001F27D2" w:rsidRPr="002B2A7F" w:rsidRDefault="001F27D2" w:rsidP="001F27D2">
      <w:pPr>
        <w:pStyle w:val="Heading3"/>
        <w:rPr>
          <w:rFonts w:asciiTheme="minorHAnsi" w:hAnsiTheme="minorHAnsi"/>
          <w:lang w:val="en-US"/>
        </w:rPr>
      </w:pPr>
      <w:r w:rsidRPr="002B2A7F">
        <w:rPr>
          <w:rFonts w:asciiTheme="minorHAnsi" w:hAnsiTheme="minorHAnsi"/>
          <w:lang w:val="en-US"/>
        </w:rPr>
        <w:lastRenderedPageBreak/>
        <w:t>Household Survey evidence</w:t>
      </w:r>
    </w:p>
    <w:p w14:paraId="7D8975AA" w14:textId="77777777" w:rsidR="001F27D2" w:rsidRPr="002B2A7F" w:rsidRDefault="001F27D2" w:rsidP="001F27D2">
      <w:pPr>
        <w:pStyle w:val="Reporttext"/>
      </w:pPr>
      <w:r w:rsidRPr="002B2A7F">
        <w:rPr>
          <w:lang w:val="en-US"/>
        </w:rPr>
        <w:t>The</w:t>
      </w:r>
      <w:r w:rsidRPr="002B2A7F">
        <w:t xml:space="preserve"> 2018 household survey identified that 13.7% of households (around 3,250) contained someone with an illness/disability. By tenure, 10.6% of owner occupier households, 16.1% of private renting households and 30.1% of households living in affordable accommodation.</w:t>
      </w:r>
    </w:p>
    <w:p w14:paraId="1D73F9EA" w14:textId="77777777" w:rsidR="001F27D2" w:rsidRPr="002B2A7F" w:rsidRDefault="001F27D2" w:rsidP="001F27D2">
      <w:pPr>
        <w:pStyle w:val="Reporttext"/>
      </w:pPr>
      <w:r w:rsidRPr="002B2A7F">
        <w:t>The 2018 household survey also asked questions relating to the properties occupied by people with additional needs (Table 6.11).</w:t>
      </w:r>
    </w:p>
    <w:p w14:paraId="265D5975" w14:textId="77777777" w:rsidR="001F27D2" w:rsidRPr="002B2A7F" w:rsidRDefault="001F27D2" w:rsidP="001F27D2">
      <w:pPr>
        <w:rPr>
          <w:rFonts w:asciiTheme="minorHAnsi" w:hAnsiTheme="minorHAnsi"/>
          <w:lang w:val="en-US"/>
        </w:rPr>
      </w:pPr>
    </w:p>
    <w:tbl>
      <w:tblPr>
        <w:tblW w:w="0" w:type="auto"/>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4524"/>
        <w:gridCol w:w="1247"/>
        <w:gridCol w:w="1247"/>
        <w:gridCol w:w="1247"/>
        <w:gridCol w:w="915"/>
      </w:tblGrid>
      <w:tr w:rsidR="001F27D2" w:rsidRPr="009170F6" w14:paraId="6845216C" w14:textId="77777777" w:rsidTr="009170F6">
        <w:tc>
          <w:tcPr>
            <w:tcW w:w="0" w:type="auto"/>
            <w:gridSpan w:val="5"/>
            <w:shd w:val="clear" w:color="auto" w:fill="009193"/>
            <w:noWrap/>
            <w:vAlign w:val="bottom"/>
          </w:tcPr>
          <w:p w14:paraId="663DB492" w14:textId="77777777" w:rsidR="001F27D2" w:rsidRPr="009170F6" w:rsidRDefault="001F27D2" w:rsidP="009170F6">
            <w:pPr>
              <w:pStyle w:val="Tableheading1"/>
            </w:pPr>
            <w:bookmarkStart w:id="509" w:name="_Toc531122964"/>
            <w:bookmarkStart w:id="510" w:name="_Toc532812499"/>
            <w:r w:rsidRPr="009170F6">
              <w:t>Table 6.11</w:t>
            </w:r>
            <w:r w:rsidRPr="009170F6">
              <w:tab/>
              <w:t>Comments associated with illness/disability and households by tenure</w:t>
            </w:r>
            <w:bookmarkEnd w:id="509"/>
            <w:bookmarkEnd w:id="510"/>
          </w:p>
        </w:tc>
      </w:tr>
      <w:tr w:rsidR="009170F6" w:rsidRPr="009170F6" w14:paraId="33506179" w14:textId="77777777" w:rsidTr="009170F6">
        <w:tc>
          <w:tcPr>
            <w:tcW w:w="4644" w:type="dxa"/>
            <w:vMerge w:val="restart"/>
            <w:shd w:val="clear" w:color="auto" w:fill="009193"/>
            <w:noWrap/>
            <w:vAlign w:val="bottom"/>
            <w:hideMark/>
          </w:tcPr>
          <w:p w14:paraId="6F31BA37" w14:textId="77777777" w:rsidR="009170F6" w:rsidRPr="009170F6" w:rsidRDefault="009170F6" w:rsidP="009170F6">
            <w:pPr>
              <w:spacing w:before="0" w:after="0"/>
              <w:rPr>
                <w:rFonts w:cs="Calibri"/>
                <w:b/>
                <w:color w:val="FFFFFF" w:themeColor="background1"/>
                <w:sz w:val="22"/>
                <w:szCs w:val="22"/>
              </w:rPr>
            </w:pPr>
            <w:r w:rsidRPr="009170F6">
              <w:rPr>
                <w:rFonts w:cs="Calibri"/>
                <w:b/>
                <w:color w:val="FFFFFF" w:themeColor="background1"/>
                <w:sz w:val="22"/>
                <w:szCs w:val="22"/>
              </w:rPr>
              <w:t> </w:t>
            </w:r>
          </w:p>
          <w:p w14:paraId="3F202B03" w14:textId="61C1B668" w:rsidR="009170F6" w:rsidRPr="009170F6" w:rsidRDefault="009170F6" w:rsidP="009170F6">
            <w:pPr>
              <w:spacing w:before="0" w:after="0"/>
              <w:rPr>
                <w:rFonts w:cs="Calibri"/>
                <w:b/>
                <w:color w:val="FFFFFF" w:themeColor="background1"/>
                <w:sz w:val="22"/>
                <w:szCs w:val="22"/>
              </w:rPr>
            </w:pPr>
            <w:r w:rsidRPr="009170F6">
              <w:rPr>
                <w:rFonts w:cs="Calibri"/>
                <w:b/>
                <w:color w:val="FFFFFF" w:themeColor="background1"/>
                <w:sz w:val="22"/>
                <w:szCs w:val="22"/>
              </w:rPr>
              <w:t> Comment</w:t>
            </w:r>
          </w:p>
        </w:tc>
        <w:tc>
          <w:tcPr>
            <w:tcW w:w="3828" w:type="dxa"/>
            <w:gridSpan w:val="3"/>
            <w:shd w:val="clear" w:color="auto" w:fill="009193"/>
            <w:noWrap/>
            <w:vAlign w:val="bottom"/>
            <w:hideMark/>
          </w:tcPr>
          <w:p w14:paraId="562BA5EF" w14:textId="7390B323" w:rsidR="009170F6" w:rsidRPr="009170F6" w:rsidRDefault="009170F6" w:rsidP="009170F6">
            <w:pPr>
              <w:spacing w:before="0" w:after="0"/>
              <w:jc w:val="center"/>
              <w:rPr>
                <w:rFonts w:cs="Calibri"/>
                <w:color w:val="FFFFFF" w:themeColor="background1"/>
                <w:sz w:val="22"/>
                <w:szCs w:val="22"/>
              </w:rPr>
            </w:pPr>
            <w:r w:rsidRPr="009170F6">
              <w:rPr>
                <w:rFonts w:cs="Calibri"/>
                <w:b/>
                <w:color w:val="FFFFFF" w:themeColor="background1"/>
                <w:sz w:val="22"/>
                <w:szCs w:val="22"/>
              </w:rPr>
              <w:t>Tenure</w:t>
            </w:r>
          </w:p>
        </w:tc>
        <w:tc>
          <w:tcPr>
            <w:tcW w:w="934" w:type="dxa"/>
            <w:vMerge w:val="restart"/>
            <w:shd w:val="clear" w:color="auto" w:fill="009193"/>
            <w:noWrap/>
            <w:vAlign w:val="bottom"/>
            <w:hideMark/>
          </w:tcPr>
          <w:p w14:paraId="6389AA1F" w14:textId="7D6A36E6" w:rsidR="009170F6" w:rsidRPr="009170F6" w:rsidRDefault="009170F6" w:rsidP="009170F6">
            <w:pPr>
              <w:spacing w:before="0" w:after="0"/>
              <w:jc w:val="center"/>
              <w:rPr>
                <w:rFonts w:cs="Calibri"/>
                <w:color w:val="FFFFFF" w:themeColor="background1"/>
                <w:sz w:val="22"/>
                <w:szCs w:val="22"/>
              </w:rPr>
            </w:pPr>
            <w:r w:rsidRPr="009170F6">
              <w:rPr>
                <w:rFonts w:cs="Calibri"/>
                <w:b/>
                <w:color w:val="FFFFFF" w:themeColor="background1"/>
                <w:sz w:val="22"/>
                <w:szCs w:val="22"/>
              </w:rPr>
              <w:t>Total</w:t>
            </w:r>
          </w:p>
        </w:tc>
      </w:tr>
      <w:tr w:rsidR="009170F6" w:rsidRPr="009170F6" w14:paraId="2117A662" w14:textId="77777777" w:rsidTr="009170F6">
        <w:tc>
          <w:tcPr>
            <w:tcW w:w="4644" w:type="dxa"/>
            <w:vMerge/>
            <w:shd w:val="clear" w:color="auto" w:fill="009193"/>
            <w:noWrap/>
            <w:vAlign w:val="bottom"/>
            <w:hideMark/>
          </w:tcPr>
          <w:p w14:paraId="2DB81C40" w14:textId="776B6C96" w:rsidR="009170F6" w:rsidRPr="009170F6" w:rsidRDefault="009170F6" w:rsidP="009170F6">
            <w:pPr>
              <w:spacing w:before="0" w:after="0"/>
              <w:rPr>
                <w:rFonts w:cs="Calibri"/>
                <w:color w:val="FFFFFF" w:themeColor="background1"/>
                <w:sz w:val="22"/>
                <w:szCs w:val="22"/>
              </w:rPr>
            </w:pPr>
          </w:p>
        </w:tc>
        <w:tc>
          <w:tcPr>
            <w:tcW w:w="1276" w:type="dxa"/>
            <w:shd w:val="clear" w:color="auto" w:fill="009193"/>
            <w:noWrap/>
            <w:vAlign w:val="bottom"/>
            <w:hideMark/>
          </w:tcPr>
          <w:p w14:paraId="0B208D0F" w14:textId="77777777" w:rsidR="009170F6" w:rsidRPr="009170F6" w:rsidRDefault="009170F6" w:rsidP="009170F6">
            <w:pPr>
              <w:spacing w:before="0" w:after="0"/>
              <w:jc w:val="center"/>
              <w:rPr>
                <w:rFonts w:cs="Calibri"/>
                <w:color w:val="FFFFFF" w:themeColor="background1"/>
                <w:sz w:val="22"/>
                <w:szCs w:val="22"/>
              </w:rPr>
            </w:pPr>
            <w:r w:rsidRPr="009170F6">
              <w:rPr>
                <w:rFonts w:cs="Calibri"/>
                <w:color w:val="FFFFFF" w:themeColor="background1"/>
                <w:sz w:val="22"/>
                <w:szCs w:val="22"/>
              </w:rPr>
              <w:t>Owner Occupied</w:t>
            </w:r>
          </w:p>
        </w:tc>
        <w:tc>
          <w:tcPr>
            <w:tcW w:w="1276" w:type="dxa"/>
            <w:shd w:val="clear" w:color="auto" w:fill="009193"/>
            <w:noWrap/>
            <w:vAlign w:val="bottom"/>
            <w:hideMark/>
          </w:tcPr>
          <w:p w14:paraId="7AD028B3" w14:textId="77777777" w:rsidR="009170F6" w:rsidRPr="009170F6" w:rsidRDefault="009170F6" w:rsidP="009170F6">
            <w:pPr>
              <w:spacing w:before="0" w:after="0"/>
              <w:jc w:val="center"/>
              <w:rPr>
                <w:rFonts w:cs="Calibri"/>
                <w:color w:val="FFFFFF" w:themeColor="background1"/>
                <w:sz w:val="22"/>
                <w:szCs w:val="22"/>
              </w:rPr>
            </w:pPr>
            <w:r w:rsidRPr="009170F6">
              <w:rPr>
                <w:rFonts w:cs="Calibri"/>
                <w:color w:val="FFFFFF" w:themeColor="background1"/>
                <w:sz w:val="22"/>
                <w:szCs w:val="22"/>
              </w:rPr>
              <w:t>Private Rented</w:t>
            </w:r>
          </w:p>
        </w:tc>
        <w:tc>
          <w:tcPr>
            <w:tcW w:w="1276" w:type="dxa"/>
            <w:shd w:val="clear" w:color="auto" w:fill="009193"/>
            <w:noWrap/>
            <w:vAlign w:val="bottom"/>
            <w:hideMark/>
          </w:tcPr>
          <w:p w14:paraId="1EB65A55" w14:textId="77777777" w:rsidR="009170F6" w:rsidRPr="009170F6" w:rsidRDefault="009170F6" w:rsidP="009170F6">
            <w:pPr>
              <w:spacing w:before="0" w:after="0"/>
              <w:jc w:val="center"/>
              <w:rPr>
                <w:rFonts w:cs="Calibri"/>
                <w:color w:val="FFFFFF" w:themeColor="background1"/>
                <w:sz w:val="22"/>
                <w:szCs w:val="22"/>
              </w:rPr>
            </w:pPr>
            <w:r w:rsidRPr="009170F6">
              <w:rPr>
                <w:rFonts w:cs="Calibri"/>
                <w:color w:val="FFFFFF" w:themeColor="background1"/>
                <w:sz w:val="22"/>
                <w:szCs w:val="22"/>
              </w:rPr>
              <w:t>Affordable</w:t>
            </w:r>
          </w:p>
        </w:tc>
        <w:tc>
          <w:tcPr>
            <w:tcW w:w="934" w:type="dxa"/>
            <w:vMerge/>
            <w:shd w:val="clear" w:color="auto" w:fill="009193"/>
            <w:noWrap/>
            <w:vAlign w:val="bottom"/>
            <w:hideMark/>
          </w:tcPr>
          <w:p w14:paraId="54B439BB" w14:textId="4C02782C" w:rsidR="009170F6" w:rsidRPr="009170F6" w:rsidRDefault="009170F6" w:rsidP="009170F6">
            <w:pPr>
              <w:spacing w:before="0" w:after="0"/>
              <w:jc w:val="center"/>
              <w:rPr>
                <w:rFonts w:cs="Calibri"/>
                <w:color w:val="FFFFFF" w:themeColor="background1"/>
                <w:sz w:val="22"/>
                <w:szCs w:val="22"/>
              </w:rPr>
            </w:pPr>
          </w:p>
        </w:tc>
      </w:tr>
      <w:tr w:rsidR="009170F6" w:rsidRPr="009170F6" w14:paraId="1EEBD3E2" w14:textId="77777777" w:rsidTr="009170F6">
        <w:tc>
          <w:tcPr>
            <w:tcW w:w="4644" w:type="dxa"/>
            <w:shd w:val="clear" w:color="auto" w:fill="auto"/>
            <w:noWrap/>
            <w:vAlign w:val="bottom"/>
            <w:hideMark/>
          </w:tcPr>
          <w:p w14:paraId="2356C336" w14:textId="77777777" w:rsidR="001F27D2" w:rsidRPr="009170F6" w:rsidRDefault="001F27D2" w:rsidP="009170F6">
            <w:pPr>
              <w:spacing w:before="0" w:after="0"/>
              <w:rPr>
                <w:rFonts w:cs="Calibri"/>
                <w:color w:val="000000"/>
                <w:sz w:val="22"/>
                <w:szCs w:val="22"/>
              </w:rPr>
            </w:pPr>
            <w:r w:rsidRPr="009170F6">
              <w:rPr>
                <w:rFonts w:cs="Calibri"/>
                <w:color w:val="000000"/>
                <w:sz w:val="22"/>
                <w:szCs w:val="22"/>
              </w:rPr>
              <w:t>My home has been adapted to suit the needs of someone with a disability</w:t>
            </w:r>
          </w:p>
        </w:tc>
        <w:tc>
          <w:tcPr>
            <w:tcW w:w="1276" w:type="dxa"/>
            <w:shd w:val="clear" w:color="auto" w:fill="auto"/>
            <w:noWrap/>
            <w:vAlign w:val="center"/>
            <w:hideMark/>
          </w:tcPr>
          <w:p w14:paraId="528BBEA4"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3.6</w:t>
            </w:r>
          </w:p>
        </w:tc>
        <w:tc>
          <w:tcPr>
            <w:tcW w:w="1276" w:type="dxa"/>
            <w:shd w:val="clear" w:color="auto" w:fill="auto"/>
            <w:noWrap/>
            <w:vAlign w:val="center"/>
            <w:hideMark/>
          </w:tcPr>
          <w:p w14:paraId="561D731E"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4.0</w:t>
            </w:r>
          </w:p>
        </w:tc>
        <w:tc>
          <w:tcPr>
            <w:tcW w:w="1276" w:type="dxa"/>
            <w:shd w:val="clear" w:color="auto" w:fill="auto"/>
            <w:noWrap/>
            <w:vAlign w:val="center"/>
            <w:hideMark/>
          </w:tcPr>
          <w:p w14:paraId="42D6220F"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14.7</w:t>
            </w:r>
          </w:p>
        </w:tc>
        <w:tc>
          <w:tcPr>
            <w:tcW w:w="934" w:type="dxa"/>
            <w:shd w:val="clear" w:color="auto" w:fill="auto"/>
            <w:noWrap/>
            <w:vAlign w:val="center"/>
            <w:hideMark/>
          </w:tcPr>
          <w:p w14:paraId="2BE58353"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4.9</w:t>
            </w:r>
          </w:p>
        </w:tc>
      </w:tr>
      <w:tr w:rsidR="009170F6" w:rsidRPr="009170F6" w14:paraId="00710606" w14:textId="77777777" w:rsidTr="009170F6">
        <w:tc>
          <w:tcPr>
            <w:tcW w:w="4644" w:type="dxa"/>
            <w:shd w:val="clear" w:color="auto" w:fill="auto"/>
            <w:noWrap/>
            <w:vAlign w:val="bottom"/>
            <w:hideMark/>
          </w:tcPr>
          <w:p w14:paraId="582C3893" w14:textId="77777777" w:rsidR="001F27D2" w:rsidRPr="009170F6" w:rsidRDefault="001F27D2" w:rsidP="009170F6">
            <w:pPr>
              <w:spacing w:before="0" w:after="0"/>
              <w:rPr>
                <w:rFonts w:cs="Calibri"/>
                <w:color w:val="000000"/>
                <w:sz w:val="22"/>
                <w:szCs w:val="22"/>
              </w:rPr>
            </w:pPr>
            <w:r w:rsidRPr="009170F6">
              <w:rPr>
                <w:rFonts w:cs="Calibri"/>
                <w:color w:val="000000"/>
                <w:sz w:val="22"/>
                <w:szCs w:val="22"/>
              </w:rPr>
              <w:t>A member of my household needs help with daily tasks such as shopping, cleaning</w:t>
            </w:r>
          </w:p>
        </w:tc>
        <w:tc>
          <w:tcPr>
            <w:tcW w:w="1276" w:type="dxa"/>
            <w:shd w:val="clear" w:color="auto" w:fill="auto"/>
            <w:noWrap/>
            <w:vAlign w:val="center"/>
            <w:hideMark/>
          </w:tcPr>
          <w:p w14:paraId="33835770"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6.2</w:t>
            </w:r>
          </w:p>
        </w:tc>
        <w:tc>
          <w:tcPr>
            <w:tcW w:w="1276" w:type="dxa"/>
            <w:shd w:val="clear" w:color="auto" w:fill="auto"/>
            <w:noWrap/>
            <w:vAlign w:val="center"/>
            <w:hideMark/>
          </w:tcPr>
          <w:p w14:paraId="50BE3D14"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6.5</w:t>
            </w:r>
          </w:p>
        </w:tc>
        <w:tc>
          <w:tcPr>
            <w:tcW w:w="1276" w:type="dxa"/>
            <w:shd w:val="clear" w:color="auto" w:fill="auto"/>
            <w:noWrap/>
            <w:vAlign w:val="center"/>
            <w:hideMark/>
          </w:tcPr>
          <w:p w14:paraId="2D39F67E"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12.6</w:t>
            </w:r>
          </w:p>
        </w:tc>
        <w:tc>
          <w:tcPr>
            <w:tcW w:w="934" w:type="dxa"/>
            <w:shd w:val="clear" w:color="auto" w:fill="auto"/>
            <w:noWrap/>
            <w:vAlign w:val="center"/>
            <w:hideMark/>
          </w:tcPr>
          <w:p w14:paraId="23B20B87"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6.9</w:t>
            </w:r>
          </w:p>
        </w:tc>
      </w:tr>
      <w:tr w:rsidR="009170F6" w:rsidRPr="009170F6" w14:paraId="02D608D1" w14:textId="77777777" w:rsidTr="009170F6">
        <w:tc>
          <w:tcPr>
            <w:tcW w:w="4644" w:type="dxa"/>
            <w:shd w:val="clear" w:color="auto" w:fill="auto"/>
            <w:noWrap/>
            <w:vAlign w:val="bottom"/>
            <w:hideMark/>
          </w:tcPr>
          <w:p w14:paraId="0B00CEB4" w14:textId="77777777" w:rsidR="001F27D2" w:rsidRPr="009170F6" w:rsidRDefault="001F27D2" w:rsidP="009170F6">
            <w:pPr>
              <w:spacing w:before="0" w:after="0"/>
              <w:rPr>
                <w:rFonts w:cs="Calibri"/>
                <w:color w:val="000000"/>
                <w:sz w:val="22"/>
                <w:szCs w:val="22"/>
              </w:rPr>
            </w:pPr>
            <w:r w:rsidRPr="009170F6">
              <w:rPr>
                <w:rFonts w:cs="Calibri"/>
                <w:color w:val="000000"/>
                <w:sz w:val="22"/>
                <w:szCs w:val="22"/>
              </w:rPr>
              <w:t>A member of my household needs help with personal care such as medication or bathing</w:t>
            </w:r>
          </w:p>
        </w:tc>
        <w:tc>
          <w:tcPr>
            <w:tcW w:w="1276" w:type="dxa"/>
            <w:shd w:val="clear" w:color="auto" w:fill="auto"/>
            <w:noWrap/>
            <w:vAlign w:val="center"/>
            <w:hideMark/>
          </w:tcPr>
          <w:p w14:paraId="39067D8C"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3.6</w:t>
            </w:r>
          </w:p>
        </w:tc>
        <w:tc>
          <w:tcPr>
            <w:tcW w:w="1276" w:type="dxa"/>
            <w:shd w:val="clear" w:color="auto" w:fill="auto"/>
            <w:noWrap/>
            <w:vAlign w:val="center"/>
            <w:hideMark/>
          </w:tcPr>
          <w:p w14:paraId="490B4501"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7.1</w:t>
            </w:r>
          </w:p>
        </w:tc>
        <w:tc>
          <w:tcPr>
            <w:tcW w:w="1276" w:type="dxa"/>
            <w:shd w:val="clear" w:color="auto" w:fill="auto"/>
            <w:noWrap/>
            <w:vAlign w:val="center"/>
            <w:hideMark/>
          </w:tcPr>
          <w:p w14:paraId="50631120"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7.8</w:t>
            </w:r>
          </w:p>
        </w:tc>
        <w:tc>
          <w:tcPr>
            <w:tcW w:w="934" w:type="dxa"/>
            <w:shd w:val="clear" w:color="auto" w:fill="auto"/>
            <w:noWrap/>
            <w:vAlign w:val="center"/>
            <w:hideMark/>
          </w:tcPr>
          <w:p w14:paraId="0394E9B2"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4.7</w:t>
            </w:r>
          </w:p>
        </w:tc>
      </w:tr>
      <w:tr w:rsidR="009170F6" w:rsidRPr="009170F6" w14:paraId="3617BEBB" w14:textId="77777777" w:rsidTr="009170F6">
        <w:tc>
          <w:tcPr>
            <w:tcW w:w="4644" w:type="dxa"/>
            <w:shd w:val="clear" w:color="auto" w:fill="auto"/>
            <w:noWrap/>
            <w:vAlign w:val="bottom"/>
            <w:hideMark/>
          </w:tcPr>
          <w:p w14:paraId="681CE169" w14:textId="77777777" w:rsidR="001F27D2" w:rsidRPr="009170F6" w:rsidRDefault="001F27D2" w:rsidP="009170F6">
            <w:pPr>
              <w:spacing w:before="0" w:after="0"/>
              <w:rPr>
                <w:rFonts w:cs="Calibri"/>
                <w:color w:val="000000"/>
                <w:sz w:val="22"/>
                <w:szCs w:val="22"/>
              </w:rPr>
            </w:pPr>
            <w:r w:rsidRPr="009170F6">
              <w:rPr>
                <w:rFonts w:cs="Calibri"/>
                <w:color w:val="000000"/>
                <w:sz w:val="22"/>
                <w:szCs w:val="22"/>
              </w:rPr>
              <w:t>A member of my household uses a wheelchair inside the home</w:t>
            </w:r>
          </w:p>
        </w:tc>
        <w:tc>
          <w:tcPr>
            <w:tcW w:w="1276" w:type="dxa"/>
            <w:shd w:val="clear" w:color="auto" w:fill="auto"/>
            <w:noWrap/>
            <w:vAlign w:val="center"/>
            <w:hideMark/>
          </w:tcPr>
          <w:p w14:paraId="37006EC9"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1.2</w:t>
            </w:r>
          </w:p>
        </w:tc>
        <w:tc>
          <w:tcPr>
            <w:tcW w:w="1276" w:type="dxa"/>
            <w:shd w:val="clear" w:color="auto" w:fill="auto"/>
            <w:noWrap/>
            <w:vAlign w:val="center"/>
            <w:hideMark/>
          </w:tcPr>
          <w:p w14:paraId="26A6E63E"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1.1</w:t>
            </w:r>
          </w:p>
        </w:tc>
        <w:tc>
          <w:tcPr>
            <w:tcW w:w="1276" w:type="dxa"/>
            <w:shd w:val="clear" w:color="auto" w:fill="auto"/>
            <w:noWrap/>
            <w:vAlign w:val="center"/>
            <w:hideMark/>
          </w:tcPr>
          <w:p w14:paraId="6BDBAE77"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1.0</w:t>
            </w:r>
          </w:p>
        </w:tc>
        <w:tc>
          <w:tcPr>
            <w:tcW w:w="934" w:type="dxa"/>
            <w:shd w:val="clear" w:color="auto" w:fill="auto"/>
            <w:noWrap/>
            <w:vAlign w:val="center"/>
            <w:hideMark/>
          </w:tcPr>
          <w:p w14:paraId="65C0F22E"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1.1</w:t>
            </w:r>
          </w:p>
        </w:tc>
      </w:tr>
      <w:tr w:rsidR="009170F6" w:rsidRPr="009170F6" w14:paraId="6A543BBB" w14:textId="77777777" w:rsidTr="009170F6">
        <w:tc>
          <w:tcPr>
            <w:tcW w:w="4644" w:type="dxa"/>
            <w:shd w:val="clear" w:color="auto" w:fill="auto"/>
            <w:noWrap/>
            <w:vAlign w:val="bottom"/>
            <w:hideMark/>
          </w:tcPr>
          <w:p w14:paraId="47FCD49D" w14:textId="77777777" w:rsidR="001F27D2" w:rsidRPr="009170F6" w:rsidRDefault="001F27D2" w:rsidP="009170F6">
            <w:pPr>
              <w:spacing w:before="0" w:after="0"/>
              <w:rPr>
                <w:rFonts w:cs="Calibri"/>
                <w:color w:val="000000"/>
                <w:sz w:val="22"/>
                <w:szCs w:val="22"/>
              </w:rPr>
            </w:pPr>
            <w:r w:rsidRPr="009170F6">
              <w:rPr>
                <w:rFonts w:cs="Calibri"/>
                <w:color w:val="000000"/>
                <w:sz w:val="22"/>
                <w:szCs w:val="22"/>
              </w:rPr>
              <w:t>A member of my household is unable to manage stairs and needs ground floor facilities</w:t>
            </w:r>
          </w:p>
        </w:tc>
        <w:tc>
          <w:tcPr>
            <w:tcW w:w="1276" w:type="dxa"/>
            <w:shd w:val="clear" w:color="auto" w:fill="auto"/>
            <w:noWrap/>
            <w:vAlign w:val="center"/>
            <w:hideMark/>
          </w:tcPr>
          <w:p w14:paraId="49756C38"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3.0</w:t>
            </w:r>
          </w:p>
        </w:tc>
        <w:tc>
          <w:tcPr>
            <w:tcW w:w="1276" w:type="dxa"/>
            <w:shd w:val="clear" w:color="auto" w:fill="auto"/>
            <w:noWrap/>
            <w:vAlign w:val="center"/>
            <w:hideMark/>
          </w:tcPr>
          <w:p w14:paraId="38C56A60"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4.2</w:t>
            </w:r>
          </w:p>
        </w:tc>
        <w:tc>
          <w:tcPr>
            <w:tcW w:w="1276" w:type="dxa"/>
            <w:shd w:val="clear" w:color="auto" w:fill="auto"/>
            <w:noWrap/>
            <w:vAlign w:val="center"/>
            <w:hideMark/>
          </w:tcPr>
          <w:p w14:paraId="088EAA0A"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6.5</w:t>
            </w:r>
          </w:p>
        </w:tc>
        <w:tc>
          <w:tcPr>
            <w:tcW w:w="934" w:type="dxa"/>
            <w:shd w:val="clear" w:color="auto" w:fill="auto"/>
            <w:noWrap/>
            <w:vAlign w:val="center"/>
            <w:hideMark/>
          </w:tcPr>
          <w:p w14:paraId="641DE7D8"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3.6</w:t>
            </w:r>
          </w:p>
        </w:tc>
      </w:tr>
      <w:tr w:rsidR="009170F6" w:rsidRPr="009170F6" w14:paraId="73325D50" w14:textId="77777777" w:rsidTr="009170F6">
        <w:tc>
          <w:tcPr>
            <w:tcW w:w="4644" w:type="dxa"/>
            <w:shd w:val="clear" w:color="auto" w:fill="auto"/>
            <w:noWrap/>
            <w:vAlign w:val="bottom"/>
            <w:hideMark/>
          </w:tcPr>
          <w:p w14:paraId="3C847536" w14:textId="77777777" w:rsidR="001F27D2" w:rsidRPr="009170F6" w:rsidRDefault="001F27D2" w:rsidP="009170F6">
            <w:pPr>
              <w:spacing w:before="0" w:after="0"/>
              <w:rPr>
                <w:rFonts w:cs="Calibri"/>
                <w:color w:val="000000"/>
                <w:sz w:val="22"/>
                <w:szCs w:val="22"/>
              </w:rPr>
            </w:pPr>
            <w:r w:rsidRPr="009170F6">
              <w:rPr>
                <w:rFonts w:cs="Calibri"/>
                <w:color w:val="000000"/>
                <w:sz w:val="22"/>
                <w:szCs w:val="22"/>
              </w:rPr>
              <w:t>There are enough rooms in my household to accommodate a carer overnight when needed</w:t>
            </w:r>
          </w:p>
        </w:tc>
        <w:tc>
          <w:tcPr>
            <w:tcW w:w="1276" w:type="dxa"/>
            <w:shd w:val="clear" w:color="auto" w:fill="auto"/>
            <w:noWrap/>
            <w:vAlign w:val="center"/>
            <w:hideMark/>
          </w:tcPr>
          <w:p w14:paraId="40917142"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6.3</w:t>
            </w:r>
          </w:p>
        </w:tc>
        <w:tc>
          <w:tcPr>
            <w:tcW w:w="1276" w:type="dxa"/>
            <w:shd w:val="clear" w:color="auto" w:fill="auto"/>
            <w:noWrap/>
            <w:vAlign w:val="center"/>
            <w:hideMark/>
          </w:tcPr>
          <w:p w14:paraId="26B2C63F"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5.4</w:t>
            </w:r>
          </w:p>
        </w:tc>
        <w:tc>
          <w:tcPr>
            <w:tcW w:w="1276" w:type="dxa"/>
            <w:shd w:val="clear" w:color="auto" w:fill="auto"/>
            <w:noWrap/>
            <w:vAlign w:val="center"/>
            <w:hideMark/>
          </w:tcPr>
          <w:p w14:paraId="336C2D7D"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6.4</w:t>
            </w:r>
          </w:p>
        </w:tc>
        <w:tc>
          <w:tcPr>
            <w:tcW w:w="934" w:type="dxa"/>
            <w:shd w:val="clear" w:color="auto" w:fill="auto"/>
            <w:noWrap/>
            <w:vAlign w:val="center"/>
            <w:hideMark/>
          </w:tcPr>
          <w:p w14:paraId="5819DCA4"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6.2</w:t>
            </w:r>
          </w:p>
        </w:tc>
      </w:tr>
      <w:tr w:rsidR="009170F6" w:rsidRPr="009170F6" w14:paraId="1DC0BAAB" w14:textId="77777777" w:rsidTr="009170F6">
        <w:tc>
          <w:tcPr>
            <w:tcW w:w="4644" w:type="dxa"/>
            <w:shd w:val="clear" w:color="auto" w:fill="auto"/>
            <w:noWrap/>
            <w:vAlign w:val="bottom"/>
            <w:hideMark/>
          </w:tcPr>
          <w:p w14:paraId="6E32A8D1" w14:textId="77777777" w:rsidR="001F27D2" w:rsidRPr="009170F6" w:rsidRDefault="001F27D2" w:rsidP="009170F6">
            <w:pPr>
              <w:spacing w:before="0" w:after="0"/>
              <w:rPr>
                <w:rFonts w:cs="Calibri"/>
                <w:color w:val="000000"/>
                <w:sz w:val="22"/>
                <w:szCs w:val="22"/>
              </w:rPr>
            </w:pPr>
            <w:r w:rsidRPr="009170F6">
              <w:rPr>
                <w:rFonts w:cs="Calibri"/>
                <w:color w:val="000000"/>
                <w:sz w:val="22"/>
                <w:szCs w:val="22"/>
              </w:rPr>
              <w:t>All households</w:t>
            </w:r>
          </w:p>
        </w:tc>
        <w:tc>
          <w:tcPr>
            <w:tcW w:w="1276" w:type="dxa"/>
            <w:shd w:val="clear" w:color="auto" w:fill="auto"/>
            <w:noWrap/>
            <w:vAlign w:val="center"/>
            <w:hideMark/>
          </w:tcPr>
          <w:p w14:paraId="2883435A" w14:textId="61D98551"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16</w:t>
            </w:r>
            <w:r w:rsidR="009170F6">
              <w:rPr>
                <w:rFonts w:cs="Calibri"/>
                <w:color w:val="000000"/>
                <w:sz w:val="22"/>
                <w:szCs w:val="22"/>
              </w:rPr>
              <w:t>,</w:t>
            </w:r>
            <w:r w:rsidRPr="009170F6">
              <w:rPr>
                <w:rFonts w:cs="Calibri"/>
                <w:color w:val="000000"/>
                <w:sz w:val="22"/>
                <w:szCs w:val="22"/>
              </w:rPr>
              <w:t>766</w:t>
            </w:r>
          </w:p>
        </w:tc>
        <w:tc>
          <w:tcPr>
            <w:tcW w:w="1276" w:type="dxa"/>
            <w:shd w:val="clear" w:color="auto" w:fill="auto"/>
            <w:noWrap/>
            <w:vAlign w:val="center"/>
            <w:hideMark/>
          </w:tcPr>
          <w:p w14:paraId="4EBB9D0D" w14:textId="70DC6D0F"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4</w:t>
            </w:r>
            <w:r w:rsidR="009170F6">
              <w:rPr>
                <w:rFonts w:cs="Calibri"/>
                <w:color w:val="000000"/>
                <w:sz w:val="22"/>
                <w:szCs w:val="22"/>
              </w:rPr>
              <w:t>,</w:t>
            </w:r>
            <w:r w:rsidRPr="009170F6">
              <w:rPr>
                <w:rFonts w:cs="Calibri"/>
                <w:color w:val="000000"/>
                <w:sz w:val="22"/>
                <w:szCs w:val="22"/>
              </w:rPr>
              <w:t>376</w:t>
            </w:r>
          </w:p>
        </w:tc>
        <w:tc>
          <w:tcPr>
            <w:tcW w:w="1276" w:type="dxa"/>
            <w:shd w:val="clear" w:color="auto" w:fill="auto"/>
            <w:noWrap/>
            <w:vAlign w:val="center"/>
            <w:hideMark/>
          </w:tcPr>
          <w:p w14:paraId="0E84CEE5" w14:textId="5350C339"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2</w:t>
            </w:r>
            <w:r w:rsidR="009170F6">
              <w:rPr>
                <w:rFonts w:cs="Calibri"/>
                <w:color w:val="000000"/>
                <w:sz w:val="22"/>
                <w:szCs w:val="22"/>
              </w:rPr>
              <w:t>,</w:t>
            </w:r>
            <w:r w:rsidRPr="009170F6">
              <w:rPr>
                <w:rFonts w:cs="Calibri"/>
                <w:color w:val="000000"/>
                <w:sz w:val="22"/>
                <w:szCs w:val="22"/>
              </w:rPr>
              <w:t>621</w:t>
            </w:r>
          </w:p>
        </w:tc>
        <w:tc>
          <w:tcPr>
            <w:tcW w:w="934" w:type="dxa"/>
            <w:shd w:val="clear" w:color="auto" w:fill="auto"/>
            <w:noWrap/>
            <w:vAlign w:val="center"/>
            <w:hideMark/>
          </w:tcPr>
          <w:p w14:paraId="1801F27F" w14:textId="5C5E356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23</w:t>
            </w:r>
            <w:r w:rsidR="009170F6">
              <w:rPr>
                <w:rFonts w:cs="Calibri"/>
                <w:color w:val="000000"/>
                <w:sz w:val="22"/>
                <w:szCs w:val="22"/>
              </w:rPr>
              <w:t>,</w:t>
            </w:r>
            <w:r w:rsidRPr="009170F6">
              <w:rPr>
                <w:rFonts w:cs="Calibri"/>
                <w:color w:val="000000"/>
                <w:sz w:val="22"/>
                <w:szCs w:val="22"/>
              </w:rPr>
              <w:t>763</w:t>
            </w:r>
          </w:p>
        </w:tc>
      </w:tr>
    </w:tbl>
    <w:p w14:paraId="05C6055F" w14:textId="77777777" w:rsidR="001F27D2" w:rsidRPr="002B2A7F" w:rsidRDefault="001F27D2" w:rsidP="001F27D2">
      <w:pPr>
        <w:rPr>
          <w:rFonts w:asciiTheme="minorHAnsi" w:hAnsiTheme="minorHAnsi"/>
          <w:lang w:val="en-US"/>
        </w:rPr>
      </w:pPr>
    </w:p>
    <w:p w14:paraId="677E28A4" w14:textId="77777777" w:rsidR="001F27D2" w:rsidRPr="002B2A7F" w:rsidRDefault="001F27D2" w:rsidP="001F27D2">
      <w:pPr>
        <w:pStyle w:val="Heading3"/>
        <w:rPr>
          <w:rFonts w:asciiTheme="minorHAnsi" w:hAnsiTheme="minorHAnsi"/>
          <w:lang w:val="en-US"/>
        </w:rPr>
      </w:pPr>
      <w:r w:rsidRPr="002B2A7F">
        <w:rPr>
          <w:rFonts w:asciiTheme="minorHAnsi" w:hAnsiTheme="minorHAnsi"/>
          <w:lang w:val="en-US"/>
        </w:rPr>
        <w:t>National disability prevalence rates applied to Eden District</w:t>
      </w:r>
    </w:p>
    <w:p w14:paraId="6DEA158F" w14:textId="62D8AD35" w:rsidR="001F27D2" w:rsidRPr="004D7AD6" w:rsidRDefault="001F27D2" w:rsidP="001F27D2">
      <w:pPr>
        <w:pStyle w:val="Reporttext"/>
        <w:rPr>
          <w:lang w:val="en-US"/>
        </w:rPr>
      </w:pPr>
      <w:r w:rsidRPr="002B2A7F">
        <w:rPr>
          <w:lang w:val="en-US"/>
        </w:rPr>
        <w:t xml:space="preserve">The ONS Family Resources Survey provides national data on the number of people with disabilities by age group. This can be applied to population projections by age group to establish the potential number of residents who have a disability at the start of the </w:t>
      </w:r>
      <w:r w:rsidR="003E0DC8">
        <w:rPr>
          <w:lang w:val="en-US"/>
        </w:rPr>
        <w:t>P</w:t>
      </w:r>
      <w:r w:rsidRPr="002B2A7F">
        <w:rPr>
          <w:lang w:val="en-US"/>
        </w:rPr>
        <w:t xml:space="preserve">lan </w:t>
      </w:r>
      <w:r w:rsidR="003E0DC8">
        <w:rPr>
          <w:lang w:val="en-US"/>
        </w:rPr>
        <w:t>P</w:t>
      </w:r>
      <w:r w:rsidRPr="002B2A7F">
        <w:rPr>
          <w:lang w:val="en-US"/>
        </w:rPr>
        <w:t xml:space="preserve">eriod and how this is likely to change over the </w:t>
      </w:r>
      <w:r w:rsidR="003E0DC8">
        <w:rPr>
          <w:lang w:val="en-US"/>
        </w:rPr>
        <w:t>P</w:t>
      </w:r>
      <w:r w:rsidRPr="002B2A7F">
        <w:rPr>
          <w:lang w:val="en-US"/>
        </w:rPr>
        <w:t xml:space="preserve">lan </w:t>
      </w:r>
      <w:r w:rsidR="003E0DC8">
        <w:rPr>
          <w:lang w:val="en-US"/>
        </w:rPr>
        <w:t>P</w:t>
      </w:r>
      <w:r w:rsidRPr="002B2A7F">
        <w:rPr>
          <w:lang w:val="en-US"/>
        </w:rPr>
        <w:t xml:space="preserve">eriod to-2032 (Table 6.12). Although the number of people does not necessarily translate to a specific housing need, it provides a further insight into the likely level of disability experienced by residents in the </w:t>
      </w:r>
      <w:r w:rsidR="003E0DC8">
        <w:rPr>
          <w:lang w:val="en-US"/>
        </w:rPr>
        <w:t>b</w:t>
      </w:r>
      <w:r w:rsidRPr="002B2A7F">
        <w:rPr>
          <w:lang w:val="en-US"/>
        </w:rPr>
        <w:t>orough.  A total of around 13,150 people are expected to experience a disability which represents 25.0% of residents in households and this is expected to increase to 27.8% by 2032</w:t>
      </w:r>
      <w:r w:rsidR="003E0DC8">
        <w:rPr>
          <w:lang w:val="en-US"/>
        </w:rPr>
        <w:t>.</w:t>
      </w:r>
    </w:p>
    <w:p w14:paraId="484A0410" w14:textId="534A6AE2" w:rsidR="001F27D2" w:rsidRDefault="001F27D2" w:rsidP="001F27D2">
      <w:pPr>
        <w:pStyle w:val="Reporttext"/>
        <w:numPr>
          <w:ilvl w:val="0"/>
          <w:numId w:val="0"/>
        </w:numPr>
        <w:rPr>
          <w:lang w:val="en-US"/>
        </w:rPr>
      </w:pPr>
    </w:p>
    <w:tbl>
      <w:tblPr>
        <w:tblStyle w:val="arc4table"/>
        <w:tblW w:w="4573" w:type="pct"/>
        <w:tblInd w:w="720" w:type="dxa"/>
        <w:tblLook w:val="04A0" w:firstRow="1" w:lastRow="0" w:firstColumn="1" w:lastColumn="0" w:noHBand="0" w:noVBand="1"/>
      </w:tblPr>
      <w:tblGrid>
        <w:gridCol w:w="3830"/>
        <w:gridCol w:w="1244"/>
        <w:gridCol w:w="1661"/>
        <w:gridCol w:w="1661"/>
      </w:tblGrid>
      <w:tr w:rsidR="001F27D2" w:rsidRPr="009170F6" w14:paraId="1590E58D" w14:textId="77777777" w:rsidTr="001F27D2">
        <w:trPr>
          <w:cnfStyle w:val="100000000000" w:firstRow="1" w:lastRow="0" w:firstColumn="0" w:lastColumn="0" w:oddVBand="0" w:evenVBand="0" w:oddHBand="0" w:evenHBand="0" w:firstRowFirstColumn="0" w:firstRowLastColumn="0" w:lastRowFirstColumn="0" w:lastRowLastColumn="0"/>
          <w:trHeight w:val="320"/>
        </w:trPr>
        <w:tc>
          <w:tcPr>
            <w:tcW w:w="5000" w:type="pct"/>
            <w:gridSpan w:val="4"/>
            <w:noWrap/>
          </w:tcPr>
          <w:p w14:paraId="5A8AB00E" w14:textId="77777777" w:rsidR="001F27D2" w:rsidRPr="009170F6" w:rsidRDefault="001F27D2" w:rsidP="009170F6">
            <w:pPr>
              <w:pStyle w:val="Tableheading1"/>
              <w:rPr>
                <w:b/>
              </w:rPr>
            </w:pPr>
            <w:bookmarkStart w:id="511" w:name="_Toc397250689"/>
            <w:bookmarkStart w:id="512" w:name="_Toc529739469"/>
            <w:bookmarkStart w:id="513" w:name="_Toc531122965"/>
            <w:bookmarkStart w:id="514" w:name="_Toc532812500"/>
            <w:r w:rsidRPr="009170F6">
              <w:rPr>
                <w:b/>
              </w:rPr>
              <w:t>Table 6.12</w:t>
            </w:r>
            <w:r w:rsidRPr="009170F6">
              <w:rPr>
                <w:b/>
              </w:rPr>
              <w:tab/>
              <w:t>Estimate of the number of people with a particular disability</w:t>
            </w:r>
            <w:bookmarkEnd w:id="511"/>
            <w:bookmarkEnd w:id="512"/>
            <w:bookmarkEnd w:id="513"/>
            <w:bookmarkEnd w:id="514"/>
          </w:p>
        </w:tc>
      </w:tr>
      <w:tr w:rsidR="001F27D2" w:rsidRPr="009170F6" w14:paraId="0C10C954" w14:textId="77777777" w:rsidTr="001F27D2">
        <w:trPr>
          <w:trHeight w:val="320"/>
        </w:trPr>
        <w:tc>
          <w:tcPr>
            <w:tcW w:w="2281" w:type="pct"/>
            <w:shd w:val="clear" w:color="auto" w:fill="009999"/>
            <w:noWrap/>
          </w:tcPr>
          <w:p w14:paraId="72C30B3E" w14:textId="77777777" w:rsidR="001F27D2" w:rsidRPr="009170F6" w:rsidRDefault="001F27D2" w:rsidP="009170F6">
            <w:pPr>
              <w:spacing w:before="0" w:after="0"/>
              <w:jc w:val="center"/>
              <w:rPr>
                <w:rFonts w:cs="Calibri"/>
                <w:b/>
                <w:color w:val="FFFFFF" w:themeColor="background1"/>
                <w:sz w:val="22"/>
                <w:szCs w:val="22"/>
              </w:rPr>
            </w:pPr>
          </w:p>
        </w:tc>
        <w:tc>
          <w:tcPr>
            <w:tcW w:w="2719" w:type="pct"/>
            <w:gridSpan w:val="3"/>
            <w:shd w:val="clear" w:color="auto" w:fill="009999"/>
            <w:vAlign w:val="bottom"/>
          </w:tcPr>
          <w:p w14:paraId="3F932C21" w14:textId="77777777" w:rsidR="001F27D2" w:rsidRPr="009170F6" w:rsidRDefault="001F27D2" w:rsidP="009170F6">
            <w:pPr>
              <w:spacing w:before="0" w:after="0"/>
              <w:jc w:val="center"/>
              <w:rPr>
                <w:rFonts w:cs="Calibri"/>
                <w:b/>
                <w:color w:val="FFFFFF" w:themeColor="background1"/>
                <w:sz w:val="22"/>
                <w:szCs w:val="22"/>
              </w:rPr>
            </w:pPr>
            <w:r w:rsidRPr="009170F6">
              <w:rPr>
                <w:rFonts w:cs="Calibri"/>
                <w:b/>
                <w:bCs/>
                <w:color w:val="FFFFFF" w:themeColor="background1"/>
                <w:sz w:val="22"/>
                <w:szCs w:val="22"/>
              </w:rPr>
              <w:t xml:space="preserve">Estimated of residents with Disability </w:t>
            </w:r>
          </w:p>
        </w:tc>
      </w:tr>
      <w:tr w:rsidR="001F27D2" w:rsidRPr="009170F6" w14:paraId="1800484B" w14:textId="77777777" w:rsidTr="001F27D2">
        <w:trPr>
          <w:trHeight w:val="320"/>
        </w:trPr>
        <w:tc>
          <w:tcPr>
            <w:tcW w:w="2281" w:type="pct"/>
            <w:noWrap/>
            <w:hideMark/>
          </w:tcPr>
          <w:p w14:paraId="7B085F19" w14:textId="77777777" w:rsidR="001F27D2" w:rsidRPr="009170F6" w:rsidRDefault="001F27D2" w:rsidP="009170F6">
            <w:pPr>
              <w:spacing w:before="0" w:after="0"/>
              <w:jc w:val="center"/>
              <w:rPr>
                <w:rFonts w:cs="Calibri"/>
                <w:sz w:val="22"/>
                <w:szCs w:val="22"/>
              </w:rPr>
            </w:pPr>
          </w:p>
        </w:tc>
        <w:tc>
          <w:tcPr>
            <w:tcW w:w="741" w:type="pct"/>
            <w:vAlign w:val="bottom"/>
            <w:hideMark/>
          </w:tcPr>
          <w:p w14:paraId="0B353C25" w14:textId="77777777" w:rsidR="001F27D2" w:rsidRPr="009170F6" w:rsidRDefault="001F27D2" w:rsidP="009170F6">
            <w:pPr>
              <w:spacing w:before="0" w:after="0"/>
              <w:jc w:val="center"/>
              <w:rPr>
                <w:rFonts w:cs="Calibri"/>
                <w:b/>
                <w:bCs/>
                <w:color w:val="000000"/>
                <w:sz w:val="22"/>
                <w:szCs w:val="22"/>
              </w:rPr>
            </w:pPr>
            <w:r w:rsidRPr="009170F6">
              <w:rPr>
                <w:rFonts w:cs="Calibri"/>
                <w:b/>
                <w:bCs/>
                <w:color w:val="000000"/>
                <w:sz w:val="22"/>
                <w:szCs w:val="22"/>
              </w:rPr>
              <w:t>2016</w:t>
            </w:r>
          </w:p>
        </w:tc>
        <w:tc>
          <w:tcPr>
            <w:tcW w:w="989" w:type="pct"/>
            <w:vAlign w:val="bottom"/>
            <w:hideMark/>
          </w:tcPr>
          <w:p w14:paraId="145106E0" w14:textId="77777777" w:rsidR="001F27D2" w:rsidRPr="009170F6" w:rsidRDefault="001F27D2" w:rsidP="009170F6">
            <w:pPr>
              <w:spacing w:before="0" w:after="0"/>
              <w:jc w:val="center"/>
              <w:rPr>
                <w:rFonts w:cs="Calibri"/>
                <w:b/>
                <w:bCs/>
                <w:color w:val="000000"/>
                <w:sz w:val="22"/>
                <w:szCs w:val="22"/>
              </w:rPr>
            </w:pPr>
            <w:r w:rsidRPr="009170F6">
              <w:rPr>
                <w:rFonts w:cs="Calibri"/>
                <w:b/>
                <w:bCs/>
                <w:color w:val="000000"/>
                <w:sz w:val="22"/>
                <w:szCs w:val="22"/>
              </w:rPr>
              <w:t>2032</w:t>
            </w:r>
          </w:p>
        </w:tc>
        <w:tc>
          <w:tcPr>
            <w:tcW w:w="989" w:type="pct"/>
            <w:noWrap/>
            <w:vAlign w:val="bottom"/>
            <w:hideMark/>
          </w:tcPr>
          <w:p w14:paraId="03817208" w14:textId="77777777" w:rsidR="001F27D2" w:rsidRPr="009170F6" w:rsidRDefault="001F27D2" w:rsidP="009170F6">
            <w:pPr>
              <w:spacing w:before="0" w:after="0"/>
              <w:jc w:val="center"/>
              <w:rPr>
                <w:rFonts w:cs="Calibri"/>
                <w:b/>
                <w:color w:val="000000"/>
                <w:sz w:val="22"/>
                <w:szCs w:val="22"/>
              </w:rPr>
            </w:pPr>
            <w:r w:rsidRPr="009170F6">
              <w:rPr>
                <w:rFonts w:cs="Calibri"/>
                <w:b/>
                <w:color w:val="000000"/>
                <w:sz w:val="22"/>
                <w:szCs w:val="22"/>
              </w:rPr>
              <w:t>Change</w:t>
            </w:r>
          </w:p>
        </w:tc>
      </w:tr>
      <w:tr w:rsidR="001F27D2" w:rsidRPr="009170F6" w14:paraId="4A261DD6" w14:textId="77777777" w:rsidTr="001F27D2">
        <w:trPr>
          <w:trHeight w:val="320"/>
        </w:trPr>
        <w:tc>
          <w:tcPr>
            <w:tcW w:w="2281" w:type="pct"/>
            <w:noWrap/>
            <w:vAlign w:val="bottom"/>
            <w:hideMark/>
          </w:tcPr>
          <w:p w14:paraId="5DE21F3D" w14:textId="77777777" w:rsidR="001F27D2" w:rsidRPr="009170F6" w:rsidRDefault="001F27D2" w:rsidP="009170F6">
            <w:pPr>
              <w:spacing w:before="0" w:after="0"/>
              <w:rPr>
                <w:rFonts w:cs="Calibri"/>
                <w:b/>
                <w:color w:val="000000"/>
                <w:sz w:val="22"/>
                <w:szCs w:val="22"/>
              </w:rPr>
            </w:pPr>
            <w:r w:rsidRPr="009170F6">
              <w:rPr>
                <w:rFonts w:cs="Calibri"/>
                <w:color w:val="000000"/>
                <w:sz w:val="22"/>
                <w:szCs w:val="22"/>
              </w:rPr>
              <w:t>Base (total in households with disability)</w:t>
            </w:r>
          </w:p>
        </w:tc>
        <w:tc>
          <w:tcPr>
            <w:tcW w:w="741" w:type="pct"/>
            <w:noWrap/>
            <w:vAlign w:val="bottom"/>
            <w:hideMark/>
          </w:tcPr>
          <w:p w14:paraId="46D557A1"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13,150</w:t>
            </w:r>
          </w:p>
        </w:tc>
        <w:tc>
          <w:tcPr>
            <w:tcW w:w="989" w:type="pct"/>
            <w:noWrap/>
            <w:vAlign w:val="bottom"/>
            <w:hideMark/>
          </w:tcPr>
          <w:p w14:paraId="018F879F"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14,600</w:t>
            </w:r>
          </w:p>
        </w:tc>
        <w:tc>
          <w:tcPr>
            <w:tcW w:w="989" w:type="pct"/>
            <w:noWrap/>
            <w:vAlign w:val="bottom"/>
            <w:hideMark/>
          </w:tcPr>
          <w:p w14:paraId="7A5280DA" w14:textId="77777777" w:rsidR="001F27D2" w:rsidRPr="009170F6" w:rsidRDefault="001F27D2" w:rsidP="009170F6">
            <w:pPr>
              <w:spacing w:before="0" w:after="0"/>
              <w:jc w:val="center"/>
              <w:rPr>
                <w:rFonts w:cs="Calibri"/>
                <w:b/>
                <w:color w:val="000000"/>
                <w:sz w:val="22"/>
                <w:szCs w:val="22"/>
              </w:rPr>
            </w:pPr>
            <w:r w:rsidRPr="009170F6">
              <w:rPr>
                <w:rFonts w:cs="Calibri"/>
                <w:color w:val="000000"/>
                <w:sz w:val="22"/>
                <w:szCs w:val="22"/>
              </w:rPr>
              <w:t>1,450</w:t>
            </w:r>
          </w:p>
        </w:tc>
      </w:tr>
      <w:tr w:rsidR="001F27D2" w:rsidRPr="009170F6" w14:paraId="3C594B32" w14:textId="77777777" w:rsidTr="001F27D2">
        <w:trPr>
          <w:trHeight w:val="320"/>
        </w:trPr>
        <w:tc>
          <w:tcPr>
            <w:tcW w:w="2281" w:type="pct"/>
            <w:noWrap/>
          </w:tcPr>
          <w:p w14:paraId="33537CAD" w14:textId="77777777" w:rsidR="001F27D2" w:rsidRPr="009170F6" w:rsidRDefault="001F27D2" w:rsidP="009170F6">
            <w:pPr>
              <w:spacing w:before="0" w:after="0"/>
              <w:rPr>
                <w:rFonts w:cs="Calibri"/>
                <w:color w:val="000000"/>
                <w:sz w:val="22"/>
                <w:szCs w:val="22"/>
              </w:rPr>
            </w:pPr>
            <w:r w:rsidRPr="009170F6">
              <w:rPr>
                <w:rFonts w:cs="Calibri"/>
                <w:color w:val="000000"/>
                <w:sz w:val="22"/>
                <w:szCs w:val="22"/>
              </w:rPr>
              <w:t>% of population with disability</w:t>
            </w:r>
          </w:p>
        </w:tc>
        <w:tc>
          <w:tcPr>
            <w:tcW w:w="741" w:type="pct"/>
            <w:noWrap/>
            <w:vAlign w:val="bottom"/>
          </w:tcPr>
          <w:p w14:paraId="24E2BBD6"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25.0</w:t>
            </w:r>
          </w:p>
        </w:tc>
        <w:tc>
          <w:tcPr>
            <w:tcW w:w="989" w:type="pct"/>
            <w:noWrap/>
            <w:vAlign w:val="bottom"/>
          </w:tcPr>
          <w:p w14:paraId="294CC30E"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27.8</w:t>
            </w:r>
          </w:p>
        </w:tc>
        <w:tc>
          <w:tcPr>
            <w:tcW w:w="989" w:type="pct"/>
            <w:noWrap/>
            <w:vAlign w:val="bottom"/>
          </w:tcPr>
          <w:p w14:paraId="00E3C06A" w14:textId="77777777" w:rsidR="001F27D2" w:rsidRPr="009170F6" w:rsidRDefault="001F27D2" w:rsidP="009170F6">
            <w:pPr>
              <w:spacing w:before="0" w:after="0"/>
              <w:jc w:val="center"/>
              <w:rPr>
                <w:rFonts w:cs="Calibri"/>
                <w:color w:val="000000"/>
                <w:sz w:val="22"/>
                <w:szCs w:val="22"/>
              </w:rPr>
            </w:pPr>
          </w:p>
        </w:tc>
      </w:tr>
    </w:tbl>
    <w:p w14:paraId="48A688D8" w14:textId="77777777" w:rsidR="001F27D2" w:rsidRPr="009170F6" w:rsidRDefault="001F27D2" w:rsidP="001F27D2">
      <w:pPr>
        <w:pStyle w:val="Reporttext"/>
        <w:numPr>
          <w:ilvl w:val="0"/>
          <w:numId w:val="0"/>
        </w:numPr>
        <w:ind w:left="709"/>
        <w:rPr>
          <w:sz w:val="20"/>
          <w:lang w:val="en-US"/>
        </w:rPr>
      </w:pPr>
      <w:r w:rsidRPr="009170F6">
        <w:rPr>
          <w:sz w:val="20"/>
          <w:lang w:val="en-US"/>
        </w:rPr>
        <w:t>Source: ONS Family Resources Survey 2016/17 and ONS 2016-based population projections</w:t>
      </w:r>
    </w:p>
    <w:p w14:paraId="2497788A" w14:textId="71E5A120" w:rsidR="001F27D2" w:rsidRPr="002B2A7F" w:rsidRDefault="001F27D2" w:rsidP="001F27D2">
      <w:pPr>
        <w:pStyle w:val="Heading2"/>
        <w:ind w:left="709" w:firstLine="0"/>
        <w:rPr>
          <w:rFonts w:asciiTheme="minorHAnsi" w:hAnsiTheme="minorHAnsi"/>
        </w:rPr>
      </w:pPr>
      <w:bookmarkStart w:id="515" w:name="_Toc391751930"/>
      <w:bookmarkStart w:id="516" w:name="_Toc397250571"/>
      <w:bookmarkStart w:id="517" w:name="_Toc524947344"/>
      <w:bookmarkStart w:id="518" w:name="_Toc529652000"/>
      <w:bookmarkStart w:id="519" w:name="_Toc529780770"/>
      <w:bookmarkStart w:id="520" w:name="_Toc531122894"/>
      <w:bookmarkStart w:id="521" w:name="_Toc532812426"/>
      <w:r w:rsidRPr="002B2A7F">
        <w:rPr>
          <w:rFonts w:asciiTheme="minorHAnsi" w:hAnsiTheme="minorHAnsi"/>
        </w:rPr>
        <w:lastRenderedPageBreak/>
        <w:t xml:space="preserve">Benefit claimants - </w:t>
      </w:r>
      <w:r w:rsidR="003E0DC8">
        <w:rPr>
          <w:rFonts w:asciiTheme="minorHAnsi" w:hAnsiTheme="minorHAnsi"/>
        </w:rPr>
        <w:t>D</w:t>
      </w:r>
      <w:r w:rsidRPr="002B2A7F">
        <w:rPr>
          <w:rFonts w:asciiTheme="minorHAnsi" w:hAnsiTheme="minorHAnsi"/>
        </w:rPr>
        <w:t xml:space="preserve">isability </w:t>
      </w:r>
      <w:r w:rsidR="003E0DC8">
        <w:rPr>
          <w:rFonts w:asciiTheme="minorHAnsi" w:hAnsiTheme="minorHAnsi"/>
        </w:rPr>
        <w:t>L</w:t>
      </w:r>
      <w:r w:rsidRPr="002B2A7F">
        <w:rPr>
          <w:rFonts w:asciiTheme="minorHAnsi" w:hAnsiTheme="minorHAnsi"/>
        </w:rPr>
        <w:t xml:space="preserve">iving </w:t>
      </w:r>
      <w:r w:rsidR="003E0DC8">
        <w:rPr>
          <w:rFonts w:asciiTheme="minorHAnsi" w:hAnsiTheme="minorHAnsi"/>
        </w:rPr>
        <w:t>A</w:t>
      </w:r>
      <w:r w:rsidRPr="002B2A7F">
        <w:rPr>
          <w:rFonts w:asciiTheme="minorHAnsi" w:hAnsiTheme="minorHAnsi"/>
        </w:rPr>
        <w:t>llowance (DLA) by disabling condition</w:t>
      </w:r>
      <w:bookmarkEnd w:id="515"/>
      <w:bookmarkEnd w:id="516"/>
      <w:bookmarkEnd w:id="517"/>
      <w:bookmarkEnd w:id="518"/>
      <w:bookmarkEnd w:id="519"/>
      <w:bookmarkEnd w:id="520"/>
      <w:bookmarkEnd w:id="521"/>
    </w:p>
    <w:p w14:paraId="61F80991" w14:textId="2589A5D2" w:rsidR="001F27D2" w:rsidRPr="002B2A7F" w:rsidRDefault="001F27D2" w:rsidP="001F27D2">
      <w:pPr>
        <w:pStyle w:val="Reporttext"/>
        <w:rPr>
          <w:lang w:val="en-US"/>
        </w:rPr>
      </w:pPr>
      <w:r w:rsidRPr="002B2A7F">
        <w:rPr>
          <w:lang w:val="en-US"/>
        </w:rPr>
        <w:t xml:space="preserve">The Department of Work and Pensions (DWP) publishes information about the number of people receiving Disability Living Allowance (DLA) and the conditions associated with the claim. Table 6.13 indicates that 1.9% of the population receive DLA, including 2.9% of all residents under 16 and 3.3% of all residents aged 65 and over in receipt of DLA. The disabling conditions reported by </w:t>
      </w:r>
      <w:r w:rsidR="003E0DC8">
        <w:rPr>
          <w:lang w:val="en-US"/>
        </w:rPr>
        <w:t>D</w:t>
      </w:r>
      <w:r w:rsidRPr="002B2A7F">
        <w:rPr>
          <w:lang w:val="en-US"/>
        </w:rPr>
        <w:t xml:space="preserve">istrict residents in receipt of DLA are shown in Table 6.14 and indicates that the most prevalent conditions are learning difficulties and arthritis. </w:t>
      </w:r>
    </w:p>
    <w:p w14:paraId="0393EBCD" w14:textId="77777777" w:rsidR="001F27D2" w:rsidRPr="002B2A7F" w:rsidRDefault="001F27D2" w:rsidP="001F27D2">
      <w:pPr>
        <w:pStyle w:val="Reporttext"/>
        <w:numPr>
          <w:ilvl w:val="0"/>
          <w:numId w:val="0"/>
        </w:numPr>
        <w:rPr>
          <w:lang w:val="en-US"/>
        </w:rPr>
      </w:pPr>
    </w:p>
    <w:tbl>
      <w:tblPr>
        <w:tblW w:w="8602" w:type="dxa"/>
        <w:tblInd w:w="720"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1373"/>
        <w:gridCol w:w="2126"/>
        <w:gridCol w:w="1701"/>
        <w:gridCol w:w="1559"/>
        <w:gridCol w:w="1843"/>
      </w:tblGrid>
      <w:tr w:rsidR="001F27D2" w:rsidRPr="009170F6" w14:paraId="4519B6D6" w14:textId="77777777" w:rsidTr="001F27D2">
        <w:tc>
          <w:tcPr>
            <w:tcW w:w="8602" w:type="dxa"/>
            <w:gridSpan w:val="5"/>
            <w:shd w:val="clear" w:color="auto" w:fill="009999"/>
            <w:noWrap/>
            <w:vAlign w:val="bottom"/>
          </w:tcPr>
          <w:p w14:paraId="5CC9CF11" w14:textId="77777777" w:rsidR="001F27D2" w:rsidRPr="009170F6" w:rsidRDefault="001F27D2" w:rsidP="009170F6">
            <w:pPr>
              <w:pStyle w:val="Tableheading1"/>
            </w:pPr>
            <w:bookmarkStart w:id="522" w:name="_Toc397250690"/>
            <w:bookmarkStart w:id="523" w:name="_Toc529739470"/>
            <w:bookmarkStart w:id="524" w:name="_Toc531122966"/>
            <w:bookmarkStart w:id="525" w:name="_Toc532812501"/>
            <w:r w:rsidRPr="009170F6">
              <w:t>Table 6.13</w:t>
            </w:r>
            <w:r w:rsidRPr="009170F6">
              <w:tab/>
              <w:t>DLA claimants by age group</w:t>
            </w:r>
            <w:bookmarkEnd w:id="522"/>
            <w:bookmarkEnd w:id="523"/>
            <w:bookmarkEnd w:id="524"/>
            <w:bookmarkEnd w:id="525"/>
          </w:p>
        </w:tc>
      </w:tr>
      <w:tr w:rsidR="001F27D2" w:rsidRPr="009170F6" w14:paraId="40FCF71C" w14:textId="77777777" w:rsidTr="001F27D2">
        <w:tc>
          <w:tcPr>
            <w:tcW w:w="1373" w:type="dxa"/>
            <w:shd w:val="clear" w:color="auto" w:fill="009999"/>
            <w:noWrap/>
            <w:vAlign w:val="bottom"/>
            <w:hideMark/>
          </w:tcPr>
          <w:p w14:paraId="06880CA8" w14:textId="77777777" w:rsidR="001F27D2" w:rsidRPr="009170F6" w:rsidRDefault="001F27D2" w:rsidP="009170F6">
            <w:pPr>
              <w:spacing w:before="0" w:after="0"/>
              <w:rPr>
                <w:rFonts w:cs="Calibri"/>
                <w:b/>
                <w:color w:val="FFFFFF" w:themeColor="background1"/>
                <w:sz w:val="22"/>
                <w:szCs w:val="22"/>
              </w:rPr>
            </w:pPr>
            <w:r w:rsidRPr="009170F6">
              <w:rPr>
                <w:rFonts w:cs="Calibri"/>
                <w:b/>
                <w:color w:val="FFFFFF" w:themeColor="background1"/>
                <w:sz w:val="22"/>
                <w:szCs w:val="22"/>
              </w:rPr>
              <w:t>Age group</w:t>
            </w:r>
          </w:p>
        </w:tc>
        <w:tc>
          <w:tcPr>
            <w:tcW w:w="2126" w:type="dxa"/>
            <w:shd w:val="clear" w:color="auto" w:fill="009999"/>
            <w:noWrap/>
            <w:vAlign w:val="bottom"/>
            <w:hideMark/>
          </w:tcPr>
          <w:p w14:paraId="2C5A4580" w14:textId="77777777" w:rsidR="001F27D2" w:rsidRPr="009170F6" w:rsidRDefault="001F27D2" w:rsidP="009170F6">
            <w:pPr>
              <w:spacing w:before="0" w:after="0"/>
              <w:jc w:val="center"/>
              <w:rPr>
                <w:rFonts w:cs="Calibri"/>
                <w:b/>
                <w:color w:val="FFFFFF" w:themeColor="background1"/>
                <w:sz w:val="22"/>
                <w:szCs w:val="22"/>
              </w:rPr>
            </w:pPr>
            <w:r w:rsidRPr="009170F6">
              <w:rPr>
                <w:rFonts w:cs="Calibri"/>
                <w:b/>
                <w:color w:val="FFFFFF" w:themeColor="background1"/>
                <w:sz w:val="22"/>
                <w:szCs w:val="22"/>
              </w:rPr>
              <w:t>Number of claimants</w:t>
            </w:r>
          </w:p>
        </w:tc>
        <w:tc>
          <w:tcPr>
            <w:tcW w:w="1701" w:type="dxa"/>
            <w:shd w:val="clear" w:color="auto" w:fill="009999"/>
            <w:noWrap/>
            <w:vAlign w:val="bottom"/>
            <w:hideMark/>
          </w:tcPr>
          <w:p w14:paraId="1E290962" w14:textId="77777777" w:rsidR="001F27D2" w:rsidRPr="009170F6" w:rsidRDefault="001F27D2" w:rsidP="009170F6">
            <w:pPr>
              <w:spacing w:before="0" w:after="0"/>
              <w:jc w:val="center"/>
              <w:rPr>
                <w:rFonts w:cs="Calibri"/>
                <w:b/>
                <w:color w:val="FFFFFF" w:themeColor="background1"/>
                <w:sz w:val="22"/>
                <w:szCs w:val="22"/>
              </w:rPr>
            </w:pPr>
            <w:r w:rsidRPr="009170F6">
              <w:rPr>
                <w:rFonts w:cs="Calibri"/>
                <w:b/>
                <w:color w:val="FFFFFF" w:themeColor="background1"/>
                <w:sz w:val="22"/>
                <w:szCs w:val="22"/>
              </w:rPr>
              <w:t>% of claimants</w:t>
            </w:r>
          </w:p>
        </w:tc>
        <w:tc>
          <w:tcPr>
            <w:tcW w:w="1559" w:type="dxa"/>
            <w:shd w:val="clear" w:color="auto" w:fill="009999"/>
            <w:noWrap/>
            <w:vAlign w:val="bottom"/>
            <w:hideMark/>
          </w:tcPr>
          <w:p w14:paraId="2759ABD3" w14:textId="77777777" w:rsidR="001F27D2" w:rsidRPr="009170F6" w:rsidRDefault="001F27D2" w:rsidP="009170F6">
            <w:pPr>
              <w:spacing w:before="0" w:after="0"/>
              <w:jc w:val="center"/>
              <w:rPr>
                <w:rFonts w:cs="Calibri"/>
                <w:b/>
                <w:color w:val="FFFFFF" w:themeColor="background1"/>
                <w:sz w:val="22"/>
                <w:szCs w:val="22"/>
              </w:rPr>
            </w:pPr>
            <w:r w:rsidRPr="009170F6">
              <w:rPr>
                <w:rFonts w:cs="Calibri"/>
                <w:b/>
                <w:color w:val="FFFFFF" w:themeColor="background1"/>
                <w:sz w:val="22"/>
                <w:szCs w:val="22"/>
              </w:rPr>
              <w:t>Population 2018 est</w:t>
            </w:r>
          </w:p>
        </w:tc>
        <w:tc>
          <w:tcPr>
            <w:tcW w:w="1843" w:type="dxa"/>
            <w:shd w:val="clear" w:color="auto" w:fill="009999"/>
            <w:noWrap/>
            <w:vAlign w:val="bottom"/>
            <w:hideMark/>
          </w:tcPr>
          <w:p w14:paraId="36219279" w14:textId="77777777" w:rsidR="001F27D2" w:rsidRPr="009170F6" w:rsidRDefault="001F27D2" w:rsidP="009170F6">
            <w:pPr>
              <w:spacing w:before="0" w:after="0"/>
              <w:jc w:val="center"/>
              <w:rPr>
                <w:rFonts w:cs="Calibri"/>
                <w:b/>
                <w:color w:val="FFFFFF" w:themeColor="background1"/>
                <w:sz w:val="22"/>
                <w:szCs w:val="22"/>
              </w:rPr>
            </w:pPr>
            <w:r w:rsidRPr="009170F6">
              <w:rPr>
                <w:rFonts w:cs="Calibri"/>
                <w:b/>
                <w:color w:val="FFFFFF" w:themeColor="background1"/>
                <w:sz w:val="22"/>
                <w:szCs w:val="22"/>
              </w:rPr>
              <w:t>% population DLA claimant</w:t>
            </w:r>
          </w:p>
        </w:tc>
      </w:tr>
      <w:tr w:rsidR="001F27D2" w:rsidRPr="009170F6" w14:paraId="70573AE4" w14:textId="77777777" w:rsidTr="001F27D2">
        <w:tc>
          <w:tcPr>
            <w:tcW w:w="1373" w:type="dxa"/>
            <w:shd w:val="clear" w:color="auto" w:fill="auto"/>
            <w:noWrap/>
            <w:vAlign w:val="bottom"/>
            <w:hideMark/>
          </w:tcPr>
          <w:p w14:paraId="43A0CE21" w14:textId="77777777" w:rsidR="001F27D2" w:rsidRPr="009170F6" w:rsidRDefault="001F27D2" w:rsidP="009170F6">
            <w:pPr>
              <w:spacing w:before="0" w:after="0"/>
              <w:rPr>
                <w:rFonts w:cs="Calibri"/>
                <w:color w:val="000000"/>
                <w:sz w:val="22"/>
                <w:szCs w:val="22"/>
              </w:rPr>
            </w:pPr>
            <w:r w:rsidRPr="009170F6">
              <w:rPr>
                <w:rFonts w:cs="Calibri"/>
                <w:color w:val="000000"/>
                <w:sz w:val="22"/>
                <w:szCs w:val="22"/>
              </w:rPr>
              <w:t>Under 16</w:t>
            </w:r>
          </w:p>
        </w:tc>
        <w:tc>
          <w:tcPr>
            <w:tcW w:w="2126" w:type="dxa"/>
            <w:shd w:val="clear" w:color="auto" w:fill="auto"/>
            <w:noWrap/>
            <w:vAlign w:val="bottom"/>
            <w:hideMark/>
          </w:tcPr>
          <w:p w14:paraId="0B10A37B"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220</w:t>
            </w:r>
          </w:p>
        </w:tc>
        <w:tc>
          <w:tcPr>
            <w:tcW w:w="1701" w:type="dxa"/>
            <w:shd w:val="clear" w:color="auto" w:fill="auto"/>
            <w:noWrap/>
            <w:vAlign w:val="bottom"/>
            <w:hideMark/>
          </w:tcPr>
          <w:p w14:paraId="185C50D8"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21.6</w:t>
            </w:r>
          </w:p>
        </w:tc>
        <w:tc>
          <w:tcPr>
            <w:tcW w:w="1559" w:type="dxa"/>
            <w:shd w:val="clear" w:color="auto" w:fill="auto"/>
            <w:noWrap/>
            <w:vAlign w:val="bottom"/>
          </w:tcPr>
          <w:p w14:paraId="289639EC"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7500</w:t>
            </w:r>
          </w:p>
        </w:tc>
        <w:tc>
          <w:tcPr>
            <w:tcW w:w="1843" w:type="dxa"/>
            <w:shd w:val="clear" w:color="auto" w:fill="auto"/>
            <w:noWrap/>
            <w:vAlign w:val="bottom"/>
          </w:tcPr>
          <w:p w14:paraId="2638E934"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2.9</w:t>
            </w:r>
          </w:p>
        </w:tc>
      </w:tr>
      <w:tr w:rsidR="001F27D2" w:rsidRPr="009170F6" w14:paraId="305B8CED" w14:textId="77777777" w:rsidTr="001F27D2">
        <w:tc>
          <w:tcPr>
            <w:tcW w:w="1373" w:type="dxa"/>
            <w:shd w:val="clear" w:color="auto" w:fill="auto"/>
            <w:noWrap/>
            <w:vAlign w:val="bottom"/>
            <w:hideMark/>
          </w:tcPr>
          <w:p w14:paraId="5D7B3636" w14:textId="77777777" w:rsidR="001F27D2" w:rsidRPr="009170F6" w:rsidRDefault="001F27D2" w:rsidP="009170F6">
            <w:pPr>
              <w:spacing w:before="0" w:after="0"/>
              <w:rPr>
                <w:rFonts w:cs="Calibri"/>
                <w:color w:val="000000"/>
                <w:sz w:val="22"/>
                <w:szCs w:val="22"/>
              </w:rPr>
            </w:pPr>
            <w:r w:rsidRPr="009170F6">
              <w:rPr>
                <w:rFonts w:cs="Calibri"/>
                <w:color w:val="000000"/>
                <w:sz w:val="22"/>
                <w:szCs w:val="22"/>
              </w:rPr>
              <w:t>16-24</w:t>
            </w:r>
          </w:p>
        </w:tc>
        <w:tc>
          <w:tcPr>
            <w:tcW w:w="2126" w:type="dxa"/>
            <w:shd w:val="clear" w:color="auto" w:fill="auto"/>
            <w:noWrap/>
            <w:vAlign w:val="bottom"/>
            <w:hideMark/>
          </w:tcPr>
          <w:p w14:paraId="5ADB9958"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30</w:t>
            </w:r>
          </w:p>
        </w:tc>
        <w:tc>
          <w:tcPr>
            <w:tcW w:w="1701" w:type="dxa"/>
            <w:shd w:val="clear" w:color="auto" w:fill="auto"/>
            <w:noWrap/>
            <w:vAlign w:val="bottom"/>
            <w:hideMark/>
          </w:tcPr>
          <w:p w14:paraId="3596BC1B"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2.9</w:t>
            </w:r>
          </w:p>
        </w:tc>
        <w:tc>
          <w:tcPr>
            <w:tcW w:w="1559" w:type="dxa"/>
            <w:shd w:val="clear" w:color="auto" w:fill="auto"/>
            <w:noWrap/>
            <w:vAlign w:val="bottom"/>
          </w:tcPr>
          <w:p w14:paraId="72BB2A4D"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4700</w:t>
            </w:r>
          </w:p>
        </w:tc>
        <w:tc>
          <w:tcPr>
            <w:tcW w:w="1843" w:type="dxa"/>
            <w:shd w:val="clear" w:color="auto" w:fill="auto"/>
            <w:noWrap/>
            <w:vAlign w:val="bottom"/>
          </w:tcPr>
          <w:p w14:paraId="1152CBA7"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0.6</w:t>
            </w:r>
          </w:p>
        </w:tc>
      </w:tr>
      <w:tr w:rsidR="001F27D2" w:rsidRPr="009170F6" w14:paraId="10CF15CA" w14:textId="77777777" w:rsidTr="001F27D2">
        <w:tc>
          <w:tcPr>
            <w:tcW w:w="1373" w:type="dxa"/>
            <w:shd w:val="clear" w:color="auto" w:fill="auto"/>
            <w:noWrap/>
            <w:vAlign w:val="bottom"/>
            <w:hideMark/>
          </w:tcPr>
          <w:p w14:paraId="433A2FF9" w14:textId="77777777" w:rsidR="001F27D2" w:rsidRPr="009170F6" w:rsidRDefault="001F27D2" w:rsidP="009170F6">
            <w:pPr>
              <w:spacing w:before="0" w:after="0"/>
              <w:rPr>
                <w:rFonts w:cs="Calibri"/>
                <w:color w:val="000000"/>
                <w:sz w:val="22"/>
                <w:szCs w:val="22"/>
              </w:rPr>
            </w:pPr>
            <w:r w:rsidRPr="009170F6">
              <w:rPr>
                <w:rFonts w:cs="Calibri"/>
                <w:color w:val="000000"/>
                <w:sz w:val="22"/>
                <w:szCs w:val="22"/>
              </w:rPr>
              <w:t>25-49</w:t>
            </w:r>
          </w:p>
        </w:tc>
        <w:tc>
          <w:tcPr>
            <w:tcW w:w="2126" w:type="dxa"/>
            <w:shd w:val="clear" w:color="auto" w:fill="auto"/>
            <w:noWrap/>
            <w:vAlign w:val="bottom"/>
            <w:hideMark/>
          </w:tcPr>
          <w:p w14:paraId="2A4F2F10"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110</w:t>
            </w:r>
          </w:p>
        </w:tc>
        <w:tc>
          <w:tcPr>
            <w:tcW w:w="1701" w:type="dxa"/>
            <w:shd w:val="clear" w:color="auto" w:fill="auto"/>
            <w:noWrap/>
            <w:vAlign w:val="bottom"/>
            <w:hideMark/>
          </w:tcPr>
          <w:p w14:paraId="3ACD36DB"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10.8</w:t>
            </w:r>
          </w:p>
        </w:tc>
        <w:tc>
          <w:tcPr>
            <w:tcW w:w="1559" w:type="dxa"/>
            <w:shd w:val="clear" w:color="auto" w:fill="auto"/>
            <w:noWrap/>
            <w:vAlign w:val="bottom"/>
          </w:tcPr>
          <w:p w14:paraId="6DBE3251"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13900</w:t>
            </w:r>
          </w:p>
        </w:tc>
        <w:tc>
          <w:tcPr>
            <w:tcW w:w="1843" w:type="dxa"/>
            <w:shd w:val="clear" w:color="auto" w:fill="auto"/>
            <w:noWrap/>
            <w:vAlign w:val="bottom"/>
          </w:tcPr>
          <w:p w14:paraId="349D478F"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0.8</w:t>
            </w:r>
          </w:p>
        </w:tc>
      </w:tr>
      <w:tr w:rsidR="001F27D2" w:rsidRPr="009170F6" w14:paraId="08CC545B" w14:textId="77777777" w:rsidTr="001F27D2">
        <w:tc>
          <w:tcPr>
            <w:tcW w:w="1373" w:type="dxa"/>
            <w:shd w:val="clear" w:color="auto" w:fill="auto"/>
            <w:noWrap/>
            <w:vAlign w:val="bottom"/>
            <w:hideMark/>
          </w:tcPr>
          <w:p w14:paraId="73839BE1" w14:textId="77777777" w:rsidR="001F27D2" w:rsidRPr="009170F6" w:rsidRDefault="001F27D2" w:rsidP="009170F6">
            <w:pPr>
              <w:spacing w:before="0" w:after="0"/>
              <w:rPr>
                <w:rFonts w:cs="Calibri"/>
                <w:color w:val="000000"/>
                <w:sz w:val="22"/>
                <w:szCs w:val="22"/>
              </w:rPr>
            </w:pPr>
            <w:r w:rsidRPr="009170F6">
              <w:rPr>
                <w:rFonts w:cs="Calibri"/>
                <w:color w:val="000000"/>
                <w:sz w:val="22"/>
                <w:szCs w:val="22"/>
              </w:rPr>
              <w:t>50-64</w:t>
            </w:r>
          </w:p>
        </w:tc>
        <w:tc>
          <w:tcPr>
            <w:tcW w:w="2126" w:type="dxa"/>
            <w:shd w:val="clear" w:color="auto" w:fill="auto"/>
            <w:noWrap/>
            <w:vAlign w:val="bottom"/>
            <w:hideMark/>
          </w:tcPr>
          <w:p w14:paraId="1AFFFB1B"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190</w:t>
            </w:r>
          </w:p>
        </w:tc>
        <w:tc>
          <w:tcPr>
            <w:tcW w:w="1701" w:type="dxa"/>
            <w:shd w:val="clear" w:color="auto" w:fill="auto"/>
            <w:noWrap/>
            <w:vAlign w:val="bottom"/>
            <w:hideMark/>
          </w:tcPr>
          <w:p w14:paraId="6950F1BB"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18.6</w:t>
            </w:r>
          </w:p>
        </w:tc>
        <w:tc>
          <w:tcPr>
            <w:tcW w:w="1559" w:type="dxa"/>
            <w:shd w:val="clear" w:color="auto" w:fill="auto"/>
            <w:noWrap/>
            <w:vAlign w:val="bottom"/>
          </w:tcPr>
          <w:p w14:paraId="6156723E"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12400</w:t>
            </w:r>
          </w:p>
        </w:tc>
        <w:tc>
          <w:tcPr>
            <w:tcW w:w="1843" w:type="dxa"/>
            <w:shd w:val="clear" w:color="auto" w:fill="auto"/>
            <w:noWrap/>
            <w:vAlign w:val="bottom"/>
          </w:tcPr>
          <w:p w14:paraId="4C699029"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1.5</w:t>
            </w:r>
          </w:p>
        </w:tc>
      </w:tr>
      <w:tr w:rsidR="001F27D2" w:rsidRPr="009170F6" w14:paraId="4E7FC430" w14:textId="77777777" w:rsidTr="001F27D2">
        <w:tc>
          <w:tcPr>
            <w:tcW w:w="1373" w:type="dxa"/>
            <w:shd w:val="clear" w:color="auto" w:fill="auto"/>
            <w:noWrap/>
            <w:vAlign w:val="bottom"/>
            <w:hideMark/>
          </w:tcPr>
          <w:p w14:paraId="21CCEA45" w14:textId="77777777" w:rsidR="001F27D2" w:rsidRPr="009170F6" w:rsidRDefault="001F27D2" w:rsidP="009170F6">
            <w:pPr>
              <w:spacing w:before="0" w:after="0"/>
              <w:rPr>
                <w:rFonts w:cs="Calibri"/>
                <w:color w:val="000000"/>
                <w:sz w:val="22"/>
                <w:szCs w:val="22"/>
              </w:rPr>
            </w:pPr>
            <w:r w:rsidRPr="009170F6">
              <w:rPr>
                <w:rFonts w:cs="Calibri"/>
                <w:color w:val="000000"/>
                <w:sz w:val="22"/>
                <w:szCs w:val="22"/>
              </w:rPr>
              <w:t>65 and over</w:t>
            </w:r>
          </w:p>
        </w:tc>
        <w:tc>
          <w:tcPr>
            <w:tcW w:w="2126" w:type="dxa"/>
            <w:shd w:val="clear" w:color="auto" w:fill="auto"/>
            <w:noWrap/>
            <w:vAlign w:val="bottom"/>
            <w:hideMark/>
          </w:tcPr>
          <w:p w14:paraId="4D443048"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470</w:t>
            </w:r>
          </w:p>
        </w:tc>
        <w:tc>
          <w:tcPr>
            <w:tcW w:w="1701" w:type="dxa"/>
            <w:shd w:val="clear" w:color="auto" w:fill="auto"/>
            <w:noWrap/>
            <w:vAlign w:val="bottom"/>
            <w:hideMark/>
          </w:tcPr>
          <w:p w14:paraId="4BFD247B"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46.1</w:t>
            </w:r>
          </w:p>
        </w:tc>
        <w:tc>
          <w:tcPr>
            <w:tcW w:w="1559" w:type="dxa"/>
            <w:shd w:val="clear" w:color="auto" w:fill="auto"/>
            <w:noWrap/>
            <w:vAlign w:val="bottom"/>
          </w:tcPr>
          <w:p w14:paraId="496D52DB"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14100</w:t>
            </w:r>
          </w:p>
        </w:tc>
        <w:tc>
          <w:tcPr>
            <w:tcW w:w="1843" w:type="dxa"/>
            <w:shd w:val="clear" w:color="auto" w:fill="auto"/>
            <w:noWrap/>
            <w:vAlign w:val="bottom"/>
          </w:tcPr>
          <w:p w14:paraId="0210830A"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3.3</w:t>
            </w:r>
          </w:p>
        </w:tc>
      </w:tr>
      <w:tr w:rsidR="001F27D2" w:rsidRPr="009170F6" w14:paraId="728B7F0F" w14:textId="77777777" w:rsidTr="001F27D2">
        <w:tc>
          <w:tcPr>
            <w:tcW w:w="1373" w:type="dxa"/>
            <w:shd w:val="clear" w:color="auto" w:fill="auto"/>
            <w:noWrap/>
            <w:vAlign w:val="bottom"/>
            <w:hideMark/>
          </w:tcPr>
          <w:p w14:paraId="16965011" w14:textId="77777777" w:rsidR="001F27D2" w:rsidRPr="009170F6" w:rsidRDefault="001F27D2" w:rsidP="009170F6">
            <w:pPr>
              <w:spacing w:before="0" w:after="0"/>
              <w:rPr>
                <w:rFonts w:cs="Calibri"/>
                <w:color w:val="000000"/>
                <w:sz w:val="22"/>
                <w:szCs w:val="22"/>
              </w:rPr>
            </w:pPr>
            <w:r w:rsidRPr="009170F6">
              <w:rPr>
                <w:rFonts w:cs="Calibri"/>
                <w:color w:val="000000"/>
                <w:sz w:val="22"/>
                <w:szCs w:val="22"/>
              </w:rPr>
              <w:t>Total</w:t>
            </w:r>
          </w:p>
        </w:tc>
        <w:tc>
          <w:tcPr>
            <w:tcW w:w="2126" w:type="dxa"/>
            <w:shd w:val="clear" w:color="auto" w:fill="auto"/>
            <w:noWrap/>
            <w:vAlign w:val="bottom"/>
            <w:hideMark/>
          </w:tcPr>
          <w:p w14:paraId="1F8A5280"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1,020</w:t>
            </w:r>
          </w:p>
        </w:tc>
        <w:tc>
          <w:tcPr>
            <w:tcW w:w="1701" w:type="dxa"/>
            <w:shd w:val="clear" w:color="auto" w:fill="auto"/>
            <w:noWrap/>
            <w:vAlign w:val="bottom"/>
            <w:hideMark/>
          </w:tcPr>
          <w:p w14:paraId="188BC66E"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100.0</w:t>
            </w:r>
          </w:p>
        </w:tc>
        <w:tc>
          <w:tcPr>
            <w:tcW w:w="1559" w:type="dxa"/>
            <w:shd w:val="clear" w:color="auto" w:fill="auto"/>
            <w:noWrap/>
            <w:vAlign w:val="bottom"/>
          </w:tcPr>
          <w:p w14:paraId="454819D7"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52600</w:t>
            </w:r>
          </w:p>
        </w:tc>
        <w:tc>
          <w:tcPr>
            <w:tcW w:w="1843" w:type="dxa"/>
            <w:shd w:val="clear" w:color="auto" w:fill="auto"/>
            <w:noWrap/>
            <w:vAlign w:val="bottom"/>
          </w:tcPr>
          <w:p w14:paraId="7A142990"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1.9</w:t>
            </w:r>
          </w:p>
        </w:tc>
      </w:tr>
    </w:tbl>
    <w:p w14:paraId="6C964521" w14:textId="77777777" w:rsidR="001F27D2" w:rsidRPr="009170F6" w:rsidRDefault="001F27D2" w:rsidP="009170F6">
      <w:pPr>
        <w:pStyle w:val="Reporttext"/>
        <w:numPr>
          <w:ilvl w:val="0"/>
          <w:numId w:val="0"/>
        </w:numPr>
        <w:ind w:left="1429" w:hanging="709"/>
        <w:rPr>
          <w:sz w:val="20"/>
          <w:lang w:val="en-US"/>
        </w:rPr>
      </w:pPr>
      <w:r w:rsidRPr="009170F6">
        <w:rPr>
          <w:sz w:val="20"/>
          <w:lang w:val="en-US"/>
        </w:rPr>
        <w:t xml:space="preserve">Source: NOMIS </w:t>
      </w:r>
    </w:p>
    <w:p w14:paraId="5BE6E55E" w14:textId="72574C7A" w:rsidR="001F27D2" w:rsidRDefault="001F27D2" w:rsidP="001F27D2">
      <w:pPr>
        <w:rPr>
          <w:rFonts w:asciiTheme="minorHAnsi" w:hAnsiTheme="minorHAnsi" w:cs="Arial"/>
          <w:color w:val="000000"/>
          <w:sz w:val="23"/>
          <w:szCs w:val="23"/>
          <w:lang w:val="en-US"/>
        </w:rPr>
      </w:pPr>
    </w:p>
    <w:tbl>
      <w:tblPr>
        <w:tblW w:w="9315" w:type="dxa"/>
        <w:tblInd w:w="93"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4831"/>
        <w:gridCol w:w="1121"/>
        <w:gridCol w:w="1121"/>
        <w:gridCol w:w="1121"/>
        <w:gridCol w:w="1121"/>
      </w:tblGrid>
      <w:tr w:rsidR="001F27D2" w:rsidRPr="009170F6" w14:paraId="70AA7ABB" w14:textId="77777777" w:rsidTr="001F27D2">
        <w:trPr>
          <w:trHeight w:val="300"/>
        </w:trPr>
        <w:tc>
          <w:tcPr>
            <w:tcW w:w="9315" w:type="dxa"/>
            <w:gridSpan w:val="5"/>
            <w:shd w:val="clear" w:color="auto" w:fill="009999"/>
            <w:vAlign w:val="center"/>
          </w:tcPr>
          <w:p w14:paraId="43FA3405" w14:textId="77777777" w:rsidR="001F27D2" w:rsidRPr="009170F6" w:rsidRDefault="001F27D2" w:rsidP="009170F6">
            <w:pPr>
              <w:pStyle w:val="Tableheading1"/>
            </w:pPr>
            <w:bookmarkStart w:id="526" w:name="_Toc397250691"/>
            <w:bookmarkStart w:id="527" w:name="_Toc529739471"/>
            <w:bookmarkStart w:id="528" w:name="_Toc531122967"/>
            <w:bookmarkStart w:id="529" w:name="_Toc532812502"/>
            <w:r w:rsidRPr="009170F6">
              <w:t>Table 6.14</w:t>
            </w:r>
            <w:r w:rsidRPr="009170F6">
              <w:tab/>
              <w:t>DLA claimants by disabling condition</w:t>
            </w:r>
            <w:bookmarkEnd w:id="526"/>
            <w:bookmarkEnd w:id="527"/>
            <w:bookmarkEnd w:id="528"/>
            <w:bookmarkEnd w:id="529"/>
          </w:p>
        </w:tc>
      </w:tr>
      <w:tr w:rsidR="001F27D2" w:rsidRPr="009170F6" w14:paraId="68D9175A" w14:textId="77777777" w:rsidTr="001F27D2">
        <w:tc>
          <w:tcPr>
            <w:tcW w:w="4831" w:type="dxa"/>
            <w:vMerge w:val="restart"/>
            <w:shd w:val="clear" w:color="auto" w:fill="009999"/>
            <w:vAlign w:val="bottom"/>
            <w:hideMark/>
          </w:tcPr>
          <w:p w14:paraId="57334CBF" w14:textId="77777777" w:rsidR="001F27D2" w:rsidRPr="009170F6" w:rsidRDefault="001F27D2" w:rsidP="009170F6">
            <w:pPr>
              <w:spacing w:before="0" w:after="0"/>
              <w:rPr>
                <w:rFonts w:cs="Calibri"/>
                <w:b/>
                <w:bCs/>
                <w:color w:val="FFFFFF" w:themeColor="background1"/>
                <w:sz w:val="22"/>
                <w:szCs w:val="22"/>
              </w:rPr>
            </w:pPr>
            <w:r w:rsidRPr="009170F6">
              <w:rPr>
                <w:rFonts w:cs="Calibri"/>
                <w:b/>
                <w:bCs/>
                <w:color w:val="FFFFFF" w:themeColor="background1"/>
                <w:sz w:val="22"/>
                <w:szCs w:val="22"/>
              </w:rPr>
              <w:t>Disabling Condition</w:t>
            </w:r>
          </w:p>
        </w:tc>
        <w:tc>
          <w:tcPr>
            <w:tcW w:w="3363" w:type="dxa"/>
            <w:gridSpan w:val="3"/>
            <w:shd w:val="clear" w:color="auto" w:fill="009999"/>
            <w:noWrap/>
            <w:vAlign w:val="bottom"/>
            <w:hideMark/>
          </w:tcPr>
          <w:p w14:paraId="66141C1E" w14:textId="77777777" w:rsidR="001F27D2" w:rsidRPr="009170F6" w:rsidRDefault="001F27D2" w:rsidP="009170F6">
            <w:pPr>
              <w:spacing w:before="0" w:after="0"/>
              <w:jc w:val="center"/>
              <w:rPr>
                <w:rFonts w:cs="Calibri"/>
                <w:b/>
                <w:bCs/>
                <w:color w:val="FFFFFF" w:themeColor="background1"/>
                <w:sz w:val="22"/>
                <w:szCs w:val="22"/>
              </w:rPr>
            </w:pPr>
            <w:r w:rsidRPr="009170F6">
              <w:rPr>
                <w:rFonts w:cs="Calibri"/>
                <w:b/>
                <w:bCs/>
                <w:color w:val="FFFFFF" w:themeColor="background1"/>
                <w:sz w:val="22"/>
                <w:szCs w:val="22"/>
              </w:rPr>
              <w:t>Age Group</w:t>
            </w:r>
          </w:p>
        </w:tc>
        <w:tc>
          <w:tcPr>
            <w:tcW w:w="1121" w:type="dxa"/>
            <w:vMerge w:val="restart"/>
            <w:shd w:val="clear" w:color="auto" w:fill="009999"/>
            <w:vAlign w:val="bottom"/>
          </w:tcPr>
          <w:p w14:paraId="2C8797D8" w14:textId="77777777" w:rsidR="001F27D2" w:rsidRPr="009170F6" w:rsidRDefault="001F27D2" w:rsidP="009170F6">
            <w:pPr>
              <w:spacing w:before="0" w:after="0"/>
              <w:jc w:val="center"/>
              <w:rPr>
                <w:rFonts w:cs="Calibri"/>
                <w:b/>
                <w:bCs/>
                <w:color w:val="FFFFFF" w:themeColor="background1"/>
                <w:sz w:val="22"/>
                <w:szCs w:val="22"/>
              </w:rPr>
            </w:pPr>
            <w:r w:rsidRPr="009170F6">
              <w:rPr>
                <w:rFonts w:cs="Calibri"/>
                <w:b/>
                <w:bCs/>
                <w:color w:val="FFFFFF" w:themeColor="background1"/>
                <w:sz w:val="22"/>
                <w:szCs w:val="22"/>
              </w:rPr>
              <w:t>Total %</w:t>
            </w:r>
          </w:p>
        </w:tc>
      </w:tr>
      <w:tr w:rsidR="001F27D2" w:rsidRPr="009170F6" w14:paraId="3E6DF394" w14:textId="77777777" w:rsidTr="001F27D2">
        <w:tc>
          <w:tcPr>
            <w:tcW w:w="4831" w:type="dxa"/>
            <w:vMerge/>
            <w:shd w:val="clear" w:color="auto" w:fill="009999"/>
            <w:vAlign w:val="center"/>
            <w:hideMark/>
          </w:tcPr>
          <w:p w14:paraId="6B61C863" w14:textId="77777777" w:rsidR="001F27D2" w:rsidRPr="009170F6" w:rsidRDefault="001F27D2" w:rsidP="009170F6">
            <w:pPr>
              <w:spacing w:before="0" w:after="0"/>
              <w:jc w:val="center"/>
              <w:rPr>
                <w:rFonts w:cs="Calibri"/>
                <w:b/>
                <w:bCs/>
                <w:color w:val="FFFFFF" w:themeColor="background1"/>
                <w:sz w:val="22"/>
                <w:szCs w:val="22"/>
              </w:rPr>
            </w:pPr>
          </w:p>
        </w:tc>
        <w:tc>
          <w:tcPr>
            <w:tcW w:w="1121" w:type="dxa"/>
            <w:shd w:val="clear" w:color="auto" w:fill="009999"/>
            <w:vAlign w:val="center"/>
            <w:hideMark/>
          </w:tcPr>
          <w:p w14:paraId="21515F00" w14:textId="77777777" w:rsidR="001F27D2" w:rsidRPr="009170F6" w:rsidRDefault="001F27D2" w:rsidP="009170F6">
            <w:pPr>
              <w:spacing w:before="0" w:after="0"/>
              <w:jc w:val="center"/>
              <w:rPr>
                <w:rFonts w:cs="Calibri"/>
                <w:b/>
                <w:bCs/>
                <w:color w:val="FFFFFF" w:themeColor="background1"/>
                <w:sz w:val="22"/>
                <w:szCs w:val="22"/>
              </w:rPr>
            </w:pPr>
            <w:r w:rsidRPr="009170F6">
              <w:rPr>
                <w:rFonts w:cs="Calibri"/>
                <w:b/>
                <w:bCs/>
                <w:color w:val="FFFFFF" w:themeColor="background1"/>
                <w:sz w:val="22"/>
                <w:szCs w:val="22"/>
              </w:rPr>
              <w:t>&lt;65</w:t>
            </w:r>
          </w:p>
        </w:tc>
        <w:tc>
          <w:tcPr>
            <w:tcW w:w="1121" w:type="dxa"/>
            <w:shd w:val="clear" w:color="auto" w:fill="009999"/>
            <w:vAlign w:val="center"/>
            <w:hideMark/>
          </w:tcPr>
          <w:p w14:paraId="49B63F2B" w14:textId="77777777" w:rsidR="001F27D2" w:rsidRPr="009170F6" w:rsidRDefault="001F27D2" w:rsidP="009170F6">
            <w:pPr>
              <w:spacing w:before="0" w:after="0"/>
              <w:jc w:val="center"/>
              <w:rPr>
                <w:rFonts w:cs="Calibri"/>
                <w:b/>
                <w:bCs/>
                <w:color w:val="FFFFFF" w:themeColor="background1"/>
                <w:sz w:val="22"/>
                <w:szCs w:val="22"/>
              </w:rPr>
            </w:pPr>
            <w:r w:rsidRPr="009170F6">
              <w:rPr>
                <w:rFonts w:cs="Calibri"/>
                <w:b/>
                <w:bCs/>
                <w:color w:val="FFFFFF" w:themeColor="background1"/>
                <w:sz w:val="22"/>
                <w:szCs w:val="22"/>
              </w:rPr>
              <w:t>65+</w:t>
            </w:r>
          </w:p>
        </w:tc>
        <w:tc>
          <w:tcPr>
            <w:tcW w:w="1121" w:type="dxa"/>
            <w:shd w:val="clear" w:color="auto" w:fill="009999"/>
            <w:vAlign w:val="center"/>
            <w:hideMark/>
          </w:tcPr>
          <w:p w14:paraId="6FA228FD" w14:textId="77777777" w:rsidR="001F27D2" w:rsidRPr="009170F6" w:rsidRDefault="001F27D2" w:rsidP="009170F6">
            <w:pPr>
              <w:spacing w:before="0" w:after="0"/>
              <w:jc w:val="center"/>
              <w:rPr>
                <w:rFonts w:cs="Calibri"/>
                <w:b/>
                <w:bCs/>
                <w:color w:val="FFFFFF" w:themeColor="background1"/>
                <w:sz w:val="22"/>
                <w:szCs w:val="22"/>
              </w:rPr>
            </w:pPr>
            <w:r w:rsidRPr="009170F6">
              <w:rPr>
                <w:rFonts w:cs="Calibri"/>
                <w:b/>
                <w:bCs/>
                <w:color w:val="FFFFFF" w:themeColor="background1"/>
                <w:sz w:val="22"/>
                <w:szCs w:val="22"/>
              </w:rPr>
              <w:t>Total</w:t>
            </w:r>
          </w:p>
        </w:tc>
        <w:tc>
          <w:tcPr>
            <w:tcW w:w="1121" w:type="dxa"/>
            <w:vMerge/>
            <w:shd w:val="clear" w:color="auto" w:fill="009999"/>
            <w:vAlign w:val="center"/>
            <w:hideMark/>
          </w:tcPr>
          <w:p w14:paraId="3B0B5FFB" w14:textId="77777777" w:rsidR="001F27D2" w:rsidRPr="009170F6" w:rsidRDefault="001F27D2" w:rsidP="009170F6">
            <w:pPr>
              <w:spacing w:before="0" w:after="0"/>
              <w:jc w:val="center"/>
              <w:rPr>
                <w:rFonts w:cs="Calibri"/>
                <w:b/>
                <w:bCs/>
                <w:color w:val="FFFFFF" w:themeColor="background1"/>
                <w:sz w:val="22"/>
                <w:szCs w:val="22"/>
              </w:rPr>
            </w:pPr>
          </w:p>
        </w:tc>
      </w:tr>
      <w:tr w:rsidR="001F27D2" w:rsidRPr="009170F6" w14:paraId="73DAC58C" w14:textId="77777777" w:rsidTr="001F27D2">
        <w:tc>
          <w:tcPr>
            <w:tcW w:w="4831" w:type="dxa"/>
            <w:shd w:val="clear" w:color="auto" w:fill="auto"/>
            <w:noWrap/>
            <w:vAlign w:val="bottom"/>
            <w:hideMark/>
          </w:tcPr>
          <w:p w14:paraId="1B2654FA" w14:textId="77777777" w:rsidR="001F27D2" w:rsidRPr="009170F6" w:rsidRDefault="001F27D2" w:rsidP="009170F6">
            <w:pPr>
              <w:spacing w:before="0" w:after="0"/>
              <w:rPr>
                <w:rFonts w:cs="Calibri"/>
                <w:color w:val="000000"/>
                <w:sz w:val="22"/>
                <w:szCs w:val="22"/>
              </w:rPr>
            </w:pPr>
            <w:r w:rsidRPr="009170F6">
              <w:rPr>
                <w:rFonts w:cs="Calibri"/>
                <w:color w:val="000000"/>
                <w:sz w:val="22"/>
                <w:szCs w:val="22"/>
              </w:rPr>
              <w:t>Total</w:t>
            </w:r>
          </w:p>
        </w:tc>
        <w:tc>
          <w:tcPr>
            <w:tcW w:w="1121" w:type="dxa"/>
            <w:shd w:val="clear" w:color="auto" w:fill="auto"/>
            <w:noWrap/>
            <w:vAlign w:val="bottom"/>
            <w:hideMark/>
          </w:tcPr>
          <w:p w14:paraId="2896B6FD"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550</w:t>
            </w:r>
          </w:p>
        </w:tc>
        <w:tc>
          <w:tcPr>
            <w:tcW w:w="1121" w:type="dxa"/>
            <w:shd w:val="clear" w:color="auto" w:fill="auto"/>
            <w:noWrap/>
            <w:vAlign w:val="bottom"/>
            <w:hideMark/>
          </w:tcPr>
          <w:p w14:paraId="38F6DC48"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470</w:t>
            </w:r>
          </w:p>
        </w:tc>
        <w:tc>
          <w:tcPr>
            <w:tcW w:w="1121" w:type="dxa"/>
            <w:shd w:val="clear" w:color="auto" w:fill="auto"/>
            <w:noWrap/>
            <w:vAlign w:val="bottom"/>
            <w:hideMark/>
          </w:tcPr>
          <w:p w14:paraId="716D7DDC"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1,020</w:t>
            </w:r>
          </w:p>
        </w:tc>
        <w:tc>
          <w:tcPr>
            <w:tcW w:w="1121" w:type="dxa"/>
            <w:shd w:val="clear" w:color="auto" w:fill="auto"/>
            <w:noWrap/>
            <w:vAlign w:val="bottom"/>
            <w:hideMark/>
          </w:tcPr>
          <w:p w14:paraId="10825A9C"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 </w:t>
            </w:r>
          </w:p>
        </w:tc>
      </w:tr>
      <w:tr w:rsidR="001F27D2" w:rsidRPr="009170F6" w14:paraId="0815DA3F" w14:textId="77777777" w:rsidTr="001F27D2">
        <w:tc>
          <w:tcPr>
            <w:tcW w:w="4831" w:type="dxa"/>
            <w:shd w:val="clear" w:color="auto" w:fill="auto"/>
            <w:noWrap/>
            <w:vAlign w:val="bottom"/>
            <w:hideMark/>
          </w:tcPr>
          <w:p w14:paraId="2AD97283" w14:textId="77777777" w:rsidR="001F27D2" w:rsidRPr="009170F6" w:rsidRDefault="001F27D2" w:rsidP="009170F6">
            <w:pPr>
              <w:spacing w:before="0" w:after="0"/>
              <w:rPr>
                <w:rFonts w:cs="Calibri"/>
                <w:color w:val="000000"/>
                <w:sz w:val="22"/>
                <w:szCs w:val="22"/>
              </w:rPr>
            </w:pPr>
            <w:r w:rsidRPr="009170F6">
              <w:rPr>
                <w:rFonts w:cs="Calibri"/>
                <w:color w:val="000000"/>
                <w:sz w:val="22"/>
                <w:szCs w:val="22"/>
              </w:rPr>
              <w:t>Arthritis</w:t>
            </w:r>
          </w:p>
        </w:tc>
        <w:tc>
          <w:tcPr>
            <w:tcW w:w="1121" w:type="dxa"/>
            <w:shd w:val="clear" w:color="auto" w:fill="auto"/>
            <w:noWrap/>
            <w:vAlign w:val="bottom"/>
            <w:hideMark/>
          </w:tcPr>
          <w:p w14:paraId="730ADFBB"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30</w:t>
            </w:r>
          </w:p>
        </w:tc>
        <w:tc>
          <w:tcPr>
            <w:tcW w:w="1121" w:type="dxa"/>
            <w:shd w:val="clear" w:color="auto" w:fill="auto"/>
            <w:noWrap/>
            <w:vAlign w:val="bottom"/>
            <w:hideMark/>
          </w:tcPr>
          <w:p w14:paraId="03360877"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150</w:t>
            </w:r>
          </w:p>
        </w:tc>
        <w:tc>
          <w:tcPr>
            <w:tcW w:w="1121" w:type="dxa"/>
            <w:shd w:val="clear" w:color="auto" w:fill="auto"/>
            <w:noWrap/>
            <w:vAlign w:val="bottom"/>
            <w:hideMark/>
          </w:tcPr>
          <w:p w14:paraId="4AEF76B3"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180</w:t>
            </w:r>
          </w:p>
        </w:tc>
        <w:tc>
          <w:tcPr>
            <w:tcW w:w="1121" w:type="dxa"/>
            <w:shd w:val="clear" w:color="auto" w:fill="auto"/>
            <w:noWrap/>
            <w:vAlign w:val="bottom"/>
            <w:hideMark/>
          </w:tcPr>
          <w:p w14:paraId="5FA99715"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17.6</w:t>
            </w:r>
          </w:p>
        </w:tc>
      </w:tr>
      <w:tr w:rsidR="001F27D2" w:rsidRPr="009170F6" w14:paraId="66909D80" w14:textId="77777777" w:rsidTr="001F27D2">
        <w:tc>
          <w:tcPr>
            <w:tcW w:w="4831" w:type="dxa"/>
            <w:shd w:val="clear" w:color="auto" w:fill="auto"/>
            <w:noWrap/>
            <w:vAlign w:val="bottom"/>
            <w:hideMark/>
          </w:tcPr>
          <w:p w14:paraId="49625FA7" w14:textId="77777777" w:rsidR="001F27D2" w:rsidRPr="009170F6" w:rsidRDefault="001F27D2" w:rsidP="009170F6">
            <w:pPr>
              <w:spacing w:before="0" w:after="0"/>
              <w:rPr>
                <w:rFonts w:cs="Calibri"/>
                <w:color w:val="000000"/>
                <w:sz w:val="22"/>
                <w:szCs w:val="22"/>
              </w:rPr>
            </w:pPr>
            <w:r w:rsidRPr="009170F6">
              <w:rPr>
                <w:rFonts w:cs="Calibri"/>
                <w:color w:val="000000"/>
                <w:sz w:val="22"/>
                <w:szCs w:val="22"/>
              </w:rPr>
              <w:t>Learning Difficulties</w:t>
            </w:r>
          </w:p>
        </w:tc>
        <w:tc>
          <w:tcPr>
            <w:tcW w:w="1121" w:type="dxa"/>
            <w:shd w:val="clear" w:color="auto" w:fill="auto"/>
            <w:noWrap/>
            <w:vAlign w:val="bottom"/>
            <w:hideMark/>
          </w:tcPr>
          <w:p w14:paraId="5DFC6F6B"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170</w:t>
            </w:r>
          </w:p>
        </w:tc>
        <w:tc>
          <w:tcPr>
            <w:tcW w:w="1121" w:type="dxa"/>
            <w:shd w:val="clear" w:color="auto" w:fill="auto"/>
            <w:noWrap/>
            <w:vAlign w:val="bottom"/>
            <w:hideMark/>
          </w:tcPr>
          <w:p w14:paraId="384B4F56"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10</w:t>
            </w:r>
          </w:p>
        </w:tc>
        <w:tc>
          <w:tcPr>
            <w:tcW w:w="1121" w:type="dxa"/>
            <w:shd w:val="clear" w:color="auto" w:fill="auto"/>
            <w:noWrap/>
            <w:vAlign w:val="bottom"/>
            <w:hideMark/>
          </w:tcPr>
          <w:p w14:paraId="3C2F6C8F"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180</w:t>
            </w:r>
          </w:p>
        </w:tc>
        <w:tc>
          <w:tcPr>
            <w:tcW w:w="1121" w:type="dxa"/>
            <w:shd w:val="clear" w:color="auto" w:fill="auto"/>
            <w:noWrap/>
            <w:vAlign w:val="bottom"/>
            <w:hideMark/>
          </w:tcPr>
          <w:p w14:paraId="02648D62"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17.6</w:t>
            </w:r>
          </w:p>
        </w:tc>
      </w:tr>
      <w:tr w:rsidR="001F27D2" w:rsidRPr="009170F6" w14:paraId="4A930F6A" w14:textId="77777777" w:rsidTr="001F27D2">
        <w:tc>
          <w:tcPr>
            <w:tcW w:w="4831" w:type="dxa"/>
            <w:shd w:val="clear" w:color="auto" w:fill="auto"/>
            <w:noWrap/>
            <w:vAlign w:val="bottom"/>
            <w:hideMark/>
          </w:tcPr>
          <w:p w14:paraId="54F71A7B" w14:textId="77777777" w:rsidR="001F27D2" w:rsidRPr="009170F6" w:rsidRDefault="001F27D2" w:rsidP="009170F6">
            <w:pPr>
              <w:spacing w:before="0" w:after="0"/>
              <w:rPr>
                <w:rFonts w:cs="Calibri"/>
                <w:color w:val="000000"/>
                <w:sz w:val="22"/>
                <w:szCs w:val="22"/>
              </w:rPr>
            </w:pPr>
            <w:r w:rsidRPr="009170F6">
              <w:rPr>
                <w:rFonts w:cs="Calibri"/>
                <w:color w:val="000000"/>
                <w:sz w:val="22"/>
                <w:szCs w:val="22"/>
              </w:rPr>
              <w:t>Disease of the Muscles, Bones or Joints</w:t>
            </w:r>
          </w:p>
        </w:tc>
        <w:tc>
          <w:tcPr>
            <w:tcW w:w="1121" w:type="dxa"/>
            <w:shd w:val="clear" w:color="auto" w:fill="auto"/>
            <w:noWrap/>
            <w:vAlign w:val="bottom"/>
            <w:hideMark/>
          </w:tcPr>
          <w:p w14:paraId="26BFCF81"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30</w:t>
            </w:r>
          </w:p>
        </w:tc>
        <w:tc>
          <w:tcPr>
            <w:tcW w:w="1121" w:type="dxa"/>
            <w:shd w:val="clear" w:color="auto" w:fill="auto"/>
            <w:noWrap/>
            <w:vAlign w:val="bottom"/>
            <w:hideMark/>
          </w:tcPr>
          <w:p w14:paraId="27885424"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30</w:t>
            </w:r>
          </w:p>
        </w:tc>
        <w:tc>
          <w:tcPr>
            <w:tcW w:w="1121" w:type="dxa"/>
            <w:shd w:val="clear" w:color="auto" w:fill="auto"/>
            <w:noWrap/>
            <w:vAlign w:val="bottom"/>
            <w:hideMark/>
          </w:tcPr>
          <w:p w14:paraId="3410BF79"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60</w:t>
            </w:r>
          </w:p>
        </w:tc>
        <w:tc>
          <w:tcPr>
            <w:tcW w:w="1121" w:type="dxa"/>
            <w:shd w:val="clear" w:color="auto" w:fill="auto"/>
            <w:noWrap/>
            <w:vAlign w:val="bottom"/>
            <w:hideMark/>
          </w:tcPr>
          <w:p w14:paraId="018E48FF"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5.9</w:t>
            </w:r>
          </w:p>
        </w:tc>
      </w:tr>
      <w:tr w:rsidR="001F27D2" w:rsidRPr="009170F6" w14:paraId="1F2E0EFA" w14:textId="77777777" w:rsidTr="001F27D2">
        <w:tc>
          <w:tcPr>
            <w:tcW w:w="4831" w:type="dxa"/>
            <w:shd w:val="clear" w:color="auto" w:fill="auto"/>
            <w:noWrap/>
            <w:vAlign w:val="bottom"/>
            <w:hideMark/>
          </w:tcPr>
          <w:p w14:paraId="06C338DE" w14:textId="77777777" w:rsidR="001F27D2" w:rsidRPr="009170F6" w:rsidRDefault="001F27D2" w:rsidP="009170F6">
            <w:pPr>
              <w:spacing w:before="0" w:after="0"/>
              <w:rPr>
                <w:rFonts w:cs="Calibri"/>
                <w:color w:val="000000"/>
                <w:sz w:val="22"/>
                <w:szCs w:val="22"/>
              </w:rPr>
            </w:pPr>
            <w:r w:rsidRPr="009170F6">
              <w:rPr>
                <w:rFonts w:cs="Calibri"/>
                <w:color w:val="000000"/>
                <w:sz w:val="22"/>
                <w:szCs w:val="22"/>
              </w:rPr>
              <w:t>Psychosis</w:t>
            </w:r>
          </w:p>
        </w:tc>
        <w:tc>
          <w:tcPr>
            <w:tcW w:w="1121" w:type="dxa"/>
            <w:shd w:val="clear" w:color="auto" w:fill="auto"/>
            <w:noWrap/>
            <w:vAlign w:val="bottom"/>
            <w:hideMark/>
          </w:tcPr>
          <w:p w14:paraId="0A69560C"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40</w:t>
            </w:r>
          </w:p>
        </w:tc>
        <w:tc>
          <w:tcPr>
            <w:tcW w:w="1121" w:type="dxa"/>
            <w:shd w:val="clear" w:color="auto" w:fill="auto"/>
            <w:noWrap/>
            <w:vAlign w:val="bottom"/>
            <w:hideMark/>
          </w:tcPr>
          <w:p w14:paraId="0616C315"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20</w:t>
            </w:r>
          </w:p>
        </w:tc>
        <w:tc>
          <w:tcPr>
            <w:tcW w:w="1121" w:type="dxa"/>
            <w:shd w:val="clear" w:color="auto" w:fill="auto"/>
            <w:noWrap/>
            <w:vAlign w:val="bottom"/>
            <w:hideMark/>
          </w:tcPr>
          <w:p w14:paraId="3246C35D"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60</w:t>
            </w:r>
          </w:p>
        </w:tc>
        <w:tc>
          <w:tcPr>
            <w:tcW w:w="1121" w:type="dxa"/>
            <w:shd w:val="clear" w:color="auto" w:fill="auto"/>
            <w:noWrap/>
            <w:vAlign w:val="bottom"/>
            <w:hideMark/>
          </w:tcPr>
          <w:p w14:paraId="5FC18C3E"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5.9</w:t>
            </w:r>
          </w:p>
        </w:tc>
      </w:tr>
      <w:tr w:rsidR="001F27D2" w:rsidRPr="009170F6" w14:paraId="24BBFF73" w14:textId="77777777" w:rsidTr="001F27D2">
        <w:tc>
          <w:tcPr>
            <w:tcW w:w="4831" w:type="dxa"/>
            <w:shd w:val="clear" w:color="auto" w:fill="auto"/>
            <w:noWrap/>
            <w:vAlign w:val="bottom"/>
            <w:hideMark/>
          </w:tcPr>
          <w:p w14:paraId="4501483D" w14:textId="77777777" w:rsidR="001F27D2" w:rsidRPr="009170F6" w:rsidRDefault="001F27D2" w:rsidP="009170F6">
            <w:pPr>
              <w:spacing w:before="0" w:after="0"/>
              <w:rPr>
                <w:rFonts w:cs="Calibri"/>
                <w:color w:val="000000"/>
                <w:sz w:val="22"/>
                <w:szCs w:val="22"/>
              </w:rPr>
            </w:pPr>
            <w:r w:rsidRPr="009170F6">
              <w:rPr>
                <w:rFonts w:cs="Calibri"/>
                <w:color w:val="000000"/>
                <w:sz w:val="22"/>
                <w:szCs w:val="22"/>
              </w:rPr>
              <w:t>Multiple Sclerosis</w:t>
            </w:r>
          </w:p>
        </w:tc>
        <w:tc>
          <w:tcPr>
            <w:tcW w:w="1121" w:type="dxa"/>
            <w:shd w:val="clear" w:color="auto" w:fill="auto"/>
            <w:noWrap/>
            <w:vAlign w:val="bottom"/>
            <w:hideMark/>
          </w:tcPr>
          <w:p w14:paraId="5D3D2792"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30</w:t>
            </w:r>
          </w:p>
        </w:tc>
        <w:tc>
          <w:tcPr>
            <w:tcW w:w="1121" w:type="dxa"/>
            <w:shd w:val="clear" w:color="auto" w:fill="auto"/>
            <w:noWrap/>
            <w:vAlign w:val="bottom"/>
            <w:hideMark/>
          </w:tcPr>
          <w:p w14:paraId="0E23FCF6"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20</w:t>
            </w:r>
          </w:p>
        </w:tc>
        <w:tc>
          <w:tcPr>
            <w:tcW w:w="1121" w:type="dxa"/>
            <w:shd w:val="clear" w:color="auto" w:fill="auto"/>
            <w:noWrap/>
            <w:vAlign w:val="bottom"/>
            <w:hideMark/>
          </w:tcPr>
          <w:p w14:paraId="15AC1295"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50</w:t>
            </w:r>
          </w:p>
        </w:tc>
        <w:tc>
          <w:tcPr>
            <w:tcW w:w="1121" w:type="dxa"/>
            <w:shd w:val="clear" w:color="auto" w:fill="auto"/>
            <w:noWrap/>
            <w:vAlign w:val="bottom"/>
            <w:hideMark/>
          </w:tcPr>
          <w:p w14:paraId="05518DDD"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4.9</w:t>
            </w:r>
          </w:p>
        </w:tc>
      </w:tr>
      <w:tr w:rsidR="001F27D2" w:rsidRPr="009170F6" w14:paraId="6D002DF7" w14:textId="77777777" w:rsidTr="001F27D2">
        <w:tc>
          <w:tcPr>
            <w:tcW w:w="4831" w:type="dxa"/>
            <w:shd w:val="clear" w:color="auto" w:fill="auto"/>
            <w:noWrap/>
            <w:vAlign w:val="bottom"/>
            <w:hideMark/>
          </w:tcPr>
          <w:p w14:paraId="5B43A00A" w14:textId="77777777" w:rsidR="001F27D2" w:rsidRPr="009170F6" w:rsidRDefault="001F27D2" w:rsidP="009170F6">
            <w:pPr>
              <w:spacing w:before="0" w:after="0"/>
              <w:rPr>
                <w:rFonts w:cs="Calibri"/>
                <w:color w:val="000000"/>
                <w:sz w:val="22"/>
                <w:szCs w:val="22"/>
              </w:rPr>
            </w:pPr>
            <w:r w:rsidRPr="009170F6">
              <w:rPr>
                <w:rFonts w:cs="Calibri"/>
                <w:color w:val="000000"/>
                <w:sz w:val="22"/>
                <w:szCs w:val="22"/>
              </w:rPr>
              <w:t>Neurological Diseases</w:t>
            </w:r>
          </w:p>
        </w:tc>
        <w:tc>
          <w:tcPr>
            <w:tcW w:w="1121" w:type="dxa"/>
            <w:shd w:val="clear" w:color="auto" w:fill="auto"/>
            <w:noWrap/>
            <w:vAlign w:val="bottom"/>
            <w:hideMark/>
          </w:tcPr>
          <w:p w14:paraId="4C5F817D"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20</w:t>
            </w:r>
          </w:p>
        </w:tc>
        <w:tc>
          <w:tcPr>
            <w:tcW w:w="1121" w:type="dxa"/>
            <w:shd w:val="clear" w:color="auto" w:fill="auto"/>
            <w:noWrap/>
            <w:vAlign w:val="bottom"/>
            <w:hideMark/>
          </w:tcPr>
          <w:p w14:paraId="06F77ACB"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20</w:t>
            </w:r>
          </w:p>
        </w:tc>
        <w:tc>
          <w:tcPr>
            <w:tcW w:w="1121" w:type="dxa"/>
            <w:shd w:val="clear" w:color="auto" w:fill="auto"/>
            <w:noWrap/>
            <w:vAlign w:val="bottom"/>
            <w:hideMark/>
          </w:tcPr>
          <w:p w14:paraId="5F2E842D"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40</w:t>
            </w:r>
          </w:p>
        </w:tc>
        <w:tc>
          <w:tcPr>
            <w:tcW w:w="1121" w:type="dxa"/>
            <w:shd w:val="clear" w:color="auto" w:fill="auto"/>
            <w:noWrap/>
            <w:vAlign w:val="bottom"/>
            <w:hideMark/>
          </w:tcPr>
          <w:p w14:paraId="1691A8AA"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3.9</w:t>
            </w:r>
          </w:p>
        </w:tc>
      </w:tr>
      <w:tr w:rsidR="001F27D2" w:rsidRPr="009170F6" w14:paraId="5809037E" w14:textId="77777777" w:rsidTr="001F27D2">
        <w:tc>
          <w:tcPr>
            <w:tcW w:w="4831" w:type="dxa"/>
            <w:shd w:val="clear" w:color="auto" w:fill="auto"/>
            <w:noWrap/>
            <w:vAlign w:val="bottom"/>
            <w:hideMark/>
          </w:tcPr>
          <w:p w14:paraId="3AF03D04" w14:textId="77777777" w:rsidR="001F27D2" w:rsidRPr="009170F6" w:rsidRDefault="001F27D2" w:rsidP="009170F6">
            <w:pPr>
              <w:spacing w:before="0" w:after="0"/>
              <w:rPr>
                <w:rFonts w:cs="Calibri"/>
                <w:color w:val="000000"/>
                <w:sz w:val="22"/>
                <w:szCs w:val="22"/>
              </w:rPr>
            </w:pPr>
            <w:r w:rsidRPr="009170F6">
              <w:rPr>
                <w:rFonts w:cs="Calibri"/>
                <w:color w:val="000000"/>
                <w:sz w:val="22"/>
                <w:szCs w:val="22"/>
              </w:rPr>
              <w:t>Spondylosis</w:t>
            </w:r>
          </w:p>
        </w:tc>
        <w:tc>
          <w:tcPr>
            <w:tcW w:w="1121" w:type="dxa"/>
            <w:shd w:val="clear" w:color="auto" w:fill="auto"/>
            <w:noWrap/>
            <w:vAlign w:val="bottom"/>
            <w:hideMark/>
          </w:tcPr>
          <w:p w14:paraId="2D6185AA"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10</w:t>
            </w:r>
          </w:p>
        </w:tc>
        <w:tc>
          <w:tcPr>
            <w:tcW w:w="1121" w:type="dxa"/>
            <w:shd w:val="clear" w:color="auto" w:fill="auto"/>
            <w:noWrap/>
            <w:vAlign w:val="bottom"/>
            <w:hideMark/>
          </w:tcPr>
          <w:p w14:paraId="1151A1FA"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20</w:t>
            </w:r>
          </w:p>
        </w:tc>
        <w:tc>
          <w:tcPr>
            <w:tcW w:w="1121" w:type="dxa"/>
            <w:shd w:val="clear" w:color="auto" w:fill="auto"/>
            <w:noWrap/>
            <w:vAlign w:val="bottom"/>
            <w:hideMark/>
          </w:tcPr>
          <w:p w14:paraId="03BFB7C9"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30</w:t>
            </w:r>
          </w:p>
        </w:tc>
        <w:tc>
          <w:tcPr>
            <w:tcW w:w="1121" w:type="dxa"/>
            <w:shd w:val="clear" w:color="auto" w:fill="auto"/>
            <w:noWrap/>
            <w:vAlign w:val="bottom"/>
            <w:hideMark/>
          </w:tcPr>
          <w:p w14:paraId="6CFA43D4"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2.9</w:t>
            </w:r>
          </w:p>
        </w:tc>
      </w:tr>
      <w:tr w:rsidR="001F27D2" w:rsidRPr="009170F6" w14:paraId="1462D9A7" w14:textId="77777777" w:rsidTr="001F27D2">
        <w:tc>
          <w:tcPr>
            <w:tcW w:w="4831" w:type="dxa"/>
            <w:shd w:val="clear" w:color="auto" w:fill="auto"/>
            <w:noWrap/>
            <w:vAlign w:val="bottom"/>
            <w:hideMark/>
          </w:tcPr>
          <w:p w14:paraId="6CD7CCC4" w14:textId="77777777" w:rsidR="001F27D2" w:rsidRPr="009170F6" w:rsidRDefault="001F27D2" w:rsidP="009170F6">
            <w:pPr>
              <w:spacing w:before="0" w:after="0"/>
              <w:rPr>
                <w:rFonts w:cs="Calibri"/>
                <w:color w:val="000000"/>
                <w:sz w:val="22"/>
                <w:szCs w:val="22"/>
              </w:rPr>
            </w:pPr>
            <w:r w:rsidRPr="009170F6">
              <w:rPr>
                <w:rFonts w:cs="Calibri"/>
                <w:color w:val="000000"/>
                <w:sz w:val="22"/>
                <w:szCs w:val="22"/>
              </w:rPr>
              <w:t>Back pain - other / Precise diagnosis not Specified</w:t>
            </w:r>
          </w:p>
        </w:tc>
        <w:tc>
          <w:tcPr>
            <w:tcW w:w="1121" w:type="dxa"/>
            <w:shd w:val="clear" w:color="auto" w:fill="auto"/>
            <w:noWrap/>
            <w:vAlign w:val="bottom"/>
            <w:hideMark/>
          </w:tcPr>
          <w:p w14:paraId="2DD76CCC"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10</w:t>
            </w:r>
          </w:p>
        </w:tc>
        <w:tc>
          <w:tcPr>
            <w:tcW w:w="1121" w:type="dxa"/>
            <w:shd w:val="clear" w:color="auto" w:fill="auto"/>
            <w:noWrap/>
            <w:vAlign w:val="bottom"/>
            <w:hideMark/>
          </w:tcPr>
          <w:p w14:paraId="3C758FAC"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20</w:t>
            </w:r>
          </w:p>
        </w:tc>
        <w:tc>
          <w:tcPr>
            <w:tcW w:w="1121" w:type="dxa"/>
            <w:shd w:val="clear" w:color="auto" w:fill="auto"/>
            <w:noWrap/>
            <w:vAlign w:val="bottom"/>
            <w:hideMark/>
          </w:tcPr>
          <w:p w14:paraId="051590DB"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30</w:t>
            </w:r>
          </w:p>
        </w:tc>
        <w:tc>
          <w:tcPr>
            <w:tcW w:w="1121" w:type="dxa"/>
            <w:shd w:val="clear" w:color="auto" w:fill="auto"/>
            <w:noWrap/>
            <w:vAlign w:val="bottom"/>
            <w:hideMark/>
          </w:tcPr>
          <w:p w14:paraId="2762CD18"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2.9</w:t>
            </w:r>
          </w:p>
        </w:tc>
      </w:tr>
      <w:tr w:rsidR="001F27D2" w:rsidRPr="009170F6" w14:paraId="64123E30" w14:textId="77777777" w:rsidTr="001F27D2">
        <w:tc>
          <w:tcPr>
            <w:tcW w:w="4831" w:type="dxa"/>
            <w:shd w:val="clear" w:color="auto" w:fill="auto"/>
            <w:noWrap/>
            <w:vAlign w:val="bottom"/>
            <w:hideMark/>
          </w:tcPr>
          <w:p w14:paraId="2F449D88" w14:textId="77777777" w:rsidR="001F27D2" w:rsidRPr="009170F6" w:rsidRDefault="001F27D2" w:rsidP="009170F6">
            <w:pPr>
              <w:spacing w:before="0" w:after="0"/>
              <w:rPr>
                <w:rFonts w:cs="Calibri"/>
                <w:color w:val="000000"/>
                <w:sz w:val="22"/>
                <w:szCs w:val="22"/>
              </w:rPr>
            </w:pPr>
            <w:r w:rsidRPr="009170F6">
              <w:rPr>
                <w:rFonts w:cs="Calibri"/>
                <w:color w:val="000000"/>
                <w:sz w:val="22"/>
                <w:szCs w:val="22"/>
              </w:rPr>
              <w:t>Cerebrovascular Disease</w:t>
            </w:r>
          </w:p>
        </w:tc>
        <w:tc>
          <w:tcPr>
            <w:tcW w:w="1121" w:type="dxa"/>
            <w:shd w:val="clear" w:color="auto" w:fill="auto"/>
            <w:noWrap/>
            <w:vAlign w:val="bottom"/>
            <w:hideMark/>
          </w:tcPr>
          <w:p w14:paraId="765C3748"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10</w:t>
            </w:r>
          </w:p>
        </w:tc>
        <w:tc>
          <w:tcPr>
            <w:tcW w:w="1121" w:type="dxa"/>
            <w:shd w:val="clear" w:color="auto" w:fill="auto"/>
            <w:noWrap/>
            <w:vAlign w:val="bottom"/>
            <w:hideMark/>
          </w:tcPr>
          <w:p w14:paraId="4AC1ACEE"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20</w:t>
            </w:r>
          </w:p>
        </w:tc>
        <w:tc>
          <w:tcPr>
            <w:tcW w:w="1121" w:type="dxa"/>
            <w:shd w:val="clear" w:color="auto" w:fill="auto"/>
            <w:noWrap/>
            <w:vAlign w:val="bottom"/>
            <w:hideMark/>
          </w:tcPr>
          <w:p w14:paraId="03141655"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30</w:t>
            </w:r>
          </w:p>
        </w:tc>
        <w:tc>
          <w:tcPr>
            <w:tcW w:w="1121" w:type="dxa"/>
            <w:shd w:val="clear" w:color="auto" w:fill="auto"/>
            <w:noWrap/>
            <w:vAlign w:val="bottom"/>
            <w:hideMark/>
          </w:tcPr>
          <w:p w14:paraId="34A975A0"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2.9</w:t>
            </w:r>
          </w:p>
        </w:tc>
      </w:tr>
      <w:tr w:rsidR="001F27D2" w:rsidRPr="009170F6" w14:paraId="78F711B0" w14:textId="77777777" w:rsidTr="001F27D2">
        <w:tc>
          <w:tcPr>
            <w:tcW w:w="4831" w:type="dxa"/>
            <w:shd w:val="clear" w:color="auto" w:fill="auto"/>
            <w:noWrap/>
            <w:vAlign w:val="bottom"/>
            <w:hideMark/>
          </w:tcPr>
          <w:p w14:paraId="2AE897B9" w14:textId="77777777" w:rsidR="001F27D2" w:rsidRPr="009170F6" w:rsidRDefault="001F27D2" w:rsidP="009170F6">
            <w:pPr>
              <w:spacing w:before="0" w:after="0"/>
              <w:rPr>
                <w:rFonts w:cs="Calibri"/>
                <w:color w:val="000000"/>
                <w:sz w:val="22"/>
                <w:szCs w:val="22"/>
              </w:rPr>
            </w:pPr>
            <w:r w:rsidRPr="009170F6">
              <w:rPr>
                <w:rFonts w:cs="Calibri"/>
                <w:color w:val="000000"/>
                <w:sz w:val="22"/>
                <w:szCs w:val="22"/>
              </w:rPr>
              <w:t>Diabetes Mellitus</w:t>
            </w:r>
          </w:p>
        </w:tc>
        <w:tc>
          <w:tcPr>
            <w:tcW w:w="1121" w:type="dxa"/>
            <w:shd w:val="clear" w:color="auto" w:fill="auto"/>
            <w:noWrap/>
            <w:vAlign w:val="bottom"/>
            <w:hideMark/>
          </w:tcPr>
          <w:p w14:paraId="38115758"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20</w:t>
            </w:r>
          </w:p>
        </w:tc>
        <w:tc>
          <w:tcPr>
            <w:tcW w:w="1121" w:type="dxa"/>
            <w:shd w:val="clear" w:color="auto" w:fill="auto"/>
            <w:noWrap/>
            <w:vAlign w:val="bottom"/>
            <w:hideMark/>
          </w:tcPr>
          <w:p w14:paraId="0C509B38"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10</w:t>
            </w:r>
          </w:p>
        </w:tc>
        <w:tc>
          <w:tcPr>
            <w:tcW w:w="1121" w:type="dxa"/>
            <w:shd w:val="clear" w:color="auto" w:fill="auto"/>
            <w:noWrap/>
            <w:vAlign w:val="bottom"/>
            <w:hideMark/>
          </w:tcPr>
          <w:p w14:paraId="0B5F7B6E"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30</w:t>
            </w:r>
          </w:p>
        </w:tc>
        <w:tc>
          <w:tcPr>
            <w:tcW w:w="1121" w:type="dxa"/>
            <w:shd w:val="clear" w:color="auto" w:fill="auto"/>
            <w:noWrap/>
            <w:vAlign w:val="bottom"/>
            <w:hideMark/>
          </w:tcPr>
          <w:p w14:paraId="690ED465"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2.9</w:t>
            </w:r>
          </w:p>
        </w:tc>
      </w:tr>
      <w:tr w:rsidR="001F27D2" w:rsidRPr="009170F6" w14:paraId="733C3022" w14:textId="77777777" w:rsidTr="001F27D2">
        <w:tc>
          <w:tcPr>
            <w:tcW w:w="4831" w:type="dxa"/>
            <w:shd w:val="clear" w:color="auto" w:fill="auto"/>
            <w:noWrap/>
            <w:vAlign w:val="bottom"/>
            <w:hideMark/>
          </w:tcPr>
          <w:p w14:paraId="396E7577" w14:textId="77777777" w:rsidR="001F27D2" w:rsidRPr="009170F6" w:rsidRDefault="001F27D2" w:rsidP="009170F6">
            <w:pPr>
              <w:spacing w:before="0" w:after="0"/>
              <w:rPr>
                <w:rFonts w:cs="Calibri"/>
                <w:color w:val="000000"/>
                <w:sz w:val="22"/>
                <w:szCs w:val="22"/>
              </w:rPr>
            </w:pPr>
            <w:r w:rsidRPr="009170F6">
              <w:rPr>
                <w:rFonts w:cs="Calibri"/>
                <w:color w:val="000000"/>
                <w:sz w:val="22"/>
                <w:szCs w:val="22"/>
              </w:rPr>
              <w:t>Trauma to Limbs</w:t>
            </w:r>
          </w:p>
        </w:tc>
        <w:tc>
          <w:tcPr>
            <w:tcW w:w="1121" w:type="dxa"/>
            <w:shd w:val="clear" w:color="auto" w:fill="auto"/>
            <w:noWrap/>
            <w:vAlign w:val="bottom"/>
            <w:hideMark/>
          </w:tcPr>
          <w:p w14:paraId="5D9D18B1"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10</w:t>
            </w:r>
          </w:p>
        </w:tc>
        <w:tc>
          <w:tcPr>
            <w:tcW w:w="1121" w:type="dxa"/>
            <w:shd w:val="clear" w:color="auto" w:fill="auto"/>
            <w:noWrap/>
            <w:vAlign w:val="bottom"/>
            <w:hideMark/>
          </w:tcPr>
          <w:p w14:paraId="6EC91C8F"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10</w:t>
            </w:r>
          </w:p>
        </w:tc>
        <w:tc>
          <w:tcPr>
            <w:tcW w:w="1121" w:type="dxa"/>
            <w:shd w:val="clear" w:color="auto" w:fill="auto"/>
            <w:noWrap/>
            <w:vAlign w:val="bottom"/>
            <w:hideMark/>
          </w:tcPr>
          <w:p w14:paraId="3459871F"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20</w:t>
            </w:r>
          </w:p>
        </w:tc>
        <w:tc>
          <w:tcPr>
            <w:tcW w:w="1121" w:type="dxa"/>
            <w:shd w:val="clear" w:color="auto" w:fill="auto"/>
            <w:noWrap/>
            <w:vAlign w:val="bottom"/>
            <w:hideMark/>
          </w:tcPr>
          <w:p w14:paraId="69A17CC3"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2.0</w:t>
            </w:r>
          </w:p>
        </w:tc>
      </w:tr>
      <w:tr w:rsidR="001F27D2" w:rsidRPr="009170F6" w14:paraId="6A8930FB" w14:textId="77777777" w:rsidTr="001F27D2">
        <w:tc>
          <w:tcPr>
            <w:tcW w:w="4831" w:type="dxa"/>
            <w:shd w:val="clear" w:color="auto" w:fill="auto"/>
            <w:noWrap/>
            <w:vAlign w:val="bottom"/>
            <w:hideMark/>
          </w:tcPr>
          <w:p w14:paraId="670F8CBF" w14:textId="77777777" w:rsidR="001F27D2" w:rsidRPr="009170F6" w:rsidRDefault="001F27D2" w:rsidP="009170F6">
            <w:pPr>
              <w:spacing w:before="0" w:after="0"/>
              <w:rPr>
                <w:rFonts w:cs="Calibri"/>
                <w:color w:val="000000"/>
                <w:sz w:val="22"/>
                <w:szCs w:val="22"/>
              </w:rPr>
            </w:pPr>
            <w:r w:rsidRPr="009170F6">
              <w:rPr>
                <w:rFonts w:cs="Calibri"/>
                <w:color w:val="000000"/>
                <w:sz w:val="22"/>
                <w:szCs w:val="22"/>
              </w:rPr>
              <w:t>Heart Disease</w:t>
            </w:r>
          </w:p>
        </w:tc>
        <w:tc>
          <w:tcPr>
            <w:tcW w:w="1121" w:type="dxa"/>
            <w:shd w:val="clear" w:color="auto" w:fill="auto"/>
            <w:noWrap/>
            <w:vAlign w:val="bottom"/>
            <w:hideMark/>
          </w:tcPr>
          <w:p w14:paraId="5A977A17"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0</w:t>
            </w:r>
          </w:p>
        </w:tc>
        <w:tc>
          <w:tcPr>
            <w:tcW w:w="1121" w:type="dxa"/>
            <w:shd w:val="clear" w:color="auto" w:fill="auto"/>
            <w:noWrap/>
            <w:vAlign w:val="bottom"/>
            <w:hideMark/>
          </w:tcPr>
          <w:p w14:paraId="0033A41E"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20</w:t>
            </w:r>
          </w:p>
        </w:tc>
        <w:tc>
          <w:tcPr>
            <w:tcW w:w="1121" w:type="dxa"/>
            <w:shd w:val="clear" w:color="auto" w:fill="auto"/>
            <w:noWrap/>
            <w:vAlign w:val="bottom"/>
            <w:hideMark/>
          </w:tcPr>
          <w:p w14:paraId="582BCB9E"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20</w:t>
            </w:r>
          </w:p>
        </w:tc>
        <w:tc>
          <w:tcPr>
            <w:tcW w:w="1121" w:type="dxa"/>
            <w:shd w:val="clear" w:color="auto" w:fill="auto"/>
            <w:noWrap/>
            <w:vAlign w:val="bottom"/>
            <w:hideMark/>
          </w:tcPr>
          <w:p w14:paraId="232F597F"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2.0</w:t>
            </w:r>
          </w:p>
        </w:tc>
      </w:tr>
      <w:tr w:rsidR="001F27D2" w:rsidRPr="009170F6" w14:paraId="614A7A4D" w14:textId="77777777" w:rsidTr="001F27D2">
        <w:tc>
          <w:tcPr>
            <w:tcW w:w="4831" w:type="dxa"/>
            <w:shd w:val="clear" w:color="auto" w:fill="auto"/>
            <w:noWrap/>
            <w:vAlign w:val="bottom"/>
            <w:hideMark/>
          </w:tcPr>
          <w:p w14:paraId="2C28F0D7" w14:textId="77777777" w:rsidR="001F27D2" w:rsidRPr="009170F6" w:rsidRDefault="001F27D2" w:rsidP="009170F6">
            <w:pPr>
              <w:spacing w:before="0" w:after="0"/>
              <w:rPr>
                <w:rFonts w:cs="Calibri"/>
                <w:color w:val="000000"/>
                <w:sz w:val="22"/>
                <w:szCs w:val="22"/>
              </w:rPr>
            </w:pPr>
            <w:r w:rsidRPr="009170F6">
              <w:rPr>
                <w:rFonts w:cs="Calibri"/>
                <w:color w:val="000000"/>
                <w:sz w:val="22"/>
                <w:szCs w:val="22"/>
              </w:rPr>
              <w:t>Chronic Fatigue Syndromes</w:t>
            </w:r>
          </w:p>
        </w:tc>
        <w:tc>
          <w:tcPr>
            <w:tcW w:w="1121" w:type="dxa"/>
            <w:shd w:val="clear" w:color="auto" w:fill="auto"/>
            <w:noWrap/>
            <w:vAlign w:val="bottom"/>
            <w:hideMark/>
          </w:tcPr>
          <w:p w14:paraId="39AC31E9"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10</w:t>
            </w:r>
          </w:p>
        </w:tc>
        <w:tc>
          <w:tcPr>
            <w:tcW w:w="1121" w:type="dxa"/>
            <w:shd w:val="clear" w:color="auto" w:fill="auto"/>
            <w:noWrap/>
            <w:vAlign w:val="bottom"/>
            <w:hideMark/>
          </w:tcPr>
          <w:p w14:paraId="1E038E44"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10</w:t>
            </w:r>
          </w:p>
        </w:tc>
        <w:tc>
          <w:tcPr>
            <w:tcW w:w="1121" w:type="dxa"/>
            <w:shd w:val="clear" w:color="auto" w:fill="auto"/>
            <w:noWrap/>
            <w:vAlign w:val="bottom"/>
            <w:hideMark/>
          </w:tcPr>
          <w:p w14:paraId="09757949"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20</w:t>
            </w:r>
          </w:p>
        </w:tc>
        <w:tc>
          <w:tcPr>
            <w:tcW w:w="1121" w:type="dxa"/>
            <w:shd w:val="clear" w:color="auto" w:fill="auto"/>
            <w:noWrap/>
            <w:vAlign w:val="bottom"/>
            <w:hideMark/>
          </w:tcPr>
          <w:p w14:paraId="7ABA89EE"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2.0</w:t>
            </w:r>
          </w:p>
        </w:tc>
      </w:tr>
      <w:tr w:rsidR="001F27D2" w:rsidRPr="009170F6" w14:paraId="74AF05BD" w14:textId="77777777" w:rsidTr="001F27D2">
        <w:tc>
          <w:tcPr>
            <w:tcW w:w="4831" w:type="dxa"/>
            <w:shd w:val="clear" w:color="auto" w:fill="auto"/>
            <w:noWrap/>
            <w:vAlign w:val="bottom"/>
            <w:hideMark/>
          </w:tcPr>
          <w:p w14:paraId="0142CC25" w14:textId="77777777" w:rsidR="001F27D2" w:rsidRPr="009170F6" w:rsidRDefault="001F27D2" w:rsidP="009170F6">
            <w:pPr>
              <w:spacing w:before="0" w:after="0"/>
              <w:rPr>
                <w:rFonts w:cs="Calibri"/>
                <w:color w:val="000000"/>
                <w:sz w:val="22"/>
                <w:szCs w:val="22"/>
              </w:rPr>
            </w:pPr>
            <w:r w:rsidRPr="009170F6">
              <w:rPr>
                <w:rFonts w:cs="Calibri"/>
                <w:color w:val="000000"/>
                <w:sz w:val="22"/>
                <w:szCs w:val="22"/>
              </w:rPr>
              <w:t>Psychoneurosis</w:t>
            </w:r>
          </w:p>
        </w:tc>
        <w:tc>
          <w:tcPr>
            <w:tcW w:w="1121" w:type="dxa"/>
            <w:shd w:val="clear" w:color="auto" w:fill="auto"/>
            <w:noWrap/>
            <w:vAlign w:val="bottom"/>
            <w:hideMark/>
          </w:tcPr>
          <w:p w14:paraId="7A9E57B1"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10</w:t>
            </w:r>
          </w:p>
        </w:tc>
        <w:tc>
          <w:tcPr>
            <w:tcW w:w="1121" w:type="dxa"/>
            <w:shd w:val="clear" w:color="auto" w:fill="auto"/>
            <w:noWrap/>
            <w:vAlign w:val="bottom"/>
            <w:hideMark/>
          </w:tcPr>
          <w:p w14:paraId="2797209B"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10</w:t>
            </w:r>
          </w:p>
        </w:tc>
        <w:tc>
          <w:tcPr>
            <w:tcW w:w="1121" w:type="dxa"/>
            <w:shd w:val="clear" w:color="auto" w:fill="auto"/>
            <w:noWrap/>
            <w:vAlign w:val="bottom"/>
            <w:hideMark/>
          </w:tcPr>
          <w:p w14:paraId="6BCAB0B3"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20</w:t>
            </w:r>
          </w:p>
        </w:tc>
        <w:tc>
          <w:tcPr>
            <w:tcW w:w="1121" w:type="dxa"/>
            <w:shd w:val="clear" w:color="auto" w:fill="auto"/>
            <w:noWrap/>
            <w:vAlign w:val="bottom"/>
            <w:hideMark/>
          </w:tcPr>
          <w:p w14:paraId="59E9AD6D"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2.0</w:t>
            </w:r>
          </w:p>
        </w:tc>
      </w:tr>
      <w:tr w:rsidR="001F27D2" w:rsidRPr="009170F6" w14:paraId="2B98D491" w14:textId="77777777" w:rsidTr="001F27D2">
        <w:tc>
          <w:tcPr>
            <w:tcW w:w="4831" w:type="dxa"/>
            <w:shd w:val="clear" w:color="auto" w:fill="auto"/>
            <w:noWrap/>
            <w:vAlign w:val="bottom"/>
            <w:hideMark/>
          </w:tcPr>
          <w:p w14:paraId="797C0703" w14:textId="77777777" w:rsidR="001F27D2" w:rsidRPr="009170F6" w:rsidRDefault="001F27D2" w:rsidP="009170F6">
            <w:pPr>
              <w:spacing w:before="0" w:after="0"/>
              <w:rPr>
                <w:rFonts w:cs="Calibri"/>
                <w:color w:val="000000"/>
                <w:sz w:val="22"/>
                <w:szCs w:val="22"/>
              </w:rPr>
            </w:pPr>
            <w:r w:rsidRPr="009170F6">
              <w:rPr>
                <w:rFonts w:cs="Calibri"/>
                <w:color w:val="000000"/>
                <w:sz w:val="22"/>
                <w:szCs w:val="22"/>
              </w:rPr>
              <w:t>Behavioural Disorder</w:t>
            </w:r>
          </w:p>
        </w:tc>
        <w:tc>
          <w:tcPr>
            <w:tcW w:w="1121" w:type="dxa"/>
            <w:shd w:val="clear" w:color="auto" w:fill="auto"/>
            <w:noWrap/>
            <w:vAlign w:val="bottom"/>
            <w:hideMark/>
          </w:tcPr>
          <w:p w14:paraId="2625F8E6"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20</w:t>
            </w:r>
          </w:p>
        </w:tc>
        <w:tc>
          <w:tcPr>
            <w:tcW w:w="1121" w:type="dxa"/>
            <w:shd w:val="clear" w:color="auto" w:fill="auto"/>
            <w:noWrap/>
            <w:vAlign w:val="bottom"/>
            <w:hideMark/>
          </w:tcPr>
          <w:p w14:paraId="19CA5E4F"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0</w:t>
            </w:r>
          </w:p>
        </w:tc>
        <w:tc>
          <w:tcPr>
            <w:tcW w:w="1121" w:type="dxa"/>
            <w:shd w:val="clear" w:color="auto" w:fill="auto"/>
            <w:noWrap/>
            <w:vAlign w:val="bottom"/>
            <w:hideMark/>
          </w:tcPr>
          <w:p w14:paraId="0390AC82"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20</w:t>
            </w:r>
          </w:p>
        </w:tc>
        <w:tc>
          <w:tcPr>
            <w:tcW w:w="1121" w:type="dxa"/>
            <w:shd w:val="clear" w:color="auto" w:fill="auto"/>
            <w:noWrap/>
            <w:vAlign w:val="bottom"/>
            <w:hideMark/>
          </w:tcPr>
          <w:p w14:paraId="6036A65B"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2.0</w:t>
            </w:r>
          </w:p>
        </w:tc>
      </w:tr>
      <w:tr w:rsidR="001F27D2" w:rsidRPr="009170F6" w14:paraId="498C8CA2" w14:textId="77777777" w:rsidTr="001F27D2">
        <w:tc>
          <w:tcPr>
            <w:tcW w:w="4831" w:type="dxa"/>
            <w:shd w:val="clear" w:color="auto" w:fill="auto"/>
            <w:noWrap/>
            <w:vAlign w:val="bottom"/>
            <w:hideMark/>
          </w:tcPr>
          <w:p w14:paraId="211F7A8C" w14:textId="77777777" w:rsidR="001F27D2" w:rsidRPr="009170F6" w:rsidRDefault="001F27D2" w:rsidP="009170F6">
            <w:pPr>
              <w:spacing w:before="0" w:after="0"/>
              <w:rPr>
                <w:rFonts w:cs="Calibri"/>
                <w:color w:val="000000"/>
                <w:sz w:val="22"/>
                <w:szCs w:val="22"/>
              </w:rPr>
            </w:pPr>
            <w:r w:rsidRPr="009170F6">
              <w:rPr>
                <w:rFonts w:cs="Calibri"/>
                <w:color w:val="000000"/>
                <w:sz w:val="22"/>
                <w:szCs w:val="22"/>
              </w:rPr>
              <w:t>Hyperkinetic Syndromes</w:t>
            </w:r>
          </w:p>
        </w:tc>
        <w:tc>
          <w:tcPr>
            <w:tcW w:w="1121" w:type="dxa"/>
            <w:shd w:val="clear" w:color="auto" w:fill="auto"/>
            <w:noWrap/>
            <w:vAlign w:val="bottom"/>
            <w:hideMark/>
          </w:tcPr>
          <w:p w14:paraId="4FAD055B"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20</w:t>
            </w:r>
          </w:p>
        </w:tc>
        <w:tc>
          <w:tcPr>
            <w:tcW w:w="1121" w:type="dxa"/>
            <w:shd w:val="clear" w:color="auto" w:fill="auto"/>
            <w:noWrap/>
            <w:vAlign w:val="bottom"/>
            <w:hideMark/>
          </w:tcPr>
          <w:p w14:paraId="3BB34C40"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0</w:t>
            </w:r>
          </w:p>
        </w:tc>
        <w:tc>
          <w:tcPr>
            <w:tcW w:w="1121" w:type="dxa"/>
            <w:shd w:val="clear" w:color="auto" w:fill="auto"/>
            <w:noWrap/>
            <w:vAlign w:val="bottom"/>
            <w:hideMark/>
          </w:tcPr>
          <w:p w14:paraId="68810512"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20</w:t>
            </w:r>
          </w:p>
        </w:tc>
        <w:tc>
          <w:tcPr>
            <w:tcW w:w="1121" w:type="dxa"/>
            <w:shd w:val="clear" w:color="auto" w:fill="auto"/>
            <w:noWrap/>
            <w:vAlign w:val="bottom"/>
            <w:hideMark/>
          </w:tcPr>
          <w:p w14:paraId="38AC6ADE"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2.0</w:t>
            </w:r>
          </w:p>
        </w:tc>
      </w:tr>
      <w:tr w:rsidR="001F27D2" w:rsidRPr="009170F6" w14:paraId="1FB0C56A" w14:textId="77777777" w:rsidTr="001F27D2">
        <w:tc>
          <w:tcPr>
            <w:tcW w:w="4831" w:type="dxa"/>
            <w:shd w:val="clear" w:color="auto" w:fill="auto"/>
            <w:noWrap/>
            <w:vAlign w:val="bottom"/>
            <w:hideMark/>
          </w:tcPr>
          <w:p w14:paraId="2FFBEF5B" w14:textId="77777777" w:rsidR="001F27D2" w:rsidRPr="009170F6" w:rsidRDefault="001F27D2" w:rsidP="009170F6">
            <w:pPr>
              <w:spacing w:before="0" w:after="0"/>
              <w:rPr>
                <w:rFonts w:cs="Calibri"/>
                <w:color w:val="000000"/>
                <w:sz w:val="22"/>
                <w:szCs w:val="22"/>
              </w:rPr>
            </w:pPr>
            <w:r w:rsidRPr="009170F6">
              <w:rPr>
                <w:rFonts w:cs="Calibri"/>
                <w:color w:val="000000"/>
                <w:sz w:val="22"/>
                <w:szCs w:val="22"/>
              </w:rPr>
              <w:t>Malignant Disease</w:t>
            </w:r>
          </w:p>
        </w:tc>
        <w:tc>
          <w:tcPr>
            <w:tcW w:w="1121" w:type="dxa"/>
            <w:shd w:val="clear" w:color="auto" w:fill="auto"/>
            <w:noWrap/>
            <w:vAlign w:val="bottom"/>
            <w:hideMark/>
          </w:tcPr>
          <w:p w14:paraId="6F1A3AFD"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10</w:t>
            </w:r>
          </w:p>
        </w:tc>
        <w:tc>
          <w:tcPr>
            <w:tcW w:w="1121" w:type="dxa"/>
            <w:shd w:val="clear" w:color="auto" w:fill="auto"/>
            <w:noWrap/>
            <w:vAlign w:val="bottom"/>
            <w:hideMark/>
          </w:tcPr>
          <w:p w14:paraId="5C56004F"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10</w:t>
            </w:r>
          </w:p>
        </w:tc>
        <w:tc>
          <w:tcPr>
            <w:tcW w:w="1121" w:type="dxa"/>
            <w:shd w:val="clear" w:color="auto" w:fill="auto"/>
            <w:noWrap/>
            <w:vAlign w:val="bottom"/>
            <w:hideMark/>
          </w:tcPr>
          <w:p w14:paraId="6A56AF0A"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20</w:t>
            </w:r>
          </w:p>
        </w:tc>
        <w:tc>
          <w:tcPr>
            <w:tcW w:w="1121" w:type="dxa"/>
            <w:shd w:val="clear" w:color="auto" w:fill="auto"/>
            <w:noWrap/>
            <w:vAlign w:val="bottom"/>
            <w:hideMark/>
          </w:tcPr>
          <w:p w14:paraId="1A85F265"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2.0</w:t>
            </w:r>
          </w:p>
        </w:tc>
      </w:tr>
      <w:tr w:rsidR="001F27D2" w:rsidRPr="009170F6" w14:paraId="223C4742" w14:textId="77777777" w:rsidTr="001F27D2">
        <w:tc>
          <w:tcPr>
            <w:tcW w:w="4831" w:type="dxa"/>
            <w:shd w:val="clear" w:color="auto" w:fill="auto"/>
            <w:noWrap/>
            <w:vAlign w:val="bottom"/>
          </w:tcPr>
          <w:p w14:paraId="5B923A3D" w14:textId="77777777" w:rsidR="001F27D2" w:rsidRPr="009170F6" w:rsidRDefault="001F27D2" w:rsidP="009170F6">
            <w:pPr>
              <w:spacing w:before="0" w:after="0"/>
              <w:rPr>
                <w:rFonts w:cs="Calibri"/>
                <w:color w:val="000000"/>
                <w:sz w:val="22"/>
                <w:szCs w:val="22"/>
              </w:rPr>
            </w:pPr>
            <w:r w:rsidRPr="009170F6">
              <w:rPr>
                <w:rFonts w:cs="Calibri"/>
                <w:color w:val="000000"/>
                <w:sz w:val="22"/>
                <w:szCs w:val="22"/>
              </w:rPr>
              <w:t>Other (conditions each representing less than 1% of total recipients)</w:t>
            </w:r>
          </w:p>
        </w:tc>
        <w:tc>
          <w:tcPr>
            <w:tcW w:w="1121" w:type="dxa"/>
            <w:shd w:val="clear" w:color="auto" w:fill="auto"/>
            <w:noWrap/>
            <w:vAlign w:val="center"/>
          </w:tcPr>
          <w:p w14:paraId="13D121FC"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20</w:t>
            </w:r>
          </w:p>
        </w:tc>
        <w:tc>
          <w:tcPr>
            <w:tcW w:w="1121" w:type="dxa"/>
            <w:shd w:val="clear" w:color="auto" w:fill="auto"/>
            <w:noWrap/>
            <w:vAlign w:val="center"/>
          </w:tcPr>
          <w:p w14:paraId="591182A2"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80</w:t>
            </w:r>
          </w:p>
        </w:tc>
        <w:tc>
          <w:tcPr>
            <w:tcW w:w="1121" w:type="dxa"/>
            <w:shd w:val="clear" w:color="auto" w:fill="auto"/>
            <w:noWrap/>
            <w:vAlign w:val="center"/>
          </w:tcPr>
          <w:p w14:paraId="0FCD62A3"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100</w:t>
            </w:r>
          </w:p>
        </w:tc>
        <w:tc>
          <w:tcPr>
            <w:tcW w:w="1121" w:type="dxa"/>
            <w:shd w:val="clear" w:color="auto" w:fill="auto"/>
            <w:noWrap/>
            <w:vAlign w:val="center"/>
          </w:tcPr>
          <w:p w14:paraId="554DBC43"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10.0</w:t>
            </w:r>
          </w:p>
        </w:tc>
      </w:tr>
    </w:tbl>
    <w:p w14:paraId="7D867E8C" w14:textId="77777777" w:rsidR="001F27D2" w:rsidRPr="002B2A7F" w:rsidRDefault="001F27D2" w:rsidP="001F27D2">
      <w:pPr>
        <w:autoSpaceDE w:val="0"/>
        <w:autoSpaceDN w:val="0"/>
        <w:adjustRightInd w:val="0"/>
        <w:rPr>
          <w:rFonts w:asciiTheme="minorHAnsi" w:hAnsiTheme="minorHAnsi" w:cs="Arial"/>
          <w:color w:val="000000"/>
          <w:sz w:val="20"/>
          <w:szCs w:val="20"/>
          <w:lang w:val="en-US"/>
        </w:rPr>
      </w:pPr>
      <w:r w:rsidRPr="002B2A7F">
        <w:rPr>
          <w:rFonts w:asciiTheme="minorHAnsi" w:hAnsiTheme="minorHAnsi" w:cs="Arial"/>
          <w:color w:val="000000"/>
          <w:sz w:val="20"/>
          <w:szCs w:val="20"/>
          <w:lang w:val="en-US"/>
        </w:rPr>
        <w:t>Source: Nomis and DWP 2018</w:t>
      </w:r>
    </w:p>
    <w:p w14:paraId="5CB89B06" w14:textId="77777777" w:rsidR="001F27D2" w:rsidRPr="002B2A7F" w:rsidRDefault="001F27D2" w:rsidP="001F27D2">
      <w:pPr>
        <w:pStyle w:val="Heading2"/>
        <w:ind w:left="0" w:firstLine="0"/>
        <w:rPr>
          <w:rFonts w:asciiTheme="minorHAnsi" w:hAnsiTheme="minorHAnsi"/>
        </w:rPr>
      </w:pPr>
      <w:bookmarkStart w:id="530" w:name="_Toc529780773"/>
      <w:bookmarkStart w:id="531" w:name="_Toc531122897"/>
      <w:r>
        <w:rPr>
          <w:rFonts w:asciiTheme="minorHAnsi" w:hAnsiTheme="minorHAnsi"/>
        </w:rPr>
        <w:lastRenderedPageBreak/>
        <w:tab/>
      </w:r>
      <w:bookmarkStart w:id="532" w:name="_Toc532812427"/>
      <w:r>
        <w:rPr>
          <w:rFonts w:asciiTheme="minorHAnsi" w:hAnsiTheme="minorHAnsi"/>
        </w:rPr>
        <w:t>S</w:t>
      </w:r>
      <w:r w:rsidRPr="002B2A7F">
        <w:rPr>
          <w:rFonts w:asciiTheme="minorHAnsi" w:hAnsiTheme="minorHAnsi"/>
        </w:rPr>
        <w:t xml:space="preserve">takeholder views on specialist housing in </w:t>
      </w:r>
      <w:bookmarkEnd w:id="530"/>
      <w:r w:rsidRPr="002B2A7F">
        <w:rPr>
          <w:rFonts w:asciiTheme="minorHAnsi" w:hAnsiTheme="minorHAnsi"/>
        </w:rPr>
        <w:t>Eden District</w:t>
      </w:r>
      <w:bookmarkEnd w:id="531"/>
      <w:bookmarkEnd w:id="532"/>
    </w:p>
    <w:p w14:paraId="312023C6" w14:textId="77777777" w:rsidR="001F27D2" w:rsidRDefault="001F27D2" w:rsidP="001F27D2">
      <w:pPr>
        <w:pStyle w:val="Reporttext"/>
      </w:pPr>
      <w:bookmarkStart w:id="533" w:name="_Toc360192643"/>
      <w:bookmarkStart w:id="534" w:name="_Toc398711721"/>
      <w:bookmarkStart w:id="535" w:name="_Toc399864408"/>
      <w:r w:rsidRPr="0066445F">
        <w:t>Several</w:t>
      </w:r>
      <w:r w:rsidRPr="00FD3144">
        <w:t xml:space="preserve"> of the stakeholder survey respondents are directly involved in the </w:t>
      </w:r>
      <w:r>
        <w:t>s</w:t>
      </w:r>
      <w:r w:rsidRPr="00FD3144">
        <w:t xml:space="preserve">pecialist housing sector. They work with a range of client groups including: older people, </w:t>
      </w:r>
      <w:r>
        <w:t xml:space="preserve">young people, </w:t>
      </w:r>
      <w:r w:rsidRPr="00FD3144">
        <w:t xml:space="preserve">people with </w:t>
      </w:r>
      <w:r>
        <w:t>mental health issues</w:t>
      </w:r>
      <w:r w:rsidRPr="00FD3144">
        <w:t>, people with learning disabilities</w:t>
      </w:r>
      <w:r>
        <w:t>,</w:t>
      </w:r>
      <w:r w:rsidRPr="00FD3144">
        <w:t xml:space="preserve"> </w:t>
      </w:r>
      <w:r>
        <w:t xml:space="preserve">people with physical disabilities, care leavers, those suffering from drug/alcohol addiction and those suffering from domestic abuse and other violence. </w:t>
      </w:r>
    </w:p>
    <w:p w14:paraId="390940AA" w14:textId="77777777" w:rsidR="001F27D2" w:rsidRDefault="001F27D2" w:rsidP="001F27D2">
      <w:pPr>
        <w:pStyle w:val="Reporttext"/>
      </w:pPr>
      <w:r w:rsidRPr="0066445F">
        <w:t>Specialist housing stakeholders were asked to provide information on the accommodation that is currently available to these client groups. The feedback included extra care schemes, sheltered schemes, and supported accommodation for those with drug, alcohol or mental health support needs. One respondent expressed that there is not enough accommodation throughout Eden specifically for vulnerable clients and the provision of support is also very limited.</w:t>
      </w:r>
    </w:p>
    <w:p w14:paraId="063B36DE" w14:textId="5C6B9859" w:rsidR="001F27D2" w:rsidRDefault="001F27D2" w:rsidP="00C462AB">
      <w:pPr>
        <w:pStyle w:val="Reporttext"/>
      </w:pPr>
      <w:r w:rsidRPr="0066445F">
        <w:t>Stakeholders were asked about current (over next 5 years) and longer-term need for specialist accommodation within Eden. Respondents noted a shortage of extra care provision, residential care facilities, lifetime homes and ‘move on’ accommodation. One respondent expressed that the increase in vulnerable people with complex needs coming through the homelessness route is an indication of additional need. Respondents also agreed that there is a longer-term need for specialist accommodation in Eden due to the ageing population and numerous people choosing to retire in Eden</w:t>
      </w:r>
      <w:r w:rsidR="00855ED3">
        <w:t>.</w:t>
      </w:r>
      <w:r w:rsidRPr="0066445F">
        <w:t xml:space="preserve"> </w:t>
      </w:r>
      <w:r w:rsidR="00C462AB">
        <w:t>S</w:t>
      </w:r>
      <w:r w:rsidRPr="0066445F">
        <w:t xml:space="preserve">takeholders were asked how housing policy changes have affected their ability to deliver services to vulnerable groups over recent years. One stakeholder commented that changes to housing benefit and the welfare reforms do not support the more vulnerable clients. Funding cuts from Supporting People mean that less support is available and less supported housing providers are operating in the county. This creates less choice for service users and less competition resulting in lower standards. Another respondent also noted the lack of funding which hinders the ability to provide ongoing support to these vulnerable groups. Another respondent stated that their organisation has suspended extra care scheme plans because of the high risk over future revenue funding.  </w:t>
      </w:r>
    </w:p>
    <w:p w14:paraId="28B49DFE" w14:textId="77777777" w:rsidR="001F27D2" w:rsidRDefault="001F27D2" w:rsidP="001F27D2">
      <w:pPr>
        <w:pStyle w:val="Reporttext"/>
      </w:pPr>
      <w:r w:rsidRPr="0066445F">
        <w:t>Respondents commented that Penrith is an area of high demand for specialist housing.</w:t>
      </w:r>
    </w:p>
    <w:p w14:paraId="341DEDB8" w14:textId="77777777" w:rsidR="001F27D2" w:rsidRDefault="001F27D2" w:rsidP="001F27D2">
      <w:pPr>
        <w:pStyle w:val="Reporttext"/>
      </w:pPr>
      <w:r w:rsidRPr="0066445F">
        <w:t xml:space="preserve">Respondents were asked what changes, if any, were they seeing in their client groups including volume and flows. One respondent stated that more vulnerable and chaotic clients were accessing the homelessness service. This is due to an increase in domestic abuse clients representing as homeless, increasing number of applicants excluded from CBL or not eligible to bid due to high level rent arrears and an increasing number of vulnerable clients being evicted or asked to leave supported housing schemes. Another respondent mentioned the increasing numbers of people fleeing from domestic abuse, and there was a mention of the lack of resources and support organisations to help. Another respondent noted that people are living longer, becoming less mobile and needing more support resulting in higher demand for adaptations. </w:t>
      </w:r>
    </w:p>
    <w:p w14:paraId="7B357A84" w14:textId="77777777" w:rsidR="001F27D2" w:rsidRDefault="001F27D2" w:rsidP="001F27D2">
      <w:pPr>
        <w:pStyle w:val="Reporttext"/>
      </w:pPr>
      <w:r w:rsidRPr="0066445F">
        <w:t>Barriers to the development of further supported housing and/or support services were predominantly centred around a lack of funding (capital and revenue). Anti-social behaviour was not considered to be a major problem.</w:t>
      </w:r>
    </w:p>
    <w:p w14:paraId="4DAA0F84" w14:textId="77777777" w:rsidR="001F27D2" w:rsidRDefault="001F27D2" w:rsidP="001F27D2">
      <w:pPr>
        <w:pStyle w:val="Reporttext"/>
      </w:pPr>
      <w:r w:rsidRPr="0066445F">
        <w:lastRenderedPageBreak/>
        <w:t xml:space="preserve">Stakeholders were asked about their biggest housing stock shortages for independent living. The following were noted: extra care, older persons’ accommodation, supported housing for vulnerable groups and move on accommodation. </w:t>
      </w:r>
    </w:p>
    <w:p w14:paraId="102214A5" w14:textId="77777777" w:rsidR="001F27D2" w:rsidRDefault="001F27D2" w:rsidP="001F27D2">
      <w:pPr>
        <w:pStyle w:val="Reporttext"/>
      </w:pPr>
      <w:r w:rsidRPr="0066445F">
        <w:t xml:space="preserve">One stakeholder responded to the survey question asking about the key issues regarding the physical adaptation of properties. They stated that Eden has a shortage of funding from central government to facilitate the level of Disability Grant funding requested. They also went on to say that old properties, with solid internal walls are difficult to adapt retrospectively. </w:t>
      </w:r>
    </w:p>
    <w:p w14:paraId="067EC1AE" w14:textId="77777777" w:rsidR="001F27D2" w:rsidRDefault="001F27D2" w:rsidP="001F27D2">
      <w:pPr>
        <w:pStyle w:val="Reporttext"/>
      </w:pPr>
      <w:r w:rsidRPr="0066445F">
        <w:t>An increase in demand for support services over the past three years was reported among elderly people, those suffering from domestic abuse and homeless households.</w:t>
      </w:r>
    </w:p>
    <w:p w14:paraId="47D8EB7B" w14:textId="77777777" w:rsidR="001F27D2" w:rsidRPr="0066445F" w:rsidRDefault="001F27D2" w:rsidP="001F27D2">
      <w:pPr>
        <w:pStyle w:val="Reporttext"/>
      </w:pPr>
      <w:r w:rsidRPr="0066445F">
        <w:t>In terms of additional comments and key messages in relation to supported living, independent living and older people’s housing, respondents stated that:</w:t>
      </w:r>
    </w:p>
    <w:p w14:paraId="67CE9B28" w14:textId="77777777" w:rsidR="001F27D2" w:rsidRDefault="001F27D2" w:rsidP="009170F6">
      <w:pPr>
        <w:pStyle w:val="bullet"/>
      </w:pPr>
      <w:r>
        <w:t>We need more supported accommodation for homeless households, those with mental health or drug/alcohol issues, families fleeing domestic abuse, ex-offenders, older and young people; due to funding cuts resulting in these client groups being neglected and there being very limited services/accommodation available in Eden;</w:t>
      </w:r>
    </w:p>
    <w:p w14:paraId="7C2346B0" w14:textId="77777777" w:rsidR="001F27D2" w:rsidRDefault="001F27D2" w:rsidP="009170F6">
      <w:pPr>
        <w:pStyle w:val="bullet"/>
      </w:pPr>
      <w:r>
        <w:t>Supporting People funding has reduced significantly over the last few years which will impact on the support available for people who need it;</w:t>
      </w:r>
    </w:p>
    <w:p w14:paraId="705BC31F" w14:textId="51D7FAE5" w:rsidR="001F27D2" w:rsidRDefault="001F27D2" w:rsidP="009170F6">
      <w:pPr>
        <w:pStyle w:val="bullet"/>
      </w:pPr>
      <w:r>
        <w:t>The ageing population is increasing and with that in mind, homes that are fit for purpose need to be built;</w:t>
      </w:r>
      <w:r w:rsidR="003E0DC8">
        <w:t xml:space="preserve"> and</w:t>
      </w:r>
    </w:p>
    <w:p w14:paraId="0B597FC4" w14:textId="77777777" w:rsidR="001F27D2" w:rsidRPr="009D3F78" w:rsidRDefault="001F27D2" w:rsidP="009170F6">
      <w:pPr>
        <w:pStyle w:val="bullet"/>
      </w:pPr>
      <w:r>
        <w:t>Additional move on/supported accommodation would most definitely be beneficial in Penrith.</w:t>
      </w:r>
    </w:p>
    <w:p w14:paraId="73E1345D" w14:textId="77777777" w:rsidR="001F27D2" w:rsidRPr="002B2A7F" w:rsidRDefault="001F27D2" w:rsidP="001F27D2">
      <w:pPr>
        <w:rPr>
          <w:rFonts w:asciiTheme="minorHAnsi" w:hAnsiTheme="minorHAnsi" w:cs="Calibri"/>
        </w:rPr>
      </w:pPr>
    </w:p>
    <w:p w14:paraId="21A2D4BD" w14:textId="77777777" w:rsidR="001F27D2" w:rsidRPr="002B2A7F" w:rsidRDefault="001F27D2" w:rsidP="001F27D2">
      <w:pPr>
        <w:pStyle w:val="Heading2"/>
        <w:ind w:left="709" w:firstLine="0"/>
        <w:rPr>
          <w:rFonts w:asciiTheme="minorHAnsi" w:hAnsiTheme="minorHAnsi"/>
        </w:rPr>
      </w:pPr>
      <w:bookmarkStart w:id="536" w:name="_Toc529652004"/>
      <w:bookmarkStart w:id="537" w:name="_Toc529780775"/>
      <w:bookmarkStart w:id="538" w:name="_Toc531122899"/>
      <w:bookmarkStart w:id="539" w:name="_Toc532812428"/>
      <w:r w:rsidRPr="002B2A7F">
        <w:rPr>
          <w:rFonts w:asciiTheme="minorHAnsi" w:hAnsiTheme="minorHAnsi"/>
        </w:rPr>
        <w:t>Recommendations for optional accessibility and wheelchair</w:t>
      </w:r>
      <w:r w:rsidRPr="002B2A7F">
        <w:rPr>
          <w:rFonts w:asciiTheme="minorHAnsi" w:hAnsiTheme="minorHAnsi"/>
          <w:lang w:val="en-US"/>
        </w:rPr>
        <w:t xml:space="preserve"> </w:t>
      </w:r>
      <w:r w:rsidRPr="002B2A7F">
        <w:rPr>
          <w:rFonts w:asciiTheme="minorHAnsi" w:hAnsiTheme="minorHAnsi"/>
        </w:rPr>
        <w:t>standard housing</w:t>
      </w:r>
      <w:bookmarkEnd w:id="536"/>
      <w:bookmarkEnd w:id="537"/>
      <w:bookmarkEnd w:id="538"/>
      <w:bookmarkEnd w:id="539"/>
    </w:p>
    <w:p w14:paraId="7EC8215C" w14:textId="18BDD3DB" w:rsidR="001F27D2" w:rsidRPr="002B2A7F" w:rsidRDefault="001F27D2" w:rsidP="001F27D2">
      <w:pPr>
        <w:pStyle w:val="Reporttext"/>
        <w:rPr>
          <w:shd w:val="clear" w:color="auto" w:fill="FFFFFF"/>
        </w:rPr>
      </w:pPr>
      <w:r w:rsidRPr="002B2A7F">
        <w:t>The</w:t>
      </w:r>
      <w:r w:rsidRPr="002B2A7F">
        <w:rPr>
          <w:shd w:val="clear" w:color="auto" w:fill="FFFFFF"/>
        </w:rPr>
        <w:t xml:space="preserve"> 2018 </w:t>
      </w:r>
      <w:r w:rsidR="003E0DC8">
        <w:rPr>
          <w:shd w:val="clear" w:color="auto" w:fill="FFFFFF"/>
        </w:rPr>
        <w:t>h</w:t>
      </w:r>
      <w:r w:rsidRPr="002B2A7F">
        <w:rPr>
          <w:shd w:val="clear" w:color="auto" w:fill="FFFFFF"/>
        </w:rPr>
        <w:t xml:space="preserve">ousehold </w:t>
      </w:r>
      <w:r w:rsidR="003E0DC8">
        <w:rPr>
          <w:shd w:val="clear" w:color="auto" w:fill="FFFFFF"/>
        </w:rPr>
        <w:t>s</w:t>
      </w:r>
      <w:r w:rsidRPr="002B2A7F">
        <w:rPr>
          <w:shd w:val="clear" w:color="auto" w:fill="FFFFFF"/>
        </w:rPr>
        <w:t xml:space="preserve">urvey indicates that 4.9% of households live in properties that have been adapted or purpose built for those with an illness/disability. Analysis of demographic data would suggest that the number of adapted properties will need to increase by 263 over the </w:t>
      </w:r>
      <w:r w:rsidR="003E0DC8">
        <w:rPr>
          <w:shd w:val="clear" w:color="auto" w:fill="FFFFFF"/>
        </w:rPr>
        <w:t>P</w:t>
      </w:r>
      <w:r w:rsidRPr="002B2A7F">
        <w:rPr>
          <w:shd w:val="clear" w:color="auto" w:fill="FFFFFF"/>
        </w:rPr>
        <w:t xml:space="preserve">lan </w:t>
      </w:r>
      <w:r w:rsidR="003E0DC8">
        <w:rPr>
          <w:shd w:val="clear" w:color="auto" w:fill="FFFFFF"/>
        </w:rPr>
        <w:t>P</w:t>
      </w:r>
      <w:r w:rsidRPr="002B2A7F">
        <w:rPr>
          <w:shd w:val="clear" w:color="auto" w:fill="FFFFFF"/>
        </w:rPr>
        <w:t xml:space="preserve">eriod. </w:t>
      </w:r>
      <w:r w:rsidRPr="002B2A7F">
        <w:rPr>
          <w:shd w:val="clear" w:color="auto" w:fill="FFFFFF"/>
          <w:lang w:val="en-US"/>
        </w:rPr>
        <w:t xml:space="preserve">This figure has been derived from data on the number of households with adaptations by age group of the household reference person; how the number of households by HRP age group is expected to change; and applying the proportion of adapted properties to future household numbers by age group. </w:t>
      </w:r>
    </w:p>
    <w:p w14:paraId="5EB4CA4B" w14:textId="77777777" w:rsidR="001F27D2" w:rsidRPr="002B2A7F" w:rsidRDefault="001F27D2" w:rsidP="001F27D2">
      <w:pPr>
        <w:pStyle w:val="Reporttext"/>
      </w:pPr>
      <w:r w:rsidRPr="002B2A7F">
        <w:t xml:space="preserve">Having examined a wide range of evidence of people with disabilities and the general ageing of the population, it is recommended that the Council adopts optional accessibility standards M4(2) and M4(3) of the building regulations. </w:t>
      </w:r>
    </w:p>
    <w:p w14:paraId="58C19375" w14:textId="52C1FDA9" w:rsidR="001F27D2" w:rsidRPr="002B2A7F" w:rsidRDefault="001F27D2" w:rsidP="001F27D2">
      <w:pPr>
        <w:pStyle w:val="Reporttext"/>
      </w:pPr>
      <w:r w:rsidRPr="002B2A7F">
        <w:t xml:space="preserve">Figures </w:t>
      </w:r>
      <w:r w:rsidR="009170F6">
        <w:t>6.1</w:t>
      </w:r>
      <w:r w:rsidRPr="002B2A7F">
        <w:t xml:space="preserve"> and </w:t>
      </w:r>
      <w:r w:rsidR="009170F6">
        <w:t>6.2</w:t>
      </w:r>
      <w:r w:rsidRPr="002B2A7F">
        <w:t xml:space="preserve"> below define these optional accessibility standards. They are taken directly from the Government’s practice guidance.</w:t>
      </w:r>
    </w:p>
    <w:p w14:paraId="1542E525" w14:textId="77777777" w:rsidR="001F27D2" w:rsidRPr="002B2A7F" w:rsidRDefault="001F27D2" w:rsidP="001F27D2">
      <w:pPr>
        <w:rPr>
          <w:rFonts w:asciiTheme="minorHAnsi" w:hAnsiTheme="minorHAnsi"/>
        </w:rPr>
      </w:pPr>
    </w:p>
    <w:p w14:paraId="425D76A9" w14:textId="173F3308" w:rsidR="001F27D2" w:rsidRPr="002B2A7F" w:rsidRDefault="001F27D2" w:rsidP="001F27D2">
      <w:pPr>
        <w:pStyle w:val="Figureheading0"/>
        <w:rPr>
          <w:rFonts w:asciiTheme="minorHAnsi" w:hAnsiTheme="minorHAnsi"/>
        </w:rPr>
      </w:pPr>
      <w:bookmarkStart w:id="540" w:name="_Toc532812529"/>
      <w:r w:rsidRPr="002B2A7F">
        <w:rPr>
          <w:rFonts w:asciiTheme="minorHAnsi" w:hAnsiTheme="minorHAnsi"/>
        </w:rPr>
        <w:lastRenderedPageBreak/>
        <w:t xml:space="preserve">Figure </w:t>
      </w:r>
      <w:r w:rsidR="009170F6">
        <w:rPr>
          <w:rFonts w:asciiTheme="minorHAnsi" w:hAnsiTheme="minorHAnsi"/>
        </w:rPr>
        <w:t>6</w:t>
      </w:r>
      <w:r w:rsidRPr="002B2A7F">
        <w:rPr>
          <w:rFonts w:asciiTheme="minorHAnsi" w:hAnsiTheme="minorHAnsi"/>
        </w:rPr>
        <w:t>.</w:t>
      </w:r>
      <w:r w:rsidR="009170F6">
        <w:rPr>
          <w:rFonts w:asciiTheme="minorHAnsi" w:hAnsiTheme="minorHAnsi"/>
        </w:rPr>
        <w:t>1</w:t>
      </w:r>
      <w:r w:rsidRPr="002B2A7F">
        <w:rPr>
          <w:rFonts w:asciiTheme="minorHAnsi" w:hAnsiTheme="minorHAnsi"/>
        </w:rPr>
        <w:tab/>
        <w:t>Explanation of optional accessibility standard M4(2)</w:t>
      </w:r>
      <w:bookmarkEnd w:id="540"/>
    </w:p>
    <w:p w14:paraId="169E1068" w14:textId="77777777" w:rsidR="001F27D2" w:rsidRPr="002B2A7F" w:rsidRDefault="001F27D2" w:rsidP="001F27D2">
      <w:pPr>
        <w:rPr>
          <w:rFonts w:asciiTheme="minorHAnsi" w:hAnsiTheme="minorHAnsi" w:cs="Calibri"/>
          <w:color w:val="1F497D"/>
          <w:sz w:val="22"/>
          <w:szCs w:val="22"/>
        </w:rPr>
      </w:pPr>
      <w:r w:rsidRPr="002B2A7F">
        <w:rPr>
          <w:rFonts w:asciiTheme="minorHAnsi" w:hAnsiTheme="minorHAnsi" w:cs="Calibri"/>
          <w:noProof/>
          <w:color w:val="1F497D"/>
          <w:sz w:val="22"/>
          <w:szCs w:val="22"/>
          <w:lang w:eastAsia="en-GB"/>
        </w:rPr>
        <w:drawing>
          <wp:inline distT="0" distB="0" distL="0" distR="0" wp14:anchorId="317D88A2" wp14:editId="37EF6E51">
            <wp:extent cx="5835650" cy="3020060"/>
            <wp:effectExtent l="12700" t="12700" r="19050" b="152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8-02-18 at 17.12.19.png"/>
                    <pic:cNvPicPr/>
                  </pic:nvPicPr>
                  <pic:blipFill>
                    <a:blip r:embed="rId54">
                      <a:duotone>
                        <a:prstClr val="black"/>
                        <a:schemeClr val="accent1">
                          <a:tint val="45000"/>
                          <a:satMod val="400000"/>
                        </a:schemeClr>
                      </a:duotone>
                    </a:blip>
                    <a:stretch>
                      <a:fillRect/>
                    </a:stretch>
                  </pic:blipFill>
                  <pic:spPr>
                    <a:xfrm>
                      <a:off x="0" y="0"/>
                      <a:ext cx="5835650" cy="3020060"/>
                    </a:xfrm>
                    <a:prstGeom prst="rect">
                      <a:avLst/>
                    </a:prstGeom>
                    <a:ln>
                      <a:solidFill>
                        <a:schemeClr val="tx1"/>
                      </a:solidFill>
                    </a:ln>
                  </pic:spPr>
                </pic:pic>
              </a:graphicData>
            </a:graphic>
          </wp:inline>
        </w:drawing>
      </w:r>
    </w:p>
    <w:p w14:paraId="48E8258C" w14:textId="7912F1EC" w:rsidR="001F27D2" w:rsidRPr="002B2A7F" w:rsidRDefault="001F27D2" w:rsidP="001F27D2">
      <w:pPr>
        <w:pStyle w:val="Figureheading0"/>
        <w:rPr>
          <w:rFonts w:asciiTheme="minorHAnsi" w:hAnsiTheme="minorHAnsi"/>
        </w:rPr>
      </w:pPr>
      <w:bookmarkStart w:id="541" w:name="_Toc532812530"/>
      <w:r w:rsidRPr="002B2A7F">
        <w:rPr>
          <w:rFonts w:asciiTheme="minorHAnsi" w:hAnsiTheme="minorHAnsi"/>
        </w:rPr>
        <w:t xml:space="preserve">Figure </w:t>
      </w:r>
      <w:r w:rsidR="009170F6">
        <w:rPr>
          <w:rFonts w:asciiTheme="minorHAnsi" w:hAnsiTheme="minorHAnsi"/>
        </w:rPr>
        <w:t>6</w:t>
      </w:r>
      <w:r w:rsidRPr="002B2A7F">
        <w:rPr>
          <w:rFonts w:asciiTheme="minorHAnsi" w:hAnsiTheme="minorHAnsi"/>
        </w:rPr>
        <w:t>.</w:t>
      </w:r>
      <w:r w:rsidR="009170F6">
        <w:rPr>
          <w:rFonts w:asciiTheme="minorHAnsi" w:hAnsiTheme="minorHAnsi"/>
        </w:rPr>
        <w:t>2</w:t>
      </w:r>
      <w:r w:rsidRPr="002B2A7F">
        <w:rPr>
          <w:rFonts w:asciiTheme="minorHAnsi" w:hAnsiTheme="minorHAnsi"/>
        </w:rPr>
        <w:tab/>
        <w:t>Explanation of optional accessibility standard M4(3)</w:t>
      </w:r>
      <w:bookmarkEnd w:id="541"/>
    </w:p>
    <w:p w14:paraId="0CF53571" w14:textId="77777777" w:rsidR="001F27D2" w:rsidRPr="002B2A7F" w:rsidRDefault="001F27D2" w:rsidP="001F27D2">
      <w:pPr>
        <w:rPr>
          <w:rFonts w:asciiTheme="minorHAnsi" w:hAnsiTheme="minorHAnsi" w:cs="Calibri"/>
          <w:color w:val="1F497D"/>
          <w:sz w:val="22"/>
          <w:szCs w:val="22"/>
        </w:rPr>
      </w:pPr>
      <w:r w:rsidRPr="002B2A7F">
        <w:rPr>
          <w:rFonts w:asciiTheme="minorHAnsi" w:hAnsiTheme="minorHAnsi" w:cs="Calibri"/>
          <w:noProof/>
          <w:color w:val="1F497D"/>
          <w:sz w:val="22"/>
          <w:szCs w:val="22"/>
          <w:lang w:eastAsia="en-GB"/>
        </w:rPr>
        <w:drawing>
          <wp:inline distT="0" distB="0" distL="0" distR="0" wp14:anchorId="7767ED7E" wp14:editId="690EF355">
            <wp:extent cx="5835650" cy="3253105"/>
            <wp:effectExtent l="12700" t="12700" r="19050" b="107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8-02-18 at 17.13.02.png"/>
                    <pic:cNvPicPr/>
                  </pic:nvPicPr>
                  <pic:blipFill>
                    <a:blip r:embed="rId55">
                      <a:duotone>
                        <a:prstClr val="black"/>
                        <a:schemeClr val="accent1">
                          <a:tint val="45000"/>
                          <a:satMod val="400000"/>
                        </a:schemeClr>
                      </a:duotone>
                    </a:blip>
                    <a:stretch>
                      <a:fillRect/>
                    </a:stretch>
                  </pic:blipFill>
                  <pic:spPr>
                    <a:xfrm>
                      <a:off x="0" y="0"/>
                      <a:ext cx="5835650" cy="3253105"/>
                    </a:xfrm>
                    <a:prstGeom prst="rect">
                      <a:avLst/>
                    </a:prstGeom>
                    <a:ln>
                      <a:solidFill>
                        <a:schemeClr val="tx1"/>
                      </a:solidFill>
                    </a:ln>
                  </pic:spPr>
                </pic:pic>
              </a:graphicData>
            </a:graphic>
          </wp:inline>
        </w:drawing>
      </w:r>
    </w:p>
    <w:p w14:paraId="360FF1C4" w14:textId="77777777" w:rsidR="001F27D2" w:rsidRPr="002B2A7F" w:rsidRDefault="001F27D2" w:rsidP="001F27D2">
      <w:pPr>
        <w:pStyle w:val="Reporttext"/>
        <w:numPr>
          <w:ilvl w:val="0"/>
          <w:numId w:val="0"/>
        </w:numPr>
        <w:ind w:left="709"/>
        <w:rPr>
          <w:shd w:val="clear" w:color="auto" w:fill="FFFFFF"/>
        </w:rPr>
      </w:pPr>
    </w:p>
    <w:p w14:paraId="1CBAAB25" w14:textId="77777777" w:rsidR="001F27D2" w:rsidRPr="002B2A7F" w:rsidRDefault="001F27D2" w:rsidP="001F27D2">
      <w:pPr>
        <w:pStyle w:val="Reporttext"/>
        <w:numPr>
          <w:ilvl w:val="0"/>
          <w:numId w:val="0"/>
        </w:numPr>
        <w:ind w:left="709"/>
        <w:rPr>
          <w:shd w:val="clear" w:color="auto" w:fill="FFFFFF"/>
        </w:rPr>
        <w:sectPr w:rsidR="001F27D2" w:rsidRPr="002B2A7F" w:rsidSect="002B41F6">
          <w:headerReference w:type="default" r:id="rId56"/>
          <w:footerReference w:type="default" r:id="rId57"/>
          <w:footerReference w:type="first" r:id="rId58"/>
          <w:pgSz w:w="11906" w:h="16838" w:code="9"/>
          <w:pgMar w:top="1440" w:right="1276" w:bottom="1134" w:left="1440" w:header="709" w:footer="567" w:gutter="0"/>
          <w:cols w:space="708"/>
          <w:docGrid w:linePitch="360"/>
        </w:sectPr>
      </w:pPr>
    </w:p>
    <w:tbl>
      <w:tblPr>
        <w:tblW w:w="4883"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1694"/>
        <w:gridCol w:w="1757"/>
        <w:gridCol w:w="2236"/>
        <w:gridCol w:w="1676"/>
        <w:gridCol w:w="1815"/>
        <w:gridCol w:w="1537"/>
        <w:gridCol w:w="2091"/>
        <w:gridCol w:w="1114"/>
      </w:tblGrid>
      <w:tr w:rsidR="001F27D2" w:rsidRPr="009170F6" w14:paraId="6F983905" w14:textId="77777777" w:rsidTr="003106AD">
        <w:tc>
          <w:tcPr>
            <w:tcW w:w="5000" w:type="pct"/>
            <w:gridSpan w:val="8"/>
            <w:shd w:val="clear" w:color="auto" w:fill="009999"/>
            <w:noWrap/>
            <w:vAlign w:val="center"/>
          </w:tcPr>
          <w:p w14:paraId="1D26ABC4" w14:textId="2E558F10" w:rsidR="001F27D2" w:rsidRPr="009170F6" w:rsidRDefault="001F27D2" w:rsidP="009170F6">
            <w:pPr>
              <w:pStyle w:val="Tableheading1"/>
              <w:rPr>
                <w:color w:val="000000"/>
              </w:rPr>
            </w:pPr>
            <w:bookmarkStart w:id="542" w:name="_Toc529739478"/>
            <w:bookmarkStart w:id="543" w:name="_Toc531122974"/>
            <w:bookmarkStart w:id="544" w:name="_Toc532812503"/>
            <w:r w:rsidRPr="009170F6">
              <w:lastRenderedPageBreak/>
              <w:t xml:space="preserve">Table </w:t>
            </w:r>
            <w:r w:rsidR="009170F6">
              <w:t>6.15</w:t>
            </w:r>
            <w:r w:rsidRPr="009170F6">
              <w:tab/>
              <w:t>Future need for adapted properties</w:t>
            </w:r>
            <w:bookmarkEnd w:id="542"/>
            <w:bookmarkEnd w:id="543"/>
            <w:bookmarkEnd w:id="544"/>
          </w:p>
        </w:tc>
      </w:tr>
      <w:tr w:rsidR="001F27D2" w:rsidRPr="009170F6" w14:paraId="1B2D17AA" w14:textId="77777777" w:rsidTr="009170F6">
        <w:tc>
          <w:tcPr>
            <w:tcW w:w="609" w:type="pct"/>
            <w:shd w:val="clear" w:color="auto" w:fill="009999"/>
            <w:noWrap/>
            <w:vAlign w:val="bottom"/>
            <w:hideMark/>
          </w:tcPr>
          <w:p w14:paraId="3DD06536" w14:textId="77777777" w:rsidR="001F27D2" w:rsidRPr="009170F6" w:rsidRDefault="001F27D2" w:rsidP="009170F6">
            <w:pPr>
              <w:spacing w:before="0" w:after="0"/>
              <w:jc w:val="left"/>
              <w:rPr>
                <w:rFonts w:cs="Calibri"/>
                <w:b/>
                <w:color w:val="FFFFFF" w:themeColor="background1"/>
                <w:sz w:val="22"/>
                <w:szCs w:val="22"/>
              </w:rPr>
            </w:pPr>
            <w:r w:rsidRPr="009170F6">
              <w:rPr>
                <w:rFonts w:cs="Calibri"/>
                <w:b/>
                <w:color w:val="FFFFFF" w:themeColor="background1"/>
                <w:sz w:val="22"/>
                <w:szCs w:val="22"/>
              </w:rPr>
              <w:t>Age Group</w:t>
            </w:r>
          </w:p>
        </w:tc>
        <w:tc>
          <w:tcPr>
            <w:tcW w:w="2036" w:type="pct"/>
            <w:gridSpan w:val="3"/>
            <w:shd w:val="clear" w:color="auto" w:fill="009999"/>
            <w:vAlign w:val="bottom"/>
            <w:hideMark/>
          </w:tcPr>
          <w:p w14:paraId="7EC78DC6" w14:textId="77777777" w:rsidR="001F27D2" w:rsidRPr="009170F6" w:rsidRDefault="001F27D2" w:rsidP="009170F6">
            <w:pPr>
              <w:spacing w:before="0" w:after="0"/>
              <w:jc w:val="center"/>
              <w:rPr>
                <w:rFonts w:cs="Calibri"/>
                <w:b/>
                <w:color w:val="FFFFFF" w:themeColor="background1"/>
                <w:sz w:val="22"/>
                <w:szCs w:val="22"/>
              </w:rPr>
            </w:pPr>
            <w:r w:rsidRPr="009170F6">
              <w:rPr>
                <w:rFonts w:cs="Calibri"/>
                <w:b/>
                <w:color w:val="FFFFFF" w:themeColor="background1"/>
                <w:sz w:val="22"/>
                <w:szCs w:val="22"/>
              </w:rPr>
              <w:t>Year</w:t>
            </w:r>
          </w:p>
        </w:tc>
        <w:tc>
          <w:tcPr>
            <w:tcW w:w="652" w:type="pct"/>
            <w:shd w:val="clear" w:color="auto" w:fill="009999"/>
            <w:vAlign w:val="bottom"/>
            <w:hideMark/>
          </w:tcPr>
          <w:p w14:paraId="4896D7DF" w14:textId="77777777" w:rsidR="001F27D2" w:rsidRPr="009170F6" w:rsidRDefault="001F27D2" w:rsidP="009170F6">
            <w:pPr>
              <w:spacing w:before="0" w:after="0"/>
              <w:jc w:val="center"/>
              <w:rPr>
                <w:rFonts w:cs="Calibri"/>
                <w:b/>
                <w:color w:val="FFFFFF" w:themeColor="background1"/>
                <w:sz w:val="22"/>
                <w:szCs w:val="22"/>
              </w:rPr>
            </w:pPr>
            <w:r w:rsidRPr="009170F6">
              <w:rPr>
                <w:rFonts w:cs="Calibri"/>
                <w:b/>
                <w:color w:val="FFFFFF" w:themeColor="background1"/>
                <w:sz w:val="22"/>
                <w:szCs w:val="22"/>
              </w:rPr>
              <w:t>% properties with adaptations</w:t>
            </w:r>
          </w:p>
        </w:tc>
        <w:tc>
          <w:tcPr>
            <w:tcW w:w="1703" w:type="pct"/>
            <w:gridSpan w:val="3"/>
            <w:shd w:val="clear" w:color="auto" w:fill="009999"/>
            <w:vAlign w:val="bottom"/>
            <w:hideMark/>
          </w:tcPr>
          <w:p w14:paraId="5DE45210" w14:textId="77777777" w:rsidR="001F27D2" w:rsidRPr="009170F6" w:rsidRDefault="001F27D2" w:rsidP="009170F6">
            <w:pPr>
              <w:spacing w:before="0" w:after="0"/>
              <w:jc w:val="center"/>
              <w:rPr>
                <w:rFonts w:cs="Calibri"/>
                <w:b/>
                <w:color w:val="FFFFFF" w:themeColor="background1"/>
                <w:sz w:val="22"/>
                <w:szCs w:val="22"/>
              </w:rPr>
            </w:pPr>
            <w:r w:rsidRPr="009170F6">
              <w:rPr>
                <w:rFonts w:cs="Calibri"/>
                <w:b/>
                <w:color w:val="FFFFFF" w:themeColor="background1"/>
                <w:sz w:val="22"/>
                <w:szCs w:val="22"/>
              </w:rPr>
              <w:t>No. Adapted properties required by age group</w:t>
            </w:r>
          </w:p>
        </w:tc>
      </w:tr>
      <w:tr w:rsidR="001F27D2" w:rsidRPr="009170F6" w14:paraId="7617DD52" w14:textId="77777777" w:rsidTr="009170F6">
        <w:tc>
          <w:tcPr>
            <w:tcW w:w="609" w:type="pct"/>
            <w:shd w:val="clear" w:color="auto" w:fill="auto"/>
            <w:noWrap/>
            <w:vAlign w:val="bottom"/>
            <w:hideMark/>
          </w:tcPr>
          <w:p w14:paraId="2BF1A528" w14:textId="77777777" w:rsidR="001F27D2" w:rsidRPr="009170F6" w:rsidRDefault="001F27D2" w:rsidP="009170F6">
            <w:pPr>
              <w:spacing w:before="0" w:after="0"/>
              <w:rPr>
                <w:rFonts w:cs="Calibri"/>
                <w:b/>
                <w:color w:val="000000"/>
                <w:sz w:val="22"/>
                <w:szCs w:val="22"/>
              </w:rPr>
            </w:pPr>
            <w:r w:rsidRPr="009170F6">
              <w:rPr>
                <w:rFonts w:cs="Calibri"/>
                <w:b/>
                <w:color w:val="000000"/>
                <w:sz w:val="22"/>
                <w:szCs w:val="22"/>
              </w:rPr>
              <w:t> </w:t>
            </w:r>
          </w:p>
        </w:tc>
        <w:tc>
          <w:tcPr>
            <w:tcW w:w="631" w:type="pct"/>
            <w:shd w:val="clear" w:color="auto" w:fill="auto"/>
            <w:noWrap/>
            <w:vAlign w:val="bottom"/>
            <w:hideMark/>
          </w:tcPr>
          <w:p w14:paraId="7059C58C" w14:textId="77777777" w:rsidR="001F27D2" w:rsidRPr="009170F6" w:rsidRDefault="001F27D2" w:rsidP="009170F6">
            <w:pPr>
              <w:spacing w:before="0" w:after="0"/>
              <w:jc w:val="center"/>
              <w:rPr>
                <w:rFonts w:cs="Calibri"/>
                <w:b/>
                <w:color w:val="000000"/>
                <w:sz w:val="22"/>
                <w:szCs w:val="22"/>
              </w:rPr>
            </w:pPr>
            <w:r w:rsidRPr="009170F6">
              <w:rPr>
                <w:rFonts w:cs="Calibri"/>
                <w:b/>
                <w:color w:val="000000"/>
                <w:sz w:val="22"/>
                <w:szCs w:val="22"/>
              </w:rPr>
              <w:t>2018</w:t>
            </w:r>
          </w:p>
        </w:tc>
        <w:tc>
          <w:tcPr>
            <w:tcW w:w="803" w:type="pct"/>
            <w:shd w:val="clear" w:color="auto" w:fill="auto"/>
            <w:noWrap/>
            <w:vAlign w:val="bottom"/>
            <w:hideMark/>
          </w:tcPr>
          <w:p w14:paraId="3EFC79C8" w14:textId="77777777" w:rsidR="001F27D2" w:rsidRPr="009170F6" w:rsidRDefault="001F27D2" w:rsidP="009170F6">
            <w:pPr>
              <w:spacing w:before="0" w:after="0"/>
              <w:jc w:val="center"/>
              <w:rPr>
                <w:rFonts w:cs="Calibri"/>
                <w:b/>
                <w:color w:val="000000"/>
                <w:sz w:val="22"/>
                <w:szCs w:val="22"/>
              </w:rPr>
            </w:pPr>
            <w:r w:rsidRPr="009170F6">
              <w:rPr>
                <w:rFonts w:cs="Calibri"/>
                <w:b/>
                <w:color w:val="000000"/>
                <w:sz w:val="22"/>
                <w:szCs w:val="22"/>
              </w:rPr>
              <w:t>2032</w:t>
            </w:r>
          </w:p>
        </w:tc>
        <w:tc>
          <w:tcPr>
            <w:tcW w:w="602" w:type="pct"/>
            <w:shd w:val="clear" w:color="auto" w:fill="auto"/>
            <w:noWrap/>
            <w:vAlign w:val="bottom"/>
            <w:hideMark/>
          </w:tcPr>
          <w:p w14:paraId="76D8B31D" w14:textId="77777777" w:rsidR="001F27D2" w:rsidRPr="009170F6" w:rsidRDefault="001F27D2" w:rsidP="009170F6">
            <w:pPr>
              <w:spacing w:before="0" w:after="0"/>
              <w:jc w:val="center"/>
              <w:rPr>
                <w:rFonts w:cs="Calibri"/>
                <w:b/>
                <w:color w:val="000000"/>
                <w:sz w:val="22"/>
                <w:szCs w:val="22"/>
              </w:rPr>
            </w:pPr>
            <w:r w:rsidRPr="009170F6">
              <w:rPr>
                <w:rFonts w:cs="Calibri"/>
                <w:b/>
                <w:color w:val="000000"/>
                <w:sz w:val="22"/>
                <w:szCs w:val="22"/>
              </w:rPr>
              <w:t>change</w:t>
            </w:r>
          </w:p>
        </w:tc>
        <w:tc>
          <w:tcPr>
            <w:tcW w:w="652" w:type="pct"/>
            <w:shd w:val="clear" w:color="auto" w:fill="auto"/>
            <w:noWrap/>
            <w:vAlign w:val="bottom"/>
            <w:hideMark/>
          </w:tcPr>
          <w:p w14:paraId="725C47FC" w14:textId="77777777" w:rsidR="001F27D2" w:rsidRPr="009170F6" w:rsidRDefault="001F27D2" w:rsidP="009170F6">
            <w:pPr>
              <w:spacing w:before="0" w:after="0"/>
              <w:jc w:val="center"/>
              <w:rPr>
                <w:rFonts w:cs="Calibri"/>
                <w:b/>
                <w:color w:val="000000"/>
                <w:sz w:val="22"/>
                <w:szCs w:val="22"/>
              </w:rPr>
            </w:pPr>
          </w:p>
        </w:tc>
        <w:tc>
          <w:tcPr>
            <w:tcW w:w="552" w:type="pct"/>
            <w:shd w:val="clear" w:color="auto" w:fill="auto"/>
            <w:noWrap/>
            <w:vAlign w:val="bottom"/>
            <w:hideMark/>
          </w:tcPr>
          <w:p w14:paraId="5942707A" w14:textId="77777777" w:rsidR="001F27D2" w:rsidRPr="009170F6" w:rsidRDefault="001F27D2" w:rsidP="009170F6">
            <w:pPr>
              <w:spacing w:before="0" w:after="0"/>
              <w:jc w:val="center"/>
              <w:rPr>
                <w:rFonts w:cs="Calibri"/>
                <w:b/>
                <w:color w:val="000000"/>
                <w:sz w:val="22"/>
                <w:szCs w:val="22"/>
              </w:rPr>
            </w:pPr>
            <w:r w:rsidRPr="009170F6">
              <w:rPr>
                <w:rFonts w:cs="Calibri"/>
                <w:b/>
                <w:color w:val="000000"/>
                <w:sz w:val="22"/>
                <w:szCs w:val="22"/>
              </w:rPr>
              <w:t>2016</w:t>
            </w:r>
          </w:p>
        </w:tc>
        <w:tc>
          <w:tcPr>
            <w:tcW w:w="751" w:type="pct"/>
            <w:shd w:val="clear" w:color="auto" w:fill="auto"/>
            <w:noWrap/>
            <w:vAlign w:val="bottom"/>
            <w:hideMark/>
          </w:tcPr>
          <w:p w14:paraId="64E1E1BE" w14:textId="77777777" w:rsidR="001F27D2" w:rsidRPr="009170F6" w:rsidRDefault="001F27D2" w:rsidP="009170F6">
            <w:pPr>
              <w:spacing w:before="0" w:after="0"/>
              <w:jc w:val="center"/>
              <w:rPr>
                <w:rFonts w:cs="Calibri"/>
                <w:b/>
                <w:color w:val="000000"/>
                <w:sz w:val="22"/>
                <w:szCs w:val="22"/>
              </w:rPr>
            </w:pPr>
            <w:r w:rsidRPr="009170F6">
              <w:rPr>
                <w:rFonts w:cs="Calibri"/>
                <w:b/>
                <w:color w:val="000000"/>
                <w:sz w:val="22"/>
                <w:szCs w:val="22"/>
              </w:rPr>
              <w:t>2032</w:t>
            </w:r>
          </w:p>
        </w:tc>
        <w:tc>
          <w:tcPr>
            <w:tcW w:w="400" w:type="pct"/>
            <w:shd w:val="clear" w:color="auto" w:fill="auto"/>
            <w:noWrap/>
            <w:vAlign w:val="bottom"/>
            <w:hideMark/>
          </w:tcPr>
          <w:p w14:paraId="489E25AB" w14:textId="77777777" w:rsidR="001F27D2" w:rsidRPr="009170F6" w:rsidRDefault="001F27D2" w:rsidP="009170F6">
            <w:pPr>
              <w:spacing w:before="0" w:after="0"/>
              <w:jc w:val="center"/>
              <w:rPr>
                <w:rFonts w:cs="Calibri"/>
                <w:b/>
                <w:color w:val="000000"/>
                <w:sz w:val="22"/>
                <w:szCs w:val="22"/>
              </w:rPr>
            </w:pPr>
            <w:r w:rsidRPr="009170F6">
              <w:rPr>
                <w:rFonts w:cs="Calibri"/>
                <w:b/>
                <w:color w:val="000000"/>
                <w:sz w:val="22"/>
                <w:szCs w:val="22"/>
              </w:rPr>
              <w:t>change</w:t>
            </w:r>
          </w:p>
        </w:tc>
      </w:tr>
      <w:tr w:rsidR="001F27D2" w:rsidRPr="009170F6" w14:paraId="232FAFF9" w14:textId="77777777" w:rsidTr="009170F6">
        <w:tc>
          <w:tcPr>
            <w:tcW w:w="609" w:type="pct"/>
            <w:shd w:val="clear" w:color="auto" w:fill="auto"/>
            <w:noWrap/>
            <w:vAlign w:val="bottom"/>
            <w:hideMark/>
          </w:tcPr>
          <w:p w14:paraId="0C928894" w14:textId="77777777" w:rsidR="001F27D2" w:rsidRPr="009170F6" w:rsidRDefault="001F27D2" w:rsidP="009170F6">
            <w:pPr>
              <w:spacing w:before="0" w:after="0"/>
              <w:rPr>
                <w:rFonts w:cs="Calibri"/>
                <w:color w:val="000000"/>
                <w:sz w:val="22"/>
                <w:szCs w:val="22"/>
              </w:rPr>
            </w:pPr>
            <w:r w:rsidRPr="009170F6">
              <w:rPr>
                <w:rFonts w:cs="Calibri"/>
                <w:color w:val="000000"/>
                <w:sz w:val="22"/>
                <w:szCs w:val="22"/>
              </w:rPr>
              <w:t>15-59</w:t>
            </w:r>
          </w:p>
        </w:tc>
        <w:tc>
          <w:tcPr>
            <w:tcW w:w="631" w:type="pct"/>
            <w:shd w:val="clear" w:color="auto" w:fill="auto"/>
            <w:noWrap/>
            <w:vAlign w:val="bottom"/>
            <w:hideMark/>
          </w:tcPr>
          <w:p w14:paraId="6C8E5DEB"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12,154</w:t>
            </w:r>
          </w:p>
        </w:tc>
        <w:tc>
          <w:tcPr>
            <w:tcW w:w="803" w:type="pct"/>
            <w:shd w:val="clear" w:color="auto" w:fill="auto"/>
            <w:noWrap/>
            <w:vAlign w:val="bottom"/>
            <w:hideMark/>
          </w:tcPr>
          <w:p w14:paraId="2CB5FD81"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10,670</w:t>
            </w:r>
          </w:p>
        </w:tc>
        <w:tc>
          <w:tcPr>
            <w:tcW w:w="602" w:type="pct"/>
            <w:shd w:val="clear" w:color="auto" w:fill="auto"/>
            <w:noWrap/>
            <w:vAlign w:val="bottom"/>
            <w:hideMark/>
          </w:tcPr>
          <w:p w14:paraId="5CCAFE86"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-1,484</w:t>
            </w:r>
          </w:p>
        </w:tc>
        <w:tc>
          <w:tcPr>
            <w:tcW w:w="652" w:type="pct"/>
            <w:shd w:val="clear" w:color="auto" w:fill="auto"/>
            <w:noWrap/>
            <w:vAlign w:val="bottom"/>
            <w:hideMark/>
          </w:tcPr>
          <w:p w14:paraId="72935183"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1.6</w:t>
            </w:r>
          </w:p>
        </w:tc>
        <w:tc>
          <w:tcPr>
            <w:tcW w:w="552" w:type="pct"/>
            <w:shd w:val="clear" w:color="auto" w:fill="auto"/>
            <w:noWrap/>
            <w:vAlign w:val="bottom"/>
            <w:hideMark/>
          </w:tcPr>
          <w:p w14:paraId="18AB11F1"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197</w:t>
            </w:r>
          </w:p>
        </w:tc>
        <w:tc>
          <w:tcPr>
            <w:tcW w:w="751" w:type="pct"/>
            <w:shd w:val="clear" w:color="auto" w:fill="auto"/>
            <w:noWrap/>
            <w:vAlign w:val="bottom"/>
            <w:hideMark/>
          </w:tcPr>
          <w:p w14:paraId="75DC0E0F"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173</w:t>
            </w:r>
          </w:p>
        </w:tc>
        <w:tc>
          <w:tcPr>
            <w:tcW w:w="400" w:type="pct"/>
            <w:shd w:val="clear" w:color="auto" w:fill="auto"/>
            <w:noWrap/>
            <w:vAlign w:val="bottom"/>
            <w:hideMark/>
          </w:tcPr>
          <w:p w14:paraId="1614488B"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-24</w:t>
            </w:r>
          </w:p>
        </w:tc>
      </w:tr>
      <w:tr w:rsidR="001F27D2" w:rsidRPr="009170F6" w14:paraId="236AD96A" w14:textId="77777777" w:rsidTr="009170F6">
        <w:tc>
          <w:tcPr>
            <w:tcW w:w="609" w:type="pct"/>
            <w:shd w:val="clear" w:color="auto" w:fill="auto"/>
            <w:noWrap/>
            <w:vAlign w:val="bottom"/>
            <w:hideMark/>
          </w:tcPr>
          <w:p w14:paraId="777EB520" w14:textId="77777777" w:rsidR="001F27D2" w:rsidRPr="009170F6" w:rsidRDefault="001F27D2" w:rsidP="009170F6">
            <w:pPr>
              <w:spacing w:before="0" w:after="0"/>
              <w:rPr>
                <w:rFonts w:cs="Calibri"/>
                <w:color w:val="000000"/>
                <w:sz w:val="22"/>
                <w:szCs w:val="22"/>
              </w:rPr>
            </w:pPr>
            <w:r w:rsidRPr="009170F6">
              <w:rPr>
                <w:rFonts w:cs="Calibri"/>
                <w:color w:val="000000"/>
                <w:sz w:val="22"/>
                <w:szCs w:val="22"/>
              </w:rPr>
              <w:t>60-84</w:t>
            </w:r>
          </w:p>
        </w:tc>
        <w:tc>
          <w:tcPr>
            <w:tcW w:w="631" w:type="pct"/>
            <w:shd w:val="clear" w:color="auto" w:fill="auto"/>
            <w:noWrap/>
            <w:vAlign w:val="bottom"/>
            <w:hideMark/>
          </w:tcPr>
          <w:p w14:paraId="52F78C60"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10,125</w:t>
            </w:r>
          </w:p>
        </w:tc>
        <w:tc>
          <w:tcPr>
            <w:tcW w:w="803" w:type="pct"/>
            <w:shd w:val="clear" w:color="auto" w:fill="auto"/>
            <w:noWrap/>
            <w:vAlign w:val="bottom"/>
            <w:hideMark/>
          </w:tcPr>
          <w:p w14:paraId="7DD13389"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11,504</w:t>
            </w:r>
          </w:p>
        </w:tc>
        <w:tc>
          <w:tcPr>
            <w:tcW w:w="602" w:type="pct"/>
            <w:shd w:val="clear" w:color="auto" w:fill="auto"/>
            <w:noWrap/>
            <w:vAlign w:val="bottom"/>
            <w:hideMark/>
          </w:tcPr>
          <w:p w14:paraId="5DB307DA"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1,379</w:t>
            </w:r>
          </w:p>
        </w:tc>
        <w:tc>
          <w:tcPr>
            <w:tcW w:w="652" w:type="pct"/>
            <w:shd w:val="clear" w:color="auto" w:fill="auto"/>
            <w:noWrap/>
            <w:vAlign w:val="bottom"/>
            <w:hideMark/>
          </w:tcPr>
          <w:p w14:paraId="3841246A"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8.0</w:t>
            </w:r>
          </w:p>
        </w:tc>
        <w:tc>
          <w:tcPr>
            <w:tcW w:w="552" w:type="pct"/>
            <w:shd w:val="clear" w:color="auto" w:fill="auto"/>
            <w:noWrap/>
            <w:vAlign w:val="bottom"/>
            <w:hideMark/>
          </w:tcPr>
          <w:p w14:paraId="361ED7C4"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810</w:t>
            </w:r>
          </w:p>
        </w:tc>
        <w:tc>
          <w:tcPr>
            <w:tcW w:w="751" w:type="pct"/>
            <w:shd w:val="clear" w:color="auto" w:fill="auto"/>
            <w:noWrap/>
            <w:vAlign w:val="bottom"/>
            <w:hideMark/>
          </w:tcPr>
          <w:p w14:paraId="58484B33"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920</w:t>
            </w:r>
          </w:p>
        </w:tc>
        <w:tc>
          <w:tcPr>
            <w:tcW w:w="400" w:type="pct"/>
            <w:shd w:val="clear" w:color="auto" w:fill="auto"/>
            <w:noWrap/>
            <w:vAlign w:val="bottom"/>
            <w:hideMark/>
          </w:tcPr>
          <w:p w14:paraId="6879CAED"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110</w:t>
            </w:r>
          </w:p>
        </w:tc>
      </w:tr>
      <w:tr w:rsidR="001F27D2" w:rsidRPr="009170F6" w14:paraId="1E701E81" w14:textId="77777777" w:rsidTr="009170F6">
        <w:tc>
          <w:tcPr>
            <w:tcW w:w="609" w:type="pct"/>
            <w:shd w:val="clear" w:color="auto" w:fill="auto"/>
            <w:noWrap/>
            <w:vAlign w:val="bottom"/>
            <w:hideMark/>
          </w:tcPr>
          <w:p w14:paraId="55237FE3" w14:textId="77777777" w:rsidR="001F27D2" w:rsidRPr="009170F6" w:rsidRDefault="001F27D2" w:rsidP="009170F6">
            <w:pPr>
              <w:spacing w:before="0" w:after="0"/>
              <w:rPr>
                <w:rFonts w:cs="Calibri"/>
                <w:color w:val="000000"/>
                <w:sz w:val="22"/>
                <w:szCs w:val="22"/>
              </w:rPr>
            </w:pPr>
            <w:r w:rsidRPr="009170F6">
              <w:rPr>
                <w:rFonts w:cs="Calibri"/>
                <w:color w:val="000000"/>
                <w:sz w:val="22"/>
                <w:szCs w:val="22"/>
              </w:rPr>
              <w:t>85+</w:t>
            </w:r>
          </w:p>
        </w:tc>
        <w:tc>
          <w:tcPr>
            <w:tcW w:w="631" w:type="pct"/>
            <w:shd w:val="clear" w:color="auto" w:fill="auto"/>
            <w:noWrap/>
            <w:vAlign w:val="bottom"/>
            <w:hideMark/>
          </w:tcPr>
          <w:p w14:paraId="4DEE1323"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1,355</w:t>
            </w:r>
          </w:p>
        </w:tc>
        <w:tc>
          <w:tcPr>
            <w:tcW w:w="803" w:type="pct"/>
            <w:shd w:val="clear" w:color="auto" w:fill="auto"/>
            <w:noWrap/>
            <w:vAlign w:val="bottom"/>
            <w:hideMark/>
          </w:tcPr>
          <w:p w14:paraId="4161003A"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2,511</w:t>
            </w:r>
          </w:p>
        </w:tc>
        <w:tc>
          <w:tcPr>
            <w:tcW w:w="602" w:type="pct"/>
            <w:shd w:val="clear" w:color="auto" w:fill="auto"/>
            <w:noWrap/>
            <w:vAlign w:val="bottom"/>
            <w:hideMark/>
          </w:tcPr>
          <w:p w14:paraId="41529B18"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1,156</w:t>
            </w:r>
          </w:p>
        </w:tc>
        <w:tc>
          <w:tcPr>
            <w:tcW w:w="652" w:type="pct"/>
            <w:shd w:val="clear" w:color="auto" w:fill="auto"/>
            <w:noWrap/>
            <w:vAlign w:val="bottom"/>
            <w:hideMark/>
          </w:tcPr>
          <w:p w14:paraId="1914C262"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15.2</w:t>
            </w:r>
          </w:p>
        </w:tc>
        <w:tc>
          <w:tcPr>
            <w:tcW w:w="552" w:type="pct"/>
            <w:shd w:val="clear" w:color="auto" w:fill="auto"/>
            <w:noWrap/>
            <w:vAlign w:val="bottom"/>
            <w:hideMark/>
          </w:tcPr>
          <w:p w14:paraId="4C71FB33"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207</w:t>
            </w:r>
          </w:p>
        </w:tc>
        <w:tc>
          <w:tcPr>
            <w:tcW w:w="751" w:type="pct"/>
            <w:shd w:val="clear" w:color="auto" w:fill="auto"/>
            <w:noWrap/>
            <w:vAlign w:val="bottom"/>
            <w:hideMark/>
          </w:tcPr>
          <w:p w14:paraId="4BBEA5F3"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383</w:t>
            </w:r>
          </w:p>
        </w:tc>
        <w:tc>
          <w:tcPr>
            <w:tcW w:w="400" w:type="pct"/>
            <w:shd w:val="clear" w:color="auto" w:fill="auto"/>
            <w:noWrap/>
            <w:vAlign w:val="bottom"/>
            <w:hideMark/>
          </w:tcPr>
          <w:p w14:paraId="6BF12D9F"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176</w:t>
            </w:r>
          </w:p>
        </w:tc>
      </w:tr>
      <w:tr w:rsidR="001F27D2" w:rsidRPr="009170F6" w14:paraId="7478951F" w14:textId="77777777" w:rsidTr="009170F6">
        <w:tc>
          <w:tcPr>
            <w:tcW w:w="609" w:type="pct"/>
            <w:shd w:val="clear" w:color="auto" w:fill="auto"/>
            <w:noWrap/>
            <w:vAlign w:val="bottom"/>
            <w:hideMark/>
          </w:tcPr>
          <w:p w14:paraId="4E4F0A83" w14:textId="77777777" w:rsidR="001F27D2" w:rsidRPr="009170F6" w:rsidRDefault="001F27D2" w:rsidP="009170F6">
            <w:pPr>
              <w:spacing w:before="0" w:after="0"/>
              <w:rPr>
                <w:rFonts w:cs="Calibri"/>
                <w:color w:val="000000"/>
                <w:sz w:val="22"/>
                <w:szCs w:val="22"/>
              </w:rPr>
            </w:pPr>
            <w:r w:rsidRPr="009170F6">
              <w:rPr>
                <w:rFonts w:cs="Calibri"/>
                <w:color w:val="000000"/>
                <w:sz w:val="22"/>
                <w:szCs w:val="22"/>
              </w:rPr>
              <w:t>Total</w:t>
            </w:r>
          </w:p>
        </w:tc>
        <w:tc>
          <w:tcPr>
            <w:tcW w:w="631" w:type="pct"/>
            <w:shd w:val="clear" w:color="auto" w:fill="auto"/>
            <w:noWrap/>
            <w:vAlign w:val="bottom"/>
            <w:hideMark/>
          </w:tcPr>
          <w:p w14:paraId="495320A7" w14:textId="77777777" w:rsidR="001F27D2" w:rsidRPr="009170F6" w:rsidRDefault="001F27D2" w:rsidP="009170F6">
            <w:pPr>
              <w:spacing w:before="0" w:after="0"/>
              <w:jc w:val="center"/>
              <w:rPr>
                <w:rFonts w:cs="Calibri"/>
                <w:b/>
                <w:color w:val="000000"/>
                <w:sz w:val="22"/>
                <w:szCs w:val="22"/>
              </w:rPr>
            </w:pPr>
            <w:r w:rsidRPr="009170F6">
              <w:rPr>
                <w:rFonts w:cs="Calibri"/>
                <w:color w:val="000000"/>
                <w:sz w:val="22"/>
                <w:szCs w:val="22"/>
              </w:rPr>
              <w:t>23,633</w:t>
            </w:r>
          </w:p>
        </w:tc>
        <w:tc>
          <w:tcPr>
            <w:tcW w:w="803" w:type="pct"/>
            <w:shd w:val="clear" w:color="auto" w:fill="auto"/>
            <w:noWrap/>
            <w:vAlign w:val="bottom"/>
            <w:hideMark/>
          </w:tcPr>
          <w:p w14:paraId="15187113" w14:textId="77777777" w:rsidR="001F27D2" w:rsidRPr="009170F6" w:rsidRDefault="001F27D2" w:rsidP="009170F6">
            <w:pPr>
              <w:spacing w:before="0" w:after="0"/>
              <w:jc w:val="center"/>
              <w:rPr>
                <w:rFonts w:cs="Calibri"/>
                <w:b/>
                <w:color w:val="000000"/>
                <w:sz w:val="22"/>
                <w:szCs w:val="22"/>
              </w:rPr>
            </w:pPr>
            <w:r w:rsidRPr="009170F6">
              <w:rPr>
                <w:rFonts w:cs="Calibri"/>
                <w:color w:val="000000"/>
                <w:sz w:val="22"/>
                <w:szCs w:val="22"/>
              </w:rPr>
              <w:t>24,685</w:t>
            </w:r>
          </w:p>
        </w:tc>
        <w:tc>
          <w:tcPr>
            <w:tcW w:w="602" w:type="pct"/>
            <w:shd w:val="clear" w:color="auto" w:fill="auto"/>
            <w:noWrap/>
            <w:vAlign w:val="bottom"/>
            <w:hideMark/>
          </w:tcPr>
          <w:p w14:paraId="65B6A78A" w14:textId="77777777" w:rsidR="001F27D2" w:rsidRPr="009170F6" w:rsidRDefault="001F27D2" w:rsidP="009170F6">
            <w:pPr>
              <w:spacing w:before="0" w:after="0"/>
              <w:jc w:val="center"/>
              <w:rPr>
                <w:rFonts w:cs="Calibri"/>
                <w:b/>
                <w:color w:val="000000"/>
                <w:sz w:val="22"/>
                <w:szCs w:val="22"/>
              </w:rPr>
            </w:pPr>
            <w:r w:rsidRPr="009170F6">
              <w:rPr>
                <w:rFonts w:cs="Calibri"/>
                <w:color w:val="000000"/>
                <w:sz w:val="22"/>
                <w:szCs w:val="22"/>
              </w:rPr>
              <w:t>1,051</w:t>
            </w:r>
          </w:p>
        </w:tc>
        <w:tc>
          <w:tcPr>
            <w:tcW w:w="652" w:type="pct"/>
            <w:shd w:val="clear" w:color="auto" w:fill="auto"/>
            <w:noWrap/>
            <w:vAlign w:val="bottom"/>
            <w:hideMark/>
          </w:tcPr>
          <w:p w14:paraId="2B463778"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4.9</w:t>
            </w:r>
          </w:p>
        </w:tc>
        <w:tc>
          <w:tcPr>
            <w:tcW w:w="552" w:type="pct"/>
            <w:shd w:val="clear" w:color="auto" w:fill="auto"/>
            <w:noWrap/>
            <w:vAlign w:val="bottom"/>
            <w:hideMark/>
          </w:tcPr>
          <w:p w14:paraId="3FCAC45F"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1214</w:t>
            </w:r>
          </w:p>
        </w:tc>
        <w:tc>
          <w:tcPr>
            <w:tcW w:w="751" w:type="pct"/>
            <w:shd w:val="clear" w:color="auto" w:fill="auto"/>
            <w:noWrap/>
            <w:vAlign w:val="bottom"/>
            <w:hideMark/>
          </w:tcPr>
          <w:p w14:paraId="60DC38D1"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1476</w:t>
            </w:r>
          </w:p>
        </w:tc>
        <w:tc>
          <w:tcPr>
            <w:tcW w:w="400" w:type="pct"/>
            <w:shd w:val="clear" w:color="auto" w:fill="auto"/>
            <w:noWrap/>
            <w:vAlign w:val="bottom"/>
            <w:hideMark/>
          </w:tcPr>
          <w:p w14:paraId="7B7C8EA0"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263</w:t>
            </w:r>
          </w:p>
        </w:tc>
      </w:tr>
      <w:tr w:rsidR="001F27D2" w:rsidRPr="009170F6" w14:paraId="228E4BD3" w14:textId="77777777" w:rsidTr="009170F6">
        <w:tc>
          <w:tcPr>
            <w:tcW w:w="609" w:type="pct"/>
            <w:shd w:val="clear" w:color="auto" w:fill="auto"/>
            <w:noWrap/>
            <w:hideMark/>
          </w:tcPr>
          <w:p w14:paraId="50FDAFFC" w14:textId="77777777" w:rsidR="001F27D2" w:rsidRPr="009170F6" w:rsidRDefault="001F27D2" w:rsidP="009170F6">
            <w:pPr>
              <w:spacing w:before="0" w:after="0"/>
              <w:rPr>
                <w:rFonts w:cs="Calibri"/>
                <w:color w:val="000000"/>
                <w:sz w:val="22"/>
                <w:szCs w:val="22"/>
              </w:rPr>
            </w:pPr>
            <w:r w:rsidRPr="009170F6">
              <w:rPr>
                <w:rFonts w:cs="Calibri"/>
                <w:color w:val="000000"/>
                <w:sz w:val="22"/>
                <w:szCs w:val="22"/>
              </w:rPr>
              <w:t>Source</w:t>
            </w:r>
          </w:p>
        </w:tc>
        <w:tc>
          <w:tcPr>
            <w:tcW w:w="631" w:type="pct"/>
            <w:shd w:val="clear" w:color="auto" w:fill="auto"/>
            <w:noWrap/>
            <w:hideMark/>
          </w:tcPr>
          <w:p w14:paraId="671C80FC" w14:textId="75B10EF6"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2018 figure from DCLG 2014-Based</w:t>
            </w:r>
            <w:r w:rsidR="009170F6">
              <w:rPr>
                <w:rFonts w:cs="Calibri"/>
                <w:color w:val="000000"/>
                <w:sz w:val="22"/>
                <w:szCs w:val="22"/>
              </w:rPr>
              <w:t xml:space="preserve"> </w:t>
            </w:r>
            <w:r w:rsidRPr="009170F6">
              <w:rPr>
                <w:rFonts w:cs="Calibri"/>
                <w:color w:val="000000"/>
                <w:sz w:val="22"/>
                <w:szCs w:val="22"/>
              </w:rPr>
              <w:t>household projections</w:t>
            </w:r>
          </w:p>
        </w:tc>
        <w:tc>
          <w:tcPr>
            <w:tcW w:w="803" w:type="pct"/>
            <w:shd w:val="clear" w:color="auto" w:fill="auto"/>
            <w:noWrap/>
            <w:hideMark/>
          </w:tcPr>
          <w:p w14:paraId="300A9854" w14:textId="53A14D83"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2032 figure from DCLG 2014-Based</w:t>
            </w:r>
            <w:r w:rsidR="009170F6">
              <w:rPr>
                <w:rFonts w:cs="Calibri"/>
                <w:color w:val="000000"/>
                <w:sz w:val="22"/>
                <w:szCs w:val="22"/>
              </w:rPr>
              <w:t xml:space="preserve"> </w:t>
            </w:r>
            <w:r w:rsidRPr="009170F6">
              <w:rPr>
                <w:rFonts w:cs="Calibri"/>
                <w:color w:val="000000"/>
                <w:sz w:val="22"/>
                <w:szCs w:val="22"/>
              </w:rPr>
              <w:t>household projections</w:t>
            </w:r>
          </w:p>
        </w:tc>
        <w:tc>
          <w:tcPr>
            <w:tcW w:w="602" w:type="pct"/>
            <w:shd w:val="clear" w:color="auto" w:fill="auto"/>
            <w:noWrap/>
            <w:hideMark/>
          </w:tcPr>
          <w:p w14:paraId="21829999" w14:textId="77777777" w:rsidR="001F27D2" w:rsidRPr="009170F6" w:rsidRDefault="001F27D2" w:rsidP="009170F6">
            <w:pPr>
              <w:spacing w:before="0" w:after="0"/>
              <w:jc w:val="center"/>
              <w:rPr>
                <w:rFonts w:cs="Calibri"/>
                <w:color w:val="000000"/>
                <w:sz w:val="22"/>
                <w:szCs w:val="22"/>
              </w:rPr>
            </w:pPr>
          </w:p>
        </w:tc>
        <w:tc>
          <w:tcPr>
            <w:tcW w:w="652" w:type="pct"/>
            <w:shd w:val="clear" w:color="auto" w:fill="auto"/>
            <w:hideMark/>
          </w:tcPr>
          <w:p w14:paraId="2A4B41B6"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2018 Household Survey</w:t>
            </w:r>
          </w:p>
        </w:tc>
        <w:tc>
          <w:tcPr>
            <w:tcW w:w="552" w:type="pct"/>
            <w:shd w:val="clear" w:color="auto" w:fill="auto"/>
            <w:hideMark/>
          </w:tcPr>
          <w:p w14:paraId="2424AB03"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 xml:space="preserve">Applied to 2018 households </w:t>
            </w:r>
          </w:p>
        </w:tc>
        <w:tc>
          <w:tcPr>
            <w:tcW w:w="751" w:type="pct"/>
            <w:shd w:val="clear" w:color="auto" w:fill="auto"/>
            <w:hideMark/>
          </w:tcPr>
          <w:p w14:paraId="2DC163A7"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Applied to 2032 households using 2014-based DCLG projections</w:t>
            </w:r>
          </w:p>
        </w:tc>
        <w:tc>
          <w:tcPr>
            <w:tcW w:w="400" w:type="pct"/>
            <w:shd w:val="clear" w:color="auto" w:fill="auto"/>
            <w:noWrap/>
            <w:hideMark/>
          </w:tcPr>
          <w:p w14:paraId="6F18B96C" w14:textId="77777777" w:rsidR="001F27D2" w:rsidRPr="009170F6" w:rsidRDefault="001F27D2" w:rsidP="009170F6">
            <w:pPr>
              <w:spacing w:before="0" w:after="0"/>
              <w:jc w:val="center"/>
              <w:rPr>
                <w:rFonts w:cs="Calibri"/>
                <w:color w:val="000000"/>
                <w:sz w:val="22"/>
                <w:szCs w:val="22"/>
              </w:rPr>
            </w:pPr>
          </w:p>
        </w:tc>
      </w:tr>
    </w:tbl>
    <w:p w14:paraId="47FFA8F5" w14:textId="77777777" w:rsidR="001F27D2" w:rsidRPr="002B2A7F" w:rsidRDefault="001F27D2" w:rsidP="001F27D2">
      <w:pPr>
        <w:pStyle w:val="Reporttext"/>
        <w:numPr>
          <w:ilvl w:val="0"/>
          <w:numId w:val="0"/>
        </w:numPr>
        <w:rPr>
          <w:shd w:val="clear" w:color="auto" w:fill="FFFFFF"/>
        </w:rPr>
      </w:pPr>
    </w:p>
    <w:p w14:paraId="36018789" w14:textId="77777777" w:rsidR="001F27D2" w:rsidRPr="002B2A7F" w:rsidRDefault="001F27D2" w:rsidP="001F27D2">
      <w:pPr>
        <w:pStyle w:val="Reporttext"/>
        <w:numPr>
          <w:ilvl w:val="0"/>
          <w:numId w:val="0"/>
        </w:numPr>
        <w:rPr>
          <w:shd w:val="clear" w:color="auto" w:fill="FFFFFF"/>
        </w:rPr>
        <w:sectPr w:rsidR="001F27D2" w:rsidRPr="002B2A7F" w:rsidSect="001F27D2">
          <w:headerReference w:type="default" r:id="rId59"/>
          <w:footerReference w:type="default" r:id="rId60"/>
          <w:pgSz w:w="16838" w:h="11906" w:orient="landscape" w:code="9"/>
          <w:pgMar w:top="1276" w:right="1134" w:bottom="1440" w:left="1440" w:header="709" w:footer="567" w:gutter="0"/>
          <w:cols w:space="708"/>
          <w:docGrid w:linePitch="360"/>
        </w:sectPr>
      </w:pPr>
    </w:p>
    <w:p w14:paraId="2A8B79BA" w14:textId="33CF6B87" w:rsidR="001F27D2" w:rsidRDefault="001F27D2" w:rsidP="001F27D2">
      <w:pPr>
        <w:pStyle w:val="Reporttext"/>
        <w:rPr>
          <w:shd w:val="clear" w:color="auto" w:fill="FFFFFF"/>
        </w:rPr>
      </w:pPr>
      <w:r w:rsidRPr="002B2A7F">
        <w:lastRenderedPageBreak/>
        <w:t>Residents</w:t>
      </w:r>
      <w:r w:rsidRPr="002B2A7F">
        <w:rPr>
          <w:shd w:val="clear" w:color="auto" w:fill="FFFFFF"/>
        </w:rPr>
        <w:t xml:space="preserve"> in 1.1% of all properties across the </w:t>
      </w:r>
      <w:r w:rsidR="00F01167">
        <w:rPr>
          <w:shd w:val="clear" w:color="auto" w:fill="FFFFFF"/>
        </w:rPr>
        <w:t>D</w:t>
      </w:r>
      <w:r w:rsidRPr="002B2A7F">
        <w:rPr>
          <w:shd w:val="clear" w:color="auto" w:fill="FFFFFF"/>
        </w:rPr>
        <w:t xml:space="preserve">istrict have stated that someone in their household uses a wheelchair. Demographic modelling of data would suggest that the number of wheelchair accessible dwellings needs to increase by 12 dwellings over the </w:t>
      </w:r>
      <w:r w:rsidR="00F01167">
        <w:rPr>
          <w:shd w:val="clear" w:color="auto" w:fill="FFFFFF"/>
        </w:rPr>
        <w:t>P</w:t>
      </w:r>
      <w:r w:rsidRPr="002B2A7F">
        <w:rPr>
          <w:shd w:val="clear" w:color="auto" w:fill="FFFFFF"/>
        </w:rPr>
        <w:t xml:space="preserve">lan </w:t>
      </w:r>
      <w:r w:rsidR="00F01167">
        <w:rPr>
          <w:shd w:val="clear" w:color="auto" w:fill="FFFFFF"/>
        </w:rPr>
        <w:t>P</w:t>
      </w:r>
      <w:r w:rsidRPr="002B2A7F">
        <w:rPr>
          <w:shd w:val="clear" w:color="auto" w:fill="FFFFFF"/>
        </w:rPr>
        <w:t xml:space="preserve">eriod to 2032. </w:t>
      </w:r>
    </w:p>
    <w:p w14:paraId="022D8BFD" w14:textId="4186318B" w:rsidR="008C5DEC" w:rsidRDefault="008C5DEC" w:rsidP="008C5DEC">
      <w:pPr>
        <w:pStyle w:val="Reporttext"/>
        <w:jc w:val="left"/>
        <w:rPr>
          <w:color w:val="000000" w:themeColor="text1"/>
          <w:shd w:val="clear" w:color="auto" w:fill="FFFFFF"/>
        </w:rPr>
      </w:pPr>
      <w:r w:rsidRPr="008C5DEC">
        <w:rPr>
          <w:shd w:val="clear" w:color="auto" w:fill="FFFFFF"/>
        </w:rPr>
        <w:t xml:space="preserve">Eden District supplied information regarding </w:t>
      </w:r>
      <w:r>
        <w:rPr>
          <w:shd w:val="clear" w:color="auto" w:fill="FFFFFF"/>
        </w:rPr>
        <w:t>D</w:t>
      </w:r>
      <w:r w:rsidRPr="008C5DEC">
        <w:rPr>
          <w:shd w:val="clear" w:color="auto" w:fill="FFFFFF"/>
        </w:rPr>
        <w:t xml:space="preserve">isabled </w:t>
      </w:r>
      <w:r>
        <w:rPr>
          <w:shd w:val="clear" w:color="auto" w:fill="FFFFFF"/>
        </w:rPr>
        <w:t>F</w:t>
      </w:r>
      <w:r w:rsidRPr="008C5DEC">
        <w:rPr>
          <w:shd w:val="clear" w:color="auto" w:fill="FFFFFF"/>
        </w:rPr>
        <w:t xml:space="preserve">acilities </w:t>
      </w:r>
      <w:r>
        <w:rPr>
          <w:shd w:val="clear" w:color="auto" w:fill="FFFFFF"/>
        </w:rPr>
        <w:t>G</w:t>
      </w:r>
      <w:r w:rsidRPr="008C5DEC">
        <w:rPr>
          <w:shd w:val="clear" w:color="auto" w:fill="FFFFFF"/>
        </w:rPr>
        <w:t xml:space="preserve">rants (DFG) made for each of 3 years 2015/6 to 2017/8.  Figure </w:t>
      </w:r>
      <w:r w:rsidR="003C127A">
        <w:rPr>
          <w:shd w:val="clear" w:color="auto" w:fill="FFFFFF"/>
        </w:rPr>
        <w:t>6.3</w:t>
      </w:r>
      <w:r w:rsidRPr="008C5DEC">
        <w:rPr>
          <w:shd w:val="clear" w:color="auto" w:fill="FFFFFF"/>
        </w:rPr>
        <w:t xml:space="preserve"> shows that 175 applications were assessed however 65 were subsequently withdrawn. </w:t>
      </w:r>
      <w:r w:rsidRPr="008C5DEC">
        <w:rPr>
          <w:color w:val="000000" w:themeColor="text1"/>
          <w:shd w:val="clear" w:color="auto" w:fill="FFFFFF"/>
        </w:rPr>
        <w:t>Some assessments involved more than one adaptation and 233 adaptations were completed using DFG funding.  We undertook further analysis on the major adaptations in the form of bathing</w:t>
      </w:r>
      <w:r w:rsidR="00287B4A">
        <w:rPr>
          <w:color w:val="000000" w:themeColor="text1"/>
          <w:shd w:val="clear" w:color="auto" w:fill="FFFFFF"/>
        </w:rPr>
        <w:t xml:space="preserve"> </w:t>
      </w:r>
      <w:r w:rsidRPr="008C5DEC">
        <w:rPr>
          <w:color w:val="000000" w:themeColor="text1"/>
          <w:shd w:val="clear" w:color="auto" w:fill="FFFFFF"/>
        </w:rPr>
        <w:t xml:space="preserve">adaptations, such as installation of fixed showers, lifts to avoid steps and stairs such as stair lifts and building extensions. Around 30% of DFGs were made to registered social landlords the remainder mostly to home owners with a small proportion of private rented homes. </w:t>
      </w:r>
    </w:p>
    <w:p w14:paraId="542771BE" w14:textId="0A70FF03" w:rsidR="003106AD" w:rsidRDefault="003106AD" w:rsidP="003106AD">
      <w:pPr>
        <w:pStyle w:val="Reporttext"/>
        <w:numPr>
          <w:ilvl w:val="0"/>
          <w:numId w:val="0"/>
        </w:numPr>
        <w:ind w:left="709"/>
        <w:jc w:val="left"/>
        <w:rPr>
          <w:color w:val="000000" w:themeColor="text1"/>
          <w:shd w:val="clear" w:color="auto" w:fill="FFFFFF"/>
        </w:rPr>
      </w:pPr>
    </w:p>
    <w:p w14:paraId="2BF3DEC6" w14:textId="1C028349" w:rsidR="003106AD" w:rsidRPr="008C5DEC" w:rsidRDefault="003106AD" w:rsidP="003106AD">
      <w:pPr>
        <w:pStyle w:val="Figureheading0"/>
        <w:rPr>
          <w:color w:val="000000" w:themeColor="text1"/>
          <w:shd w:val="clear" w:color="auto" w:fill="FFFFFF"/>
        </w:rPr>
      </w:pPr>
      <w:bookmarkStart w:id="545" w:name="_Toc532812531"/>
      <w:r w:rsidRPr="00287B4A">
        <w:t xml:space="preserve">Figure </w:t>
      </w:r>
      <w:r>
        <w:t>6.3</w:t>
      </w:r>
      <w:r>
        <w:tab/>
      </w:r>
      <w:r w:rsidRPr="00287B4A">
        <w:t>Analysis of major adaptations</w:t>
      </w:r>
      <w:bookmarkEnd w:id="545"/>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1339"/>
        <w:gridCol w:w="683"/>
        <w:gridCol w:w="1251"/>
        <w:gridCol w:w="1218"/>
        <w:gridCol w:w="940"/>
        <w:gridCol w:w="1218"/>
        <w:gridCol w:w="919"/>
        <w:gridCol w:w="509"/>
        <w:gridCol w:w="1108"/>
      </w:tblGrid>
      <w:tr w:rsidR="008C5DEC" w:rsidRPr="008C5DEC" w14:paraId="154C53CF" w14:textId="77777777" w:rsidTr="003106AD">
        <w:trPr>
          <w:trHeight w:val="320"/>
        </w:trPr>
        <w:tc>
          <w:tcPr>
            <w:tcW w:w="796" w:type="pct"/>
            <w:tcBorders>
              <w:top w:val="nil"/>
              <w:left w:val="nil"/>
            </w:tcBorders>
            <w:shd w:val="clear" w:color="000000" w:fill="FFFFFF"/>
            <w:noWrap/>
            <w:vAlign w:val="bottom"/>
            <w:hideMark/>
          </w:tcPr>
          <w:p w14:paraId="178D76B2" w14:textId="77777777" w:rsidR="008C5DEC" w:rsidRPr="00287B4A" w:rsidRDefault="008C5DEC" w:rsidP="00D256ED">
            <w:pPr>
              <w:rPr>
                <w:rFonts w:asciiTheme="minorHAnsi" w:hAnsiTheme="minorHAnsi" w:cstheme="minorHAnsi"/>
                <w:color w:val="000000" w:themeColor="text1"/>
                <w:sz w:val="22"/>
                <w:szCs w:val="22"/>
              </w:rPr>
            </w:pPr>
            <w:r w:rsidRPr="00287B4A">
              <w:rPr>
                <w:rFonts w:asciiTheme="minorHAnsi" w:hAnsiTheme="minorHAnsi" w:cstheme="minorHAnsi"/>
                <w:color w:val="000000" w:themeColor="text1"/>
                <w:sz w:val="22"/>
                <w:szCs w:val="22"/>
              </w:rPr>
              <w:t> </w:t>
            </w:r>
          </w:p>
        </w:tc>
        <w:tc>
          <w:tcPr>
            <w:tcW w:w="1684" w:type="pct"/>
            <w:gridSpan w:val="3"/>
            <w:shd w:val="clear" w:color="auto" w:fill="009999"/>
            <w:noWrap/>
            <w:vAlign w:val="bottom"/>
            <w:hideMark/>
          </w:tcPr>
          <w:p w14:paraId="290F50E0" w14:textId="77777777" w:rsidR="008C5DEC" w:rsidRPr="003106AD" w:rsidRDefault="008C5DEC" w:rsidP="00D256ED">
            <w:pPr>
              <w:jc w:val="center"/>
              <w:rPr>
                <w:rFonts w:asciiTheme="minorHAnsi" w:hAnsiTheme="minorHAnsi" w:cstheme="minorHAnsi"/>
                <w:b/>
                <w:color w:val="FFFFFF" w:themeColor="background1"/>
                <w:sz w:val="22"/>
                <w:szCs w:val="22"/>
              </w:rPr>
            </w:pPr>
            <w:r w:rsidRPr="003106AD">
              <w:rPr>
                <w:rFonts w:asciiTheme="minorHAnsi" w:hAnsiTheme="minorHAnsi" w:cstheme="minorHAnsi"/>
                <w:b/>
                <w:color w:val="FFFFFF" w:themeColor="background1"/>
                <w:sz w:val="22"/>
                <w:szCs w:val="22"/>
              </w:rPr>
              <w:t>Assessments</w:t>
            </w:r>
          </w:p>
        </w:tc>
        <w:tc>
          <w:tcPr>
            <w:tcW w:w="2520" w:type="pct"/>
            <w:gridSpan w:val="5"/>
            <w:shd w:val="clear" w:color="auto" w:fill="009999"/>
            <w:noWrap/>
            <w:vAlign w:val="bottom"/>
            <w:hideMark/>
          </w:tcPr>
          <w:p w14:paraId="4B9E5C6B" w14:textId="77777777" w:rsidR="008C5DEC" w:rsidRPr="003106AD" w:rsidRDefault="008C5DEC" w:rsidP="00D256ED">
            <w:pPr>
              <w:jc w:val="center"/>
              <w:rPr>
                <w:rFonts w:asciiTheme="minorHAnsi" w:hAnsiTheme="minorHAnsi" w:cstheme="minorHAnsi"/>
                <w:b/>
                <w:color w:val="FFFFFF" w:themeColor="background1"/>
                <w:sz w:val="22"/>
                <w:szCs w:val="22"/>
              </w:rPr>
            </w:pPr>
            <w:r w:rsidRPr="003106AD">
              <w:rPr>
                <w:rFonts w:asciiTheme="minorHAnsi" w:hAnsiTheme="minorHAnsi" w:cstheme="minorHAnsi"/>
                <w:b/>
                <w:color w:val="FFFFFF" w:themeColor="background1"/>
                <w:sz w:val="22"/>
                <w:szCs w:val="22"/>
              </w:rPr>
              <w:t>Adaptations</w:t>
            </w:r>
          </w:p>
        </w:tc>
      </w:tr>
      <w:tr w:rsidR="008C5DEC" w:rsidRPr="008C5DEC" w14:paraId="4759F9E7" w14:textId="77777777" w:rsidTr="003106AD">
        <w:trPr>
          <w:trHeight w:val="320"/>
        </w:trPr>
        <w:tc>
          <w:tcPr>
            <w:tcW w:w="796" w:type="pct"/>
            <w:shd w:val="clear" w:color="auto" w:fill="009999"/>
            <w:noWrap/>
            <w:vAlign w:val="bottom"/>
            <w:hideMark/>
          </w:tcPr>
          <w:p w14:paraId="2C37E4FF" w14:textId="77777777" w:rsidR="008C5DEC" w:rsidRPr="003106AD" w:rsidRDefault="008C5DEC" w:rsidP="00D256ED">
            <w:pPr>
              <w:rPr>
                <w:rFonts w:asciiTheme="minorHAnsi" w:hAnsiTheme="minorHAnsi" w:cstheme="minorHAnsi"/>
                <w:b/>
                <w:color w:val="FFFFFF" w:themeColor="background1"/>
                <w:sz w:val="22"/>
                <w:szCs w:val="22"/>
              </w:rPr>
            </w:pPr>
            <w:r w:rsidRPr="003106AD">
              <w:rPr>
                <w:rFonts w:asciiTheme="minorHAnsi" w:hAnsiTheme="minorHAnsi" w:cstheme="minorHAnsi"/>
                <w:b/>
                <w:color w:val="FFFFFF" w:themeColor="background1"/>
                <w:sz w:val="22"/>
                <w:szCs w:val="22"/>
              </w:rPr>
              <w:t>Year</w:t>
            </w:r>
          </w:p>
        </w:tc>
        <w:tc>
          <w:tcPr>
            <w:tcW w:w="364" w:type="pct"/>
            <w:shd w:val="clear" w:color="000000" w:fill="FFFFFF"/>
            <w:noWrap/>
            <w:vAlign w:val="bottom"/>
            <w:hideMark/>
          </w:tcPr>
          <w:p w14:paraId="7758D856" w14:textId="77777777" w:rsidR="008C5DEC" w:rsidRPr="003106AD" w:rsidRDefault="008C5DEC" w:rsidP="003106AD">
            <w:pPr>
              <w:jc w:val="center"/>
              <w:rPr>
                <w:rFonts w:asciiTheme="minorHAnsi" w:hAnsiTheme="minorHAnsi" w:cstheme="minorHAnsi"/>
                <w:b/>
                <w:color w:val="000000" w:themeColor="text1"/>
                <w:sz w:val="22"/>
                <w:szCs w:val="22"/>
              </w:rPr>
            </w:pPr>
            <w:r w:rsidRPr="003106AD">
              <w:rPr>
                <w:rFonts w:asciiTheme="minorHAnsi" w:hAnsiTheme="minorHAnsi" w:cstheme="minorHAnsi"/>
                <w:b/>
                <w:color w:val="000000" w:themeColor="text1"/>
                <w:sz w:val="22"/>
                <w:szCs w:val="22"/>
              </w:rPr>
              <w:t>Total</w:t>
            </w:r>
          </w:p>
        </w:tc>
        <w:tc>
          <w:tcPr>
            <w:tcW w:w="666" w:type="pct"/>
            <w:shd w:val="clear" w:color="000000" w:fill="FFFFFF"/>
            <w:noWrap/>
            <w:vAlign w:val="bottom"/>
            <w:hideMark/>
          </w:tcPr>
          <w:p w14:paraId="267042F2" w14:textId="77777777" w:rsidR="008C5DEC" w:rsidRPr="003106AD" w:rsidRDefault="008C5DEC" w:rsidP="003106AD">
            <w:pPr>
              <w:jc w:val="center"/>
              <w:rPr>
                <w:rFonts w:asciiTheme="minorHAnsi" w:hAnsiTheme="minorHAnsi" w:cstheme="minorHAnsi"/>
                <w:b/>
                <w:color w:val="000000" w:themeColor="text1"/>
                <w:sz w:val="22"/>
                <w:szCs w:val="22"/>
              </w:rPr>
            </w:pPr>
            <w:r w:rsidRPr="003106AD">
              <w:rPr>
                <w:rFonts w:asciiTheme="minorHAnsi" w:hAnsiTheme="minorHAnsi" w:cstheme="minorHAnsi"/>
                <w:b/>
                <w:color w:val="000000" w:themeColor="text1"/>
                <w:sz w:val="22"/>
                <w:szCs w:val="22"/>
              </w:rPr>
              <w:t>Withdrawn</w:t>
            </w:r>
          </w:p>
        </w:tc>
        <w:tc>
          <w:tcPr>
            <w:tcW w:w="654" w:type="pct"/>
            <w:shd w:val="clear" w:color="000000" w:fill="FFFFFF"/>
            <w:noWrap/>
            <w:vAlign w:val="bottom"/>
            <w:hideMark/>
          </w:tcPr>
          <w:p w14:paraId="3BC50060" w14:textId="77777777" w:rsidR="008C5DEC" w:rsidRPr="003106AD" w:rsidRDefault="008C5DEC" w:rsidP="003106AD">
            <w:pPr>
              <w:jc w:val="center"/>
              <w:rPr>
                <w:rFonts w:asciiTheme="minorHAnsi" w:hAnsiTheme="minorHAnsi" w:cstheme="minorHAnsi"/>
                <w:b/>
                <w:color w:val="000000" w:themeColor="text1"/>
                <w:sz w:val="22"/>
                <w:szCs w:val="22"/>
              </w:rPr>
            </w:pPr>
            <w:r w:rsidRPr="003106AD">
              <w:rPr>
                <w:rFonts w:asciiTheme="minorHAnsi" w:hAnsiTheme="minorHAnsi" w:cstheme="minorHAnsi"/>
                <w:b/>
                <w:color w:val="000000" w:themeColor="text1"/>
                <w:sz w:val="22"/>
                <w:szCs w:val="22"/>
              </w:rPr>
              <w:t>Completed</w:t>
            </w:r>
          </w:p>
        </w:tc>
        <w:tc>
          <w:tcPr>
            <w:tcW w:w="512" w:type="pct"/>
            <w:shd w:val="clear" w:color="000000" w:fill="FFFFFF"/>
            <w:noWrap/>
            <w:vAlign w:val="bottom"/>
            <w:hideMark/>
          </w:tcPr>
          <w:p w14:paraId="0FAC4123" w14:textId="77777777" w:rsidR="008C5DEC" w:rsidRPr="003106AD" w:rsidRDefault="008C5DEC" w:rsidP="003106AD">
            <w:pPr>
              <w:jc w:val="center"/>
              <w:rPr>
                <w:rFonts w:asciiTheme="minorHAnsi" w:hAnsiTheme="minorHAnsi" w:cstheme="minorHAnsi"/>
                <w:b/>
                <w:color w:val="000000" w:themeColor="text1"/>
                <w:sz w:val="22"/>
                <w:szCs w:val="22"/>
              </w:rPr>
            </w:pPr>
            <w:r w:rsidRPr="003106AD">
              <w:rPr>
                <w:rFonts w:asciiTheme="minorHAnsi" w:hAnsiTheme="minorHAnsi" w:cstheme="minorHAnsi"/>
                <w:b/>
                <w:color w:val="000000" w:themeColor="text1"/>
                <w:sz w:val="22"/>
                <w:szCs w:val="22"/>
              </w:rPr>
              <w:t>Cost £</w:t>
            </w:r>
          </w:p>
        </w:tc>
        <w:tc>
          <w:tcPr>
            <w:tcW w:w="654" w:type="pct"/>
            <w:shd w:val="clear" w:color="000000" w:fill="FFFFFF"/>
            <w:noWrap/>
            <w:vAlign w:val="bottom"/>
            <w:hideMark/>
          </w:tcPr>
          <w:p w14:paraId="5E4BA285" w14:textId="77777777" w:rsidR="008C5DEC" w:rsidRPr="003106AD" w:rsidRDefault="008C5DEC" w:rsidP="003106AD">
            <w:pPr>
              <w:jc w:val="center"/>
              <w:rPr>
                <w:rFonts w:asciiTheme="minorHAnsi" w:hAnsiTheme="minorHAnsi" w:cstheme="minorHAnsi"/>
                <w:b/>
                <w:color w:val="000000" w:themeColor="text1"/>
                <w:sz w:val="22"/>
                <w:szCs w:val="22"/>
              </w:rPr>
            </w:pPr>
            <w:r w:rsidRPr="003106AD">
              <w:rPr>
                <w:rFonts w:asciiTheme="minorHAnsi" w:hAnsiTheme="minorHAnsi" w:cstheme="minorHAnsi"/>
                <w:b/>
                <w:color w:val="000000" w:themeColor="text1"/>
                <w:sz w:val="22"/>
                <w:szCs w:val="22"/>
              </w:rPr>
              <w:t>Completed</w:t>
            </w:r>
          </w:p>
        </w:tc>
        <w:tc>
          <w:tcPr>
            <w:tcW w:w="490" w:type="pct"/>
            <w:shd w:val="clear" w:color="000000" w:fill="FFFFFF"/>
            <w:noWrap/>
            <w:vAlign w:val="bottom"/>
            <w:hideMark/>
          </w:tcPr>
          <w:p w14:paraId="16A6BB1C" w14:textId="77777777" w:rsidR="008C5DEC" w:rsidRPr="003106AD" w:rsidRDefault="008C5DEC" w:rsidP="003106AD">
            <w:pPr>
              <w:jc w:val="center"/>
              <w:rPr>
                <w:rFonts w:asciiTheme="minorHAnsi" w:hAnsiTheme="minorHAnsi" w:cstheme="minorHAnsi"/>
                <w:b/>
                <w:color w:val="000000" w:themeColor="text1"/>
                <w:sz w:val="22"/>
                <w:szCs w:val="22"/>
              </w:rPr>
            </w:pPr>
            <w:r w:rsidRPr="003106AD">
              <w:rPr>
                <w:rFonts w:asciiTheme="minorHAnsi" w:hAnsiTheme="minorHAnsi" w:cstheme="minorHAnsi"/>
                <w:b/>
                <w:color w:val="000000" w:themeColor="text1"/>
                <w:sz w:val="22"/>
                <w:szCs w:val="22"/>
              </w:rPr>
              <w:t>Bathing</w:t>
            </w:r>
          </w:p>
        </w:tc>
        <w:tc>
          <w:tcPr>
            <w:tcW w:w="272" w:type="pct"/>
            <w:shd w:val="clear" w:color="000000" w:fill="FFFFFF"/>
            <w:noWrap/>
            <w:vAlign w:val="bottom"/>
            <w:hideMark/>
          </w:tcPr>
          <w:p w14:paraId="1564DF24" w14:textId="77777777" w:rsidR="008C5DEC" w:rsidRPr="003106AD" w:rsidRDefault="008C5DEC" w:rsidP="003106AD">
            <w:pPr>
              <w:jc w:val="center"/>
              <w:rPr>
                <w:rFonts w:asciiTheme="minorHAnsi" w:hAnsiTheme="minorHAnsi" w:cstheme="minorHAnsi"/>
                <w:b/>
                <w:color w:val="000000" w:themeColor="text1"/>
                <w:sz w:val="22"/>
                <w:szCs w:val="22"/>
              </w:rPr>
            </w:pPr>
            <w:r w:rsidRPr="003106AD">
              <w:rPr>
                <w:rFonts w:asciiTheme="minorHAnsi" w:hAnsiTheme="minorHAnsi" w:cstheme="minorHAnsi"/>
                <w:b/>
                <w:color w:val="000000" w:themeColor="text1"/>
                <w:sz w:val="22"/>
                <w:szCs w:val="22"/>
              </w:rPr>
              <w:t>Lift</w:t>
            </w:r>
          </w:p>
        </w:tc>
        <w:tc>
          <w:tcPr>
            <w:tcW w:w="592" w:type="pct"/>
            <w:shd w:val="clear" w:color="000000" w:fill="FFFFFF"/>
            <w:noWrap/>
            <w:vAlign w:val="bottom"/>
            <w:hideMark/>
          </w:tcPr>
          <w:p w14:paraId="59D123DF" w14:textId="77777777" w:rsidR="008C5DEC" w:rsidRPr="003106AD" w:rsidRDefault="008C5DEC" w:rsidP="003106AD">
            <w:pPr>
              <w:jc w:val="center"/>
              <w:rPr>
                <w:rFonts w:asciiTheme="minorHAnsi" w:hAnsiTheme="minorHAnsi" w:cstheme="minorHAnsi"/>
                <w:b/>
                <w:color w:val="000000" w:themeColor="text1"/>
                <w:sz w:val="22"/>
                <w:szCs w:val="22"/>
              </w:rPr>
            </w:pPr>
            <w:r w:rsidRPr="003106AD">
              <w:rPr>
                <w:rFonts w:asciiTheme="minorHAnsi" w:hAnsiTheme="minorHAnsi" w:cstheme="minorHAnsi"/>
                <w:b/>
                <w:color w:val="000000" w:themeColor="text1"/>
                <w:sz w:val="22"/>
                <w:szCs w:val="22"/>
              </w:rPr>
              <w:t>Extension</w:t>
            </w:r>
          </w:p>
        </w:tc>
      </w:tr>
      <w:tr w:rsidR="008C5DEC" w:rsidRPr="008C5DEC" w14:paraId="373ABE00" w14:textId="77777777" w:rsidTr="003106AD">
        <w:trPr>
          <w:trHeight w:val="320"/>
        </w:trPr>
        <w:tc>
          <w:tcPr>
            <w:tcW w:w="796" w:type="pct"/>
            <w:shd w:val="clear" w:color="auto" w:fill="009999"/>
            <w:noWrap/>
            <w:vAlign w:val="bottom"/>
            <w:hideMark/>
          </w:tcPr>
          <w:p w14:paraId="61D4EF3A" w14:textId="77777777" w:rsidR="008C5DEC" w:rsidRPr="003106AD" w:rsidRDefault="008C5DEC" w:rsidP="00D256ED">
            <w:pPr>
              <w:rPr>
                <w:rFonts w:asciiTheme="minorHAnsi" w:hAnsiTheme="minorHAnsi" w:cstheme="minorHAnsi"/>
                <w:b/>
                <w:color w:val="FFFFFF" w:themeColor="background1"/>
                <w:sz w:val="22"/>
                <w:szCs w:val="22"/>
              </w:rPr>
            </w:pPr>
            <w:r w:rsidRPr="003106AD">
              <w:rPr>
                <w:rFonts w:asciiTheme="minorHAnsi" w:hAnsiTheme="minorHAnsi" w:cstheme="minorHAnsi"/>
                <w:b/>
                <w:color w:val="FFFFFF" w:themeColor="background1"/>
                <w:sz w:val="22"/>
                <w:szCs w:val="22"/>
              </w:rPr>
              <w:t>2015/6</w:t>
            </w:r>
          </w:p>
        </w:tc>
        <w:tc>
          <w:tcPr>
            <w:tcW w:w="364" w:type="pct"/>
            <w:shd w:val="clear" w:color="000000" w:fill="FFFFFF"/>
            <w:noWrap/>
            <w:vAlign w:val="bottom"/>
            <w:hideMark/>
          </w:tcPr>
          <w:p w14:paraId="40EA7BE2" w14:textId="77777777" w:rsidR="008C5DEC" w:rsidRPr="00287B4A" w:rsidRDefault="008C5DEC" w:rsidP="003106AD">
            <w:pPr>
              <w:jc w:val="center"/>
              <w:rPr>
                <w:rFonts w:asciiTheme="minorHAnsi" w:hAnsiTheme="minorHAnsi" w:cstheme="minorHAnsi"/>
                <w:color w:val="000000" w:themeColor="text1"/>
                <w:sz w:val="22"/>
                <w:szCs w:val="22"/>
              </w:rPr>
            </w:pPr>
            <w:r w:rsidRPr="00287B4A">
              <w:rPr>
                <w:rFonts w:asciiTheme="minorHAnsi" w:hAnsiTheme="minorHAnsi" w:cstheme="minorHAnsi"/>
                <w:color w:val="000000" w:themeColor="text1"/>
                <w:sz w:val="22"/>
                <w:szCs w:val="22"/>
              </w:rPr>
              <w:t>51</w:t>
            </w:r>
          </w:p>
        </w:tc>
        <w:tc>
          <w:tcPr>
            <w:tcW w:w="666" w:type="pct"/>
            <w:shd w:val="clear" w:color="000000" w:fill="FFFFFF"/>
            <w:noWrap/>
            <w:vAlign w:val="bottom"/>
            <w:hideMark/>
          </w:tcPr>
          <w:p w14:paraId="7E9F5195" w14:textId="77777777" w:rsidR="008C5DEC" w:rsidRPr="00287B4A" w:rsidRDefault="008C5DEC" w:rsidP="003106AD">
            <w:pPr>
              <w:jc w:val="center"/>
              <w:rPr>
                <w:rFonts w:asciiTheme="minorHAnsi" w:hAnsiTheme="minorHAnsi" w:cstheme="minorHAnsi"/>
                <w:color w:val="000000" w:themeColor="text1"/>
                <w:sz w:val="22"/>
                <w:szCs w:val="22"/>
              </w:rPr>
            </w:pPr>
            <w:r w:rsidRPr="00287B4A">
              <w:rPr>
                <w:rFonts w:asciiTheme="minorHAnsi" w:hAnsiTheme="minorHAnsi" w:cstheme="minorHAnsi"/>
                <w:color w:val="000000" w:themeColor="text1"/>
                <w:sz w:val="22"/>
                <w:szCs w:val="22"/>
              </w:rPr>
              <w:t>18</w:t>
            </w:r>
          </w:p>
        </w:tc>
        <w:tc>
          <w:tcPr>
            <w:tcW w:w="654" w:type="pct"/>
            <w:shd w:val="clear" w:color="000000" w:fill="FFFFFF"/>
            <w:noWrap/>
            <w:vAlign w:val="bottom"/>
            <w:hideMark/>
          </w:tcPr>
          <w:p w14:paraId="4109C215" w14:textId="77777777" w:rsidR="008C5DEC" w:rsidRPr="00287B4A" w:rsidRDefault="008C5DEC" w:rsidP="003106AD">
            <w:pPr>
              <w:jc w:val="center"/>
              <w:rPr>
                <w:rFonts w:asciiTheme="minorHAnsi" w:hAnsiTheme="minorHAnsi" w:cstheme="minorHAnsi"/>
                <w:color w:val="000000" w:themeColor="text1"/>
                <w:sz w:val="22"/>
                <w:szCs w:val="22"/>
              </w:rPr>
            </w:pPr>
            <w:r w:rsidRPr="00287B4A">
              <w:rPr>
                <w:rFonts w:asciiTheme="minorHAnsi" w:hAnsiTheme="minorHAnsi" w:cstheme="minorHAnsi"/>
                <w:color w:val="000000" w:themeColor="text1"/>
                <w:sz w:val="22"/>
                <w:szCs w:val="22"/>
              </w:rPr>
              <w:t>33</w:t>
            </w:r>
          </w:p>
        </w:tc>
        <w:tc>
          <w:tcPr>
            <w:tcW w:w="512" w:type="pct"/>
            <w:shd w:val="clear" w:color="000000" w:fill="FFFFFF"/>
            <w:noWrap/>
            <w:vAlign w:val="bottom"/>
            <w:hideMark/>
          </w:tcPr>
          <w:p w14:paraId="2E676A55" w14:textId="77777777" w:rsidR="008C5DEC" w:rsidRPr="00287B4A" w:rsidRDefault="008C5DEC" w:rsidP="003106AD">
            <w:pPr>
              <w:jc w:val="center"/>
              <w:rPr>
                <w:rFonts w:asciiTheme="minorHAnsi" w:hAnsiTheme="minorHAnsi" w:cstheme="minorHAnsi"/>
                <w:color w:val="000000" w:themeColor="text1"/>
                <w:sz w:val="22"/>
                <w:szCs w:val="22"/>
              </w:rPr>
            </w:pPr>
            <w:r w:rsidRPr="00287B4A">
              <w:rPr>
                <w:rFonts w:asciiTheme="minorHAnsi" w:hAnsiTheme="minorHAnsi" w:cstheme="minorHAnsi"/>
                <w:color w:val="000000" w:themeColor="text1"/>
                <w:sz w:val="22"/>
                <w:szCs w:val="22"/>
              </w:rPr>
              <w:t>208,278</w:t>
            </w:r>
          </w:p>
        </w:tc>
        <w:tc>
          <w:tcPr>
            <w:tcW w:w="654" w:type="pct"/>
            <w:shd w:val="clear" w:color="000000" w:fill="FFFFFF"/>
            <w:noWrap/>
            <w:vAlign w:val="bottom"/>
            <w:hideMark/>
          </w:tcPr>
          <w:p w14:paraId="50671C64" w14:textId="77777777" w:rsidR="008C5DEC" w:rsidRPr="00287B4A" w:rsidRDefault="008C5DEC" w:rsidP="003106AD">
            <w:pPr>
              <w:jc w:val="center"/>
              <w:rPr>
                <w:rFonts w:asciiTheme="minorHAnsi" w:hAnsiTheme="minorHAnsi" w:cstheme="minorHAnsi"/>
                <w:color w:val="000000" w:themeColor="text1"/>
                <w:sz w:val="22"/>
                <w:szCs w:val="22"/>
              </w:rPr>
            </w:pPr>
            <w:r w:rsidRPr="00287B4A">
              <w:rPr>
                <w:rFonts w:asciiTheme="minorHAnsi" w:hAnsiTheme="minorHAnsi" w:cstheme="minorHAnsi"/>
                <w:color w:val="000000" w:themeColor="text1"/>
                <w:sz w:val="22"/>
                <w:szCs w:val="22"/>
              </w:rPr>
              <w:t>84</w:t>
            </w:r>
          </w:p>
        </w:tc>
        <w:tc>
          <w:tcPr>
            <w:tcW w:w="490" w:type="pct"/>
            <w:shd w:val="clear" w:color="000000" w:fill="FFFFFF"/>
            <w:noWrap/>
            <w:vAlign w:val="bottom"/>
            <w:hideMark/>
          </w:tcPr>
          <w:p w14:paraId="1EB8F62E" w14:textId="77777777" w:rsidR="008C5DEC" w:rsidRPr="00287B4A" w:rsidRDefault="008C5DEC" w:rsidP="003106AD">
            <w:pPr>
              <w:jc w:val="center"/>
              <w:rPr>
                <w:rFonts w:asciiTheme="minorHAnsi" w:hAnsiTheme="minorHAnsi" w:cstheme="minorHAnsi"/>
                <w:color w:val="000000" w:themeColor="text1"/>
                <w:sz w:val="22"/>
                <w:szCs w:val="22"/>
              </w:rPr>
            </w:pPr>
            <w:r w:rsidRPr="00287B4A">
              <w:rPr>
                <w:rFonts w:asciiTheme="minorHAnsi" w:hAnsiTheme="minorHAnsi" w:cstheme="minorHAnsi"/>
                <w:color w:val="000000" w:themeColor="text1"/>
                <w:sz w:val="22"/>
                <w:szCs w:val="22"/>
              </w:rPr>
              <w:t>29</w:t>
            </w:r>
          </w:p>
        </w:tc>
        <w:tc>
          <w:tcPr>
            <w:tcW w:w="272" w:type="pct"/>
            <w:shd w:val="clear" w:color="000000" w:fill="FFFFFF"/>
            <w:noWrap/>
            <w:vAlign w:val="bottom"/>
            <w:hideMark/>
          </w:tcPr>
          <w:p w14:paraId="38C911FC" w14:textId="77777777" w:rsidR="008C5DEC" w:rsidRPr="00287B4A" w:rsidRDefault="008C5DEC" w:rsidP="003106AD">
            <w:pPr>
              <w:jc w:val="center"/>
              <w:rPr>
                <w:rFonts w:asciiTheme="minorHAnsi" w:hAnsiTheme="minorHAnsi" w:cstheme="minorHAnsi"/>
                <w:color w:val="000000" w:themeColor="text1"/>
                <w:sz w:val="22"/>
                <w:szCs w:val="22"/>
              </w:rPr>
            </w:pPr>
            <w:r w:rsidRPr="00287B4A">
              <w:rPr>
                <w:rFonts w:asciiTheme="minorHAnsi" w:hAnsiTheme="minorHAnsi" w:cstheme="minorHAnsi"/>
                <w:color w:val="000000" w:themeColor="text1"/>
                <w:sz w:val="22"/>
                <w:szCs w:val="22"/>
              </w:rPr>
              <w:t>13</w:t>
            </w:r>
          </w:p>
        </w:tc>
        <w:tc>
          <w:tcPr>
            <w:tcW w:w="592" w:type="pct"/>
            <w:shd w:val="clear" w:color="000000" w:fill="FFFFFF"/>
            <w:noWrap/>
            <w:vAlign w:val="bottom"/>
            <w:hideMark/>
          </w:tcPr>
          <w:p w14:paraId="14C3D122" w14:textId="77777777" w:rsidR="008C5DEC" w:rsidRPr="00287B4A" w:rsidRDefault="008C5DEC" w:rsidP="003106AD">
            <w:pPr>
              <w:jc w:val="center"/>
              <w:rPr>
                <w:rFonts w:asciiTheme="minorHAnsi" w:hAnsiTheme="minorHAnsi" w:cstheme="minorHAnsi"/>
                <w:color w:val="000000" w:themeColor="text1"/>
                <w:sz w:val="22"/>
                <w:szCs w:val="22"/>
              </w:rPr>
            </w:pPr>
            <w:r w:rsidRPr="00287B4A">
              <w:rPr>
                <w:rFonts w:asciiTheme="minorHAnsi" w:hAnsiTheme="minorHAnsi" w:cstheme="minorHAnsi"/>
                <w:color w:val="000000" w:themeColor="text1"/>
                <w:sz w:val="22"/>
                <w:szCs w:val="22"/>
              </w:rPr>
              <w:t>5</w:t>
            </w:r>
          </w:p>
        </w:tc>
      </w:tr>
      <w:tr w:rsidR="008C5DEC" w:rsidRPr="008C5DEC" w14:paraId="1BE15337" w14:textId="77777777" w:rsidTr="003106AD">
        <w:trPr>
          <w:trHeight w:val="320"/>
        </w:trPr>
        <w:tc>
          <w:tcPr>
            <w:tcW w:w="796" w:type="pct"/>
            <w:shd w:val="clear" w:color="auto" w:fill="009999"/>
            <w:noWrap/>
            <w:vAlign w:val="bottom"/>
            <w:hideMark/>
          </w:tcPr>
          <w:p w14:paraId="6397C5C3" w14:textId="77777777" w:rsidR="008C5DEC" w:rsidRPr="003106AD" w:rsidRDefault="008C5DEC" w:rsidP="00D256ED">
            <w:pPr>
              <w:rPr>
                <w:rFonts w:asciiTheme="minorHAnsi" w:hAnsiTheme="minorHAnsi" w:cstheme="minorHAnsi"/>
                <w:b/>
                <w:color w:val="FFFFFF" w:themeColor="background1"/>
                <w:sz w:val="22"/>
                <w:szCs w:val="22"/>
              </w:rPr>
            </w:pPr>
            <w:r w:rsidRPr="003106AD">
              <w:rPr>
                <w:rFonts w:asciiTheme="minorHAnsi" w:hAnsiTheme="minorHAnsi" w:cstheme="minorHAnsi"/>
                <w:b/>
                <w:color w:val="FFFFFF" w:themeColor="background1"/>
                <w:sz w:val="22"/>
                <w:szCs w:val="22"/>
              </w:rPr>
              <w:t>2016/7</w:t>
            </w:r>
          </w:p>
        </w:tc>
        <w:tc>
          <w:tcPr>
            <w:tcW w:w="364" w:type="pct"/>
            <w:shd w:val="clear" w:color="000000" w:fill="FFFFFF"/>
            <w:noWrap/>
            <w:vAlign w:val="bottom"/>
            <w:hideMark/>
          </w:tcPr>
          <w:p w14:paraId="508AB9C8" w14:textId="77777777" w:rsidR="008C5DEC" w:rsidRPr="00287B4A" w:rsidRDefault="008C5DEC" w:rsidP="003106AD">
            <w:pPr>
              <w:jc w:val="center"/>
              <w:rPr>
                <w:rFonts w:asciiTheme="minorHAnsi" w:hAnsiTheme="minorHAnsi" w:cstheme="minorHAnsi"/>
                <w:color w:val="000000" w:themeColor="text1"/>
                <w:sz w:val="22"/>
                <w:szCs w:val="22"/>
              </w:rPr>
            </w:pPr>
            <w:r w:rsidRPr="00287B4A">
              <w:rPr>
                <w:rFonts w:asciiTheme="minorHAnsi" w:hAnsiTheme="minorHAnsi" w:cstheme="minorHAnsi"/>
                <w:color w:val="000000" w:themeColor="text1"/>
                <w:sz w:val="22"/>
                <w:szCs w:val="22"/>
              </w:rPr>
              <w:t>44</w:t>
            </w:r>
          </w:p>
        </w:tc>
        <w:tc>
          <w:tcPr>
            <w:tcW w:w="666" w:type="pct"/>
            <w:shd w:val="clear" w:color="000000" w:fill="FFFFFF"/>
            <w:noWrap/>
            <w:vAlign w:val="bottom"/>
            <w:hideMark/>
          </w:tcPr>
          <w:p w14:paraId="750615BB" w14:textId="77777777" w:rsidR="008C5DEC" w:rsidRPr="00287B4A" w:rsidRDefault="008C5DEC" w:rsidP="003106AD">
            <w:pPr>
              <w:jc w:val="center"/>
              <w:rPr>
                <w:rFonts w:asciiTheme="minorHAnsi" w:hAnsiTheme="minorHAnsi" w:cstheme="minorHAnsi"/>
                <w:color w:val="000000" w:themeColor="text1"/>
                <w:sz w:val="22"/>
                <w:szCs w:val="22"/>
              </w:rPr>
            </w:pPr>
            <w:r w:rsidRPr="00287B4A">
              <w:rPr>
                <w:rFonts w:asciiTheme="minorHAnsi" w:hAnsiTheme="minorHAnsi" w:cstheme="minorHAnsi"/>
                <w:color w:val="000000" w:themeColor="text1"/>
                <w:sz w:val="22"/>
                <w:szCs w:val="22"/>
              </w:rPr>
              <w:t>15</w:t>
            </w:r>
          </w:p>
        </w:tc>
        <w:tc>
          <w:tcPr>
            <w:tcW w:w="654" w:type="pct"/>
            <w:shd w:val="clear" w:color="000000" w:fill="FFFFFF"/>
            <w:noWrap/>
            <w:vAlign w:val="bottom"/>
            <w:hideMark/>
          </w:tcPr>
          <w:p w14:paraId="057C8C3E" w14:textId="77777777" w:rsidR="008C5DEC" w:rsidRPr="00287B4A" w:rsidRDefault="008C5DEC" w:rsidP="003106AD">
            <w:pPr>
              <w:jc w:val="center"/>
              <w:rPr>
                <w:rFonts w:asciiTheme="minorHAnsi" w:hAnsiTheme="minorHAnsi" w:cstheme="minorHAnsi"/>
                <w:color w:val="000000" w:themeColor="text1"/>
                <w:sz w:val="22"/>
                <w:szCs w:val="22"/>
              </w:rPr>
            </w:pPr>
            <w:r w:rsidRPr="00287B4A">
              <w:rPr>
                <w:rFonts w:asciiTheme="minorHAnsi" w:hAnsiTheme="minorHAnsi" w:cstheme="minorHAnsi"/>
                <w:color w:val="000000" w:themeColor="text1"/>
                <w:sz w:val="22"/>
                <w:szCs w:val="22"/>
              </w:rPr>
              <w:t>29</w:t>
            </w:r>
          </w:p>
        </w:tc>
        <w:tc>
          <w:tcPr>
            <w:tcW w:w="512" w:type="pct"/>
            <w:shd w:val="clear" w:color="000000" w:fill="FFFFFF"/>
            <w:noWrap/>
            <w:vAlign w:val="bottom"/>
            <w:hideMark/>
          </w:tcPr>
          <w:p w14:paraId="161CC9D1" w14:textId="77777777" w:rsidR="008C5DEC" w:rsidRPr="00287B4A" w:rsidRDefault="008C5DEC" w:rsidP="003106AD">
            <w:pPr>
              <w:jc w:val="center"/>
              <w:rPr>
                <w:rFonts w:asciiTheme="minorHAnsi" w:hAnsiTheme="minorHAnsi" w:cstheme="minorHAnsi"/>
                <w:color w:val="000000" w:themeColor="text1"/>
                <w:sz w:val="22"/>
                <w:szCs w:val="22"/>
              </w:rPr>
            </w:pPr>
            <w:r w:rsidRPr="00287B4A">
              <w:rPr>
                <w:rFonts w:asciiTheme="minorHAnsi" w:hAnsiTheme="minorHAnsi" w:cstheme="minorHAnsi"/>
                <w:color w:val="000000" w:themeColor="text1"/>
                <w:sz w:val="22"/>
                <w:szCs w:val="22"/>
              </w:rPr>
              <w:t>142,835</w:t>
            </w:r>
          </w:p>
        </w:tc>
        <w:tc>
          <w:tcPr>
            <w:tcW w:w="654" w:type="pct"/>
            <w:shd w:val="clear" w:color="000000" w:fill="FFFFFF"/>
            <w:noWrap/>
            <w:vAlign w:val="bottom"/>
            <w:hideMark/>
          </w:tcPr>
          <w:p w14:paraId="69771F9B" w14:textId="77777777" w:rsidR="008C5DEC" w:rsidRPr="00287B4A" w:rsidRDefault="008C5DEC" w:rsidP="003106AD">
            <w:pPr>
              <w:jc w:val="center"/>
              <w:rPr>
                <w:rFonts w:asciiTheme="minorHAnsi" w:hAnsiTheme="minorHAnsi" w:cstheme="minorHAnsi"/>
                <w:color w:val="000000" w:themeColor="text1"/>
                <w:sz w:val="22"/>
                <w:szCs w:val="22"/>
              </w:rPr>
            </w:pPr>
            <w:r w:rsidRPr="00287B4A">
              <w:rPr>
                <w:rFonts w:asciiTheme="minorHAnsi" w:hAnsiTheme="minorHAnsi" w:cstheme="minorHAnsi"/>
                <w:color w:val="000000" w:themeColor="text1"/>
                <w:sz w:val="22"/>
                <w:szCs w:val="22"/>
              </w:rPr>
              <w:t>42</w:t>
            </w:r>
          </w:p>
        </w:tc>
        <w:tc>
          <w:tcPr>
            <w:tcW w:w="490" w:type="pct"/>
            <w:shd w:val="clear" w:color="000000" w:fill="FFFFFF"/>
            <w:noWrap/>
            <w:vAlign w:val="bottom"/>
            <w:hideMark/>
          </w:tcPr>
          <w:p w14:paraId="1A045E7E" w14:textId="77777777" w:rsidR="008C5DEC" w:rsidRPr="00287B4A" w:rsidRDefault="008C5DEC" w:rsidP="003106AD">
            <w:pPr>
              <w:jc w:val="center"/>
              <w:rPr>
                <w:rFonts w:asciiTheme="minorHAnsi" w:hAnsiTheme="minorHAnsi" w:cstheme="minorHAnsi"/>
                <w:color w:val="000000" w:themeColor="text1"/>
                <w:sz w:val="22"/>
                <w:szCs w:val="22"/>
              </w:rPr>
            </w:pPr>
            <w:r w:rsidRPr="00287B4A">
              <w:rPr>
                <w:rFonts w:asciiTheme="minorHAnsi" w:hAnsiTheme="minorHAnsi" w:cstheme="minorHAnsi"/>
                <w:color w:val="000000" w:themeColor="text1"/>
                <w:sz w:val="22"/>
                <w:szCs w:val="22"/>
              </w:rPr>
              <w:t>17</w:t>
            </w:r>
          </w:p>
        </w:tc>
        <w:tc>
          <w:tcPr>
            <w:tcW w:w="272" w:type="pct"/>
            <w:shd w:val="clear" w:color="000000" w:fill="FFFFFF"/>
            <w:noWrap/>
            <w:vAlign w:val="bottom"/>
            <w:hideMark/>
          </w:tcPr>
          <w:p w14:paraId="34A9D1CE" w14:textId="77777777" w:rsidR="008C5DEC" w:rsidRPr="00287B4A" w:rsidRDefault="008C5DEC" w:rsidP="003106AD">
            <w:pPr>
              <w:jc w:val="center"/>
              <w:rPr>
                <w:rFonts w:asciiTheme="minorHAnsi" w:hAnsiTheme="minorHAnsi" w:cstheme="minorHAnsi"/>
                <w:color w:val="000000" w:themeColor="text1"/>
                <w:sz w:val="22"/>
                <w:szCs w:val="22"/>
              </w:rPr>
            </w:pPr>
            <w:r w:rsidRPr="00287B4A">
              <w:rPr>
                <w:rFonts w:asciiTheme="minorHAnsi" w:hAnsiTheme="minorHAnsi" w:cstheme="minorHAnsi"/>
                <w:color w:val="000000" w:themeColor="text1"/>
                <w:sz w:val="22"/>
                <w:szCs w:val="22"/>
              </w:rPr>
              <w:t>15</w:t>
            </w:r>
          </w:p>
        </w:tc>
        <w:tc>
          <w:tcPr>
            <w:tcW w:w="592" w:type="pct"/>
            <w:shd w:val="clear" w:color="000000" w:fill="FFFFFF"/>
            <w:noWrap/>
            <w:vAlign w:val="bottom"/>
            <w:hideMark/>
          </w:tcPr>
          <w:p w14:paraId="71E290FE" w14:textId="77777777" w:rsidR="008C5DEC" w:rsidRPr="00287B4A" w:rsidRDefault="008C5DEC" w:rsidP="003106AD">
            <w:pPr>
              <w:jc w:val="center"/>
              <w:rPr>
                <w:rFonts w:asciiTheme="minorHAnsi" w:hAnsiTheme="minorHAnsi" w:cstheme="minorHAnsi"/>
                <w:color w:val="000000" w:themeColor="text1"/>
                <w:sz w:val="22"/>
                <w:szCs w:val="22"/>
              </w:rPr>
            </w:pPr>
            <w:r w:rsidRPr="00287B4A">
              <w:rPr>
                <w:rFonts w:asciiTheme="minorHAnsi" w:hAnsiTheme="minorHAnsi" w:cstheme="minorHAnsi"/>
                <w:color w:val="000000" w:themeColor="text1"/>
                <w:sz w:val="22"/>
                <w:szCs w:val="22"/>
              </w:rPr>
              <w:t>1</w:t>
            </w:r>
          </w:p>
        </w:tc>
      </w:tr>
      <w:tr w:rsidR="008C5DEC" w:rsidRPr="008C5DEC" w14:paraId="664EB9BD" w14:textId="77777777" w:rsidTr="003106AD">
        <w:trPr>
          <w:trHeight w:val="320"/>
        </w:trPr>
        <w:tc>
          <w:tcPr>
            <w:tcW w:w="796" w:type="pct"/>
            <w:shd w:val="clear" w:color="auto" w:fill="009999"/>
            <w:noWrap/>
            <w:vAlign w:val="bottom"/>
            <w:hideMark/>
          </w:tcPr>
          <w:p w14:paraId="2E423109" w14:textId="77777777" w:rsidR="008C5DEC" w:rsidRPr="003106AD" w:rsidRDefault="008C5DEC" w:rsidP="00D256ED">
            <w:pPr>
              <w:rPr>
                <w:rFonts w:asciiTheme="minorHAnsi" w:hAnsiTheme="minorHAnsi" w:cstheme="minorHAnsi"/>
                <w:b/>
                <w:color w:val="FFFFFF" w:themeColor="background1"/>
                <w:sz w:val="22"/>
                <w:szCs w:val="22"/>
              </w:rPr>
            </w:pPr>
            <w:r w:rsidRPr="003106AD">
              <w:rPr>
                <w:rFonts w:asciiTheme="minorHAnsi" w:hAnsiTheme="minorHAnsi" w:cstheme="minorHAnsi"/>
                <w:b/>
                <w:color w:val="FFFFFF" w:themeColor="background1"/>
                <w:sz w:val="22"/>
                <w:szCs w:val="22"/>
              </w:rPr>
              <w:t>2017/8</w:t>
            </w:r>
          </w:p>
        </w:tc>
        <w:tc>
          <w:tcPr>
            <w:tcW w:w="364" w:type="pct"/>
            <w:shd w:val="clear" w:color="000000" w:fill="FFFFFF"/>
            <w:noWrap/>
            <w:vAlign w:val="bottom"/>
            <w:hideMark/>
          </w:tcPr>
          <w:p w14:paraId="3C5FE7C2" w14:textId="77777777" w:rsidR="008C5DEC" w:rsidRPr="00287B4A" w:rsidRDefault="008C5DEC" w:rsidP="003106AD">
            <w:pPr>
              <w:jc w:val="center"/>
              <w:rPr>
                <w:rFonts w:asciiTheme="minorHAnsi" w:hAnsiTheme="minorHAnsi" w:cstheme="minorHAnsi"/>
                <w:color w:val="000000" w:themeColor="text1"/>
                <w:sz w:val="22"/>
                <w:szCs w:val="22"/>
              </w:rPr>
            </w:pPr>
            <w:r w:rsidRPr="00287B4A">
              <w:rPr>
                <w:rFonts w:asciiTheme="minorHAnsi" w:hAnsiTheme="minorHAnsi" w:cstheme="minorHAnsi"/>
                <w:color w:val="000000" w:themeColor="text1"/>
                <w:sz w:val="22"/>
                <w:szCs w:val="22"/>
              </w:rPr>
              <w:t>80</w:t>
            </w:r>
          </w:p>
        </w:tc>
        <w:tc>
          <w:tcPr>
            <w:tcW w:w="666" w:type="pct"/>
            <w:shd w:val="clear" w:color="000000" w:fill="FFFFFF"/>
            <w:noWrap/>
            <w:vAlign w:val="bottom"/>
            <w:hideMark/>
          </w:tcPr>
          <w:p w14:paraId="464ACDE0" w14:textId="77777777" w:rsidR="008C5DEC" w:rsidRPr="00287B4A" w:rsidRDefault="008C5DEC" w:rsidP="003106AD">
            <w:pPr>
              <w:jc w:val="center"/>
              <w:rPr>
                <w:rFonts w:asciiTheme="minorHAnsi" w:hAnsiTheme="minorHAnsi" w:cstheme="minorHAnsi"/>
                <w:color w:val="000000" w:themeColor="text1"/>
                <w:sz w:val="22"/>
                <w:szCs w:val="22"/>
              </w:rPr>
            </w:pPr>
            <w:r w:rsidRPr="00287B4A">
              <w:rPr>
                <w:rFonts w:asciiTheme="minorHAnsi" w:hAnsiTheme="minorHAnsi" w:cstheme="minorHAnsi"/>
                <w:color w:val="000000" w:themeColor="text1"/>
                <w:sz w:val="22"/>
                <w:szCs w:val="22"/>
              </w:rPr>
              <w:t>32</w:t>
            </w:r>
          </w:p>
        </w:tc>
        <w:tc>
          <w:tcPr>
            <w:tcW w:w="654" w:type="pct"/>
            <w:shd w:val="clear" w:color="000000" w:fill="FFFFFF"/>
            <w:noWrap/>
            <w:vAlign w:val="bottom"/>
            <w:hideMark/>
          </w:tcPr>
          <w:p w14:paraId="3EC8E065" w14:textId="77777777" w:rsidR="008C5DEC" w:rsidRPr="00287B4A" w:rsidRDefault="008C5DEC" w:rsidP="003106AD">
            <w:pPr>
              <w:jc w:val="center"/>
              <w:rPr>
                <w:rFonts w:asciiTheme="minorHAnsi" w:hAnsiTheme="minorHAnsi" w:cstheme="minorHAnsi"/>
                <w:color w:val="000000" w:themeColor="text1"/>
                <w:sz w:val="22"/>
                <w:szCs w:val="22"/>
              </w:rPr>
            </w:pPr>
            <w:r w:rsidRPr="00287B4A">
              <w:rPr>
                <w:rFonts w:asciiTheme="minorHAnsi" w:hAnsiTheme="minorHAnsi" w:cstheme="minorHAnsi"/>
                <w:color w:val="000000" w:themeColor="text1"/>
                <w:sz w:val="22"/>
                <w:szCs w:val="22"/>
              </w:rPr>
              <w:t>48</w:t>
            </w:r>
          </w:p>
        </w:tc>
        <w:tc>
          <w:tcPr>
            <w:tcW w:w="512" w:type="pct"/>
            <w:shd w:val="clear" w:color="000000" w:fill="FFFFFF"/>
            <w:noWrap/>
            <w:vAlign w:val="bottom"/>
            <w:hideMark/>
          </w:tcPr>
          <w:p w14:paraId="3B554A40" w14:textId="77777777" w:rsidR="008C5DEC" w:rsidRPr="00287B4A" w:rsidRDefault="008C5DEC" w:rsidP="003106AD">
            <w:pPr>
              <w:jc w:val="center"/>
              <w:rPr>
                <w:rFonts w:asciiTheme="minorHAnsi" w:hAnsiTheme="minorHAnsi" w:cstheme="minorHAnsi"/>
                <w:color w:val="000000" w:themeColor="text1"/>
                <w:sz w:val="22"/>
                <w:szCs w:val="22"/>
              </w:rPr>
            </w:pPr>
            <w:r w:rsidRPr="00287B4A">
              <w:rPr>
                <w:rFonts w:asciiTheme="minorHAnsi" w:hAnsiTheme="minorHAnsi" w:cstheme="minorHAnsi"/>
                <w:color w:val="000000" w:themeColor="text1"/>
                <w:sz w:val="22"/>
                <w:szCs w:val="22"/>
              </w:rPr>
              <w:t>310,907</w:t>
            </w:r>
          </w:p>
        </w:tc>
        <w:tc>
          <w:tcPr>
            <w:tcW w:w="654" w:type="pct"/>
            <w:shd w:val="clear" w:color="000000" w:fill="FFFFFF"/>
            <w:noWrap/>
            <w:vAlign w:val="bottom"/>
            <w:hideMark/>
          </w:tcPr>
          <w:p w14:paraId="520E3EA2" w14:textId="77777777" w:rsidR="008C5DEC" w:rsidRPr="00287B4A" w:rsidRDefault="008C5DEC" w:rsidP="003106AD">
            <w:pPr>
              <w:jc w:val="center"/>
              <w:rPr>
                <w:rFonts w:asciiTheme="minorHAnsi" w:hAnsiTheme="minorHAnsi" w:cstheme="minorHAnsi"/>
                <w:color w:val="000000" w:themeColor="text1"/>
                <w:sz w:val="22"/>
                <w:szCs w:val="22"/>
              </w:rPr>
            </w:pPr>
            <w:r w:rsidRPr="00287B4A">
              <w:rPr>
                <w:rFonts w:asciiTheme="minorHAnsi" w:hAnsiTheme="minorHAnsi" w:cstheme="minorHAnsi"/>
                <w:color w:val="000000" w:themeColor="text1"/>
                <w:sz w:val="22"/>
                <w:szCs w:val="22"/>
              </w:rPr>
              <w:t>107</w:t>
            </w:r>
          </w:p>
        </w:tc>
        <w:tc>
          <w:tcPr>
            <w:tcW w:w="490" w:type="pct"/>
            <w:shd w:val="clear" w:color="000000" w:fill="FFFFFF"/>
            <w:noWrap/>
            <w:vAlign w:val="bottom"/>
            <w:hideMark/>
          </w:tcPr>
          <w:p w14:paraId="0785AE56" w14:textId="77777777" w:rsidR="008C5DEC" w:rsidRPr="00287B4A" w:rsidRDefault="008C5DEC" w:rsidP="003106AD">
            <w:pPr>
              <w:jc w:val="center"/>
              <w:rPr>
                <w:rFonts w:asciiTheme="minorHAnsi" w:hAnsiTheme="minorHAnsi" w:cstheme="minorHAnsi"/>
                <w:color w:val="000000" w:themeColor="text1"/>
                <w:sz w:val="22"/>
                <w:szCs w:val="22"/>
              </w:rPr>
            </w:pPr>
            <w:r w:rsidRPr="00287B4A">
              <w:rPr>
                <w:rFonts w:asciiTheme="minorHAnsi" w:hAnsiTheme="minorHAnsi" w:cstheme="minorHAnsi"/>
                <w:color w:val="000000" w:themeColor="text1"/>
                <w:sz w:val="22"/>
                <w:szCs w:val="22"/>
              </w:rPr>
              <w:t>52</w:t>
            </w:r>
          </w:p>
        </w:tc>
        <w:tc>
          <w:tcPr>
            <w:tcW w:w="272" w:type="pct"/>
            <w:shd w:val="clear" w:color="000000" w:fill="FFFFFF"/>
            <w:noWrap/>
            <w:vAlign w:val="bottom"/>
            <w:hideMark/>
          </w:tcPr>
          <w:p w14:paraId="2E7DD8C8" w14:textId="77777777" w:rsidR="008C5DEC" w:rsidRPr="00287B4A" w:rsidRDefault="008C5DEC" w:rsidP="003106AD">
            <w:pPr>
              <w:jc w:val="center"/>
              <w:rPr>
                <w:rFonts w:asciiTheme="minorHAnsi" w:hAnsiTheme="minorHAnsi" w:cstheme="minorHAnsi"/>
                <w:color w:val="000000" w:themeColor="text1"/>
                <w:sz w:val="22"/>
                <w:szCs w:val="22"/>
              </w:rPr>
            </w:pPr>
            <w:r w:rsidRPr="00287B4A">
              <w:rPr>
                <w:rFonts w:asciiTheme="minorHAnsi" w:hAnsiTheme="minorHAnsi" w:cstheme="minorHAnsi"/>
                <w:color w:val="000000" w:themeColor="text1"/>
                <w:sz w:val="22"/>
                <w:szCs w:val="22"/>
              </w:rPr>
              <w:t>21</w:t>
            </w:r>
          </w:p>
        </w:tc>
        <w:tc>
          <w:tcPr>
            <w:tcW w:w="592" w:type="pct"/>
            <w:shd w:val="clear" w:color="000000" w:fill="FFFFFF"/>
            <w:noWrap/>
            <w:vAlign w:val="bottom"/>
            <w:hideMark/>
          </w:tcPr>
          <w:p w14:paraId="2CF24BB2" w14:textId="77777777" w:rsidR="008C5DEC" w:rsidRPr="00287B4A" w:rsidRDefault="008C5DEC" w:rsidP="003106AD">
            <w:pPr>
              <w:jc w:val="center"/>
              <w:rPr>
                <w:rFonts w:asciiTheme="minorHAnsi" w:hAnsiTheme="minorHAnsi" w:cstheme="minorHAnsi"/>
                <w:color w:val="000000" w:themeColor="text1"/>
                <w:sz w:val="22"/>
                <w:szCs w:val="22"/>
              </w:rPr>
            </w:pPr>
            <w:r w:rsidRPr="00287B4A">
              <w:rPr>
                <w:rFonts w:asciiTheme="minorHAnsi" w:hAnsiTheme="minorHAnsi" w:cstheme="minorHAnsi"/>
                <w:color w:val="000000" w:themeColor="text1"/>
                <w:sz w:val="22"/>
                <w:szCs w:val="22"/>
              </w:rPr>
              <w:t>2</w:t>
            </w:r>
          </w:p>
        </w:tc>
      </w:tr>
      <w:tr w:rsidR="008C5DEC" w:rsidRPr="008C5DEC" w14:paraId="098BE987" w14:textId="77777777" w:rsidTr="003106AD">
        <w:trPr>
          <w:trHeight w:val="320"/>
        </w:trPr>
        <w:tc>
          <w:tcPr>
            <w:tcW w:w="796" w:type="pct"/>
            <w:shd w:val="clear" w:color="auto" w:fill="009999"/>
            <w:noWrap/>
            <w:vAlign w:val="bottom"/>
            <w:hideMark/>
          </w:tcPr>
          <w:p w14:paraId="75386BD6" w14:textId="77777777" w:rsidR="008C5DEC" w:rsidRPr="003106AD" w:rsidRDefault="008C5DEC" w:rsidP="00D256ED">
            <w:pPr>
              <w:rPr>
                <w:rFonts w:asciiTheme="minorHAnsi" w:hAnsiTheme="minorHAnsi" w:cstheme="minorHAnsi"/>
                <w:b/>
                <w:color w:val="FFFFFF" w:themeColor="background1"/>
                <w:sz w:val="22"/>
                <w:szCs w:val="22"/>
              </w:rPr>
            </w:pPr>
            <w:r w:rsidRPr="003106AD">
              <w:rPr>
                <w:rFonts w:asciiTheme="minorHAnsi" w:hAnsiTheme="minorHAnsi" w:cstheme="minorHAnsi"/>
                <w:b/>
                <w:color w:val="FFFFFF" w:themeColor="background1"/>
                <w:sz w:val="22"/>
                <w:szCs w:val="22"/>
              </w:rPr>
              <w:t>3-year total</w:t>
            </w:r>
          </w:p>
        </w:tc>
        <w:tc>
          <w:tcPr>
            <w:tcW w:w="364" w:type="pct"/>
            <w:shd w:val="clear" w:color="000000" w:fill="FFFFFF"/>
            <w:noWrap/>
            <w:vAlign w:val="bottom"/>
            <w:hideMark/>
          </w:tcPr>
          <w:p w14:paraId="108DEB54" w14:textId="77777777" w:rsidR="008C5DEC" w:rsidRPr="00287B4A" w:rsidRDefault="008C5DEC" w:rsidP="003106AD">
            <w:pPr>
              <w:jc w:val="center"/>
              <w:rPr>
                <w:rFonts w:asciiTheme="minorHAnsi" w:hAnsiTheme="minorHAnsi" w:cstheme="minorHAnsi"/>
                <w:color w:val="000000" w:themeColor="text1"/>
                <w:sz w:val="22"/>
                <w:szCs w:val="22"/>
              </w:rPr>
            </w:pPr>
            <w:r w:rsidRPr="00287B4A">
              <w:rPr>
                <w:rFonts w:asciiTheme="minorHAnsi" w:hAnsiTheme="minorHAnsi" w:cstheme="minorHAnsi"/>
                <w:color w:val="000000" w:themeColor="text1"/>
                <w:sz w:val="22"/>
                <w:szCs w:val="22"/>
              </w:rPr>
              <w:t>175</w:t>
            </w:r>
          </w:p>
        </w:tc>
        <w:tc>
          <w:tcPr>
            <w:tcW w:w="666" w:type="pct"/>
            <w:shd w:val="clear" w:color="000000" w:fill="FFFFFF"/>
            <w:noWrap/>
            <w:vAlign w:val="bottom"/>
            <w:hideMark/>
          </w:tcPr>
          <w:p w14:paraId="2F89AF49" w14:textId="77777777" w:rsidR="008C5DEC" w:rsidRPr="00287B4A" w:rsidRDefault="008C5DEC" w:rsidP="003106AD">
            <w:pPr>
              <w:jc w:val="center"/>
              <w:rPr>
                <w:rFonts w:asciiTheme="minorHAnsi" w:hAnsiTheme="minorHAnsi" w:cstheme="minorHAnsi"/>
                <w:color w:val="000000" w:themeColor="text1"/>
                <w:sz w:val="22"/>
                <w:szCs w:val="22"/>
              </w:rPr>
            </w:pPr>
            <w:r w:rsidRPr="00287B4A">
              <w:rPr>
                <w:rFonts w:asciiTheme="minorHAnsi" w:hAnsiTheme="minorHAnsi" w:cstheme="minorHAnsi"/>
                <w:color w:val="000000" w:themeColor="text1"/>
                <w:sz w:val="22"/>
                <w:szCs w:val="22"/>
              </w:rPr>
              <w:t>65</w:t>
            </w:r>
          </w:p>
        </w:tc>
        <w:tc>
          <w:tcPr>
            <w:tcW w:w="654" w:type="pct"/>
            <w:shd w:val="clear" w:color="000000" w:fill="FFFFFF"/>
            <w:noWrap/>
            <w:vAlign w:val="bottom"/>
            <w:hideMark/>
          </w:tcPr>
          <w:p w14:paraId="50165F15" w14:textId="77777777" w:rsidR="008C5DEC" w:rsidRPr="00287B4A" w:rsidRDefault="008C5DEC" w:rsidP="003106AD">
            <w:pPr>
              <w:jc w:val="center"/>
              <w:rPr>
                <w:rFonts w:asciiTheme="minorHAnsi" w:hAnsiTheme="minorHAnsi" w:cstheme="minorHAnsi"/>
                <w:color w:val="000000" w:themeColor="text1"/>
                <w:sz w:val="22"/>
                <w:szCs w:val="22"/>
              </w:rPr>
            </w:pPr>
            <w:r w:rsidRPr="00287B4A">
              <w:rPr>
                <w:rFonts w:asciiTheme="minorHAnsi" w:hAnsiTheme="minorHAnsi" w:cstheme="minorHAnsi"/>
                <w:color w:val="000000" w:themeColor="text1"/>
                <w:sz w:val="22"/>
                <w:szCs w:val="22"/>
              </w:rPr>
              <w:t>110</w:t>
            </w:r>
          </w:p>
        </w:tc>
        <w:tc>
          <w:tcPr>
            <w:tcW w:w="512" w:type="pct"/>
            <w:shd w:val="clear" w:color="000000" w:fill="FFFFFF"/>
            <w:noWrap/>
            <w:vAlign w:val="bottom"/>
            <w:hideMark/>
          </w:tcPr>
          <w:p w14:paraId="054A8120" w14:textId="77777777" w:rsidR="008C5DEC" w:rsidRPr="00287B4A" w:rsidRDefault="008C5DEC" w:rsidP="003106AD">
            <w:pPr>
              <w:jc w:val="center"/>
              <w:rPr>
                <w:rFonts w:asciiTheme="minorHAnsi" w:hAnsiTheme="minorHAnsi" w:cstheme="minorHAnsi"/>
                <w:color w:val="000000" w:themeColor="text1"/>
                <w:sz w:val="22"/>
                <w:szCs w:val="22"/>
              </w:rPr>
            </w:pPr>
            <w:r w:rsidRPr="00287B4A">
              <w:rPr>
                <w:rFonts w:asciiTheme="minorHAnsi" w:hAnsiTheme="minorHAnsi" w:cstheme="minorHAnsi"/>
                <w:color w:val="000000" w:themeColor="text1"/>
                <w:sz w:val="22"/>
                <w:szCs w:val="22"/>
              </w:rPr>
              <w:t>662,020</w:t>
            </w:r>
          </w:p>
        </w:tc>
        <w:tc>
          <w:tcPr>
            <w:tcW w:w="654" w:type="pct"/>
            <w:shd w:val="clear" w:color="000000" w:fill="FFFFFF"/>
            <w:noWrap/>
            <w:vAlign w:val="bottom"/>
            <w:hideMark/>
          </w:tcPr>
          <w:p w14:paraId="16484999" w14:textId="77777777" w:rsidR="008C5DEC" w:rsidRPr="00287B4A" w:rsidRDefault="008C5DEC" w:rsidP="003106AD">
            <w:pPr>
              <w:jc w:val="center"/>
              <w:rPr>
                <w:rFonts w:asciiTheme="minorHAnsi" w:hAnsiTheme="minorHAnsi" w:cstheme="minorHAnsi"/>
                <w:color w:val="000000" w:themeColor="text1"/>
                <w:sz w:val="22"/>
                <w:szCs w:val="22"/>
              </w:rPr>
            </w:pPr>
            <w:r w:rsidRPr="00287B4A">
              <w:rPr>
                <w:rFonts w:asciiTheme="minorHAnsi" w:hAnsiTheme="minorHAnsi" w:cstheme="minorHAnsi"/>
                <w:color w:val="000000" w:themeColor="text1"/>
                <w:sz w:val="22"/>
                <w:szCs w:val="22"/>
              </w:rPr>
              <w:t>233</w:t>
            </w:r>
          </w:p>
        </w:tc>
        <w:tc>
          <w:tcPr>
            <w:tcW w:w="490" w:type="pct"/>
            <w:shd w:val="clear" w:color="000000" w:fill="FFFFFF"/>
            <w:noWrap/>
            <w:vAlign w:val="bottom"/>
            <w:hideMark/>
          </w:tcPr>
          <w:p w14:paraId="6E3C230F" w14:textId="77777777" w:rsidR="008C5DEC" w:rsidRPr="00287B4A" w:rsidRDefault="008C5DEC" w:rsidP="003106AD">
            <w:pPr>
              <w:jc w:val="center"/>
              <w:rPr>
                <w:rFonts w:asciiTheme="minorHAnsi" w:hAnsiTheme="minorHAnsi" w:cstheme="minorHAnsi"/>
                <w:color w:val="000000" w:themeColor="text1"/>
                <w:sz w:val="22"/>
                <w:szCs w:val="22"/>
              </w:rPr>
            </w:pPr>
            <w:r w:rsidRPr="00287B4A">
              <w:rPr>
                <w:rFonts w:asciiTheme="minorHAnsi" w:hAnsiTheme="minorHAnsi" w:cstheme="minorHAnsi"/>
                <w:color w:val="000000" w:themeColor="text1"/>
                <w:sz w:val="22"/>
                <w:szCs w:val="22"/>
              </w:rPr>
              <w:t>98</w:t>
            </w:r>
          </w:p>
        </w:tc>
        <w:tc>
          <w:tcPr>
            <w:tcW w:w="272" w:type="pct"/>
            <w:shd w:val="clear" w:color="000000" w:fill="FFFFFF"/>
            <w:noWrap/>
            <w:vAlign w:val="bottom"/>
            <w:hideMark/>
          </w:tcPr>
          <w:p w14:paraId="1419E44C" w14:textId="77777777" w:rsidR="008C5DEC" w:rsidRPr="00287B4A" w:rsidRDefault="008C5DEC" w:rsidP="003106AD">
            <w:pPr>
              <w:jc w:val="center"/>
              <w:rPr>
                <w:rFonts w:asciiTheme="minorHAnsi" w:hAnsiTheme="minorHAnsi" w:cstheme="minorHAnsi"/>
                <w:color w:val="000000" w:themeColor="text1"/>
                <w:sz w:val="22"/>
                <w:szCs w:val="22"/>
              </w:rPr>
            </w:pPr>
            <w:r w:rsidRPr="00287B4A">
              <w:rPr>
                <w:rFonts w:asciiTheme="minorHAnsi" w:hAnsiTheme="minorHAnsi" w:cstheme="minorHAnsi"/>
                <w:color w:val="000000" w:themeColor="text1"/>
                <w:sz w:val="22"/>
                <w:szCs w:val="22"/>
              </w:rPr>
              <w:t>49</w:t>
            </w:r>
          </w:p>
        </w:tc>
        <w:tc>
          <w:tcPr>
            <w:tcW w:w="592" w:type="pct"/>
            <w:shd w:val="clear" w:color="000000" w:fill="FFFFFF"/>
            <w:noWrap/>
            <w:vAlign w:val="bottom"/>
            <w:hideMark/>
          </w:tcPr>
          <w:p w14:paraId="4057F62D" w14:textId="77777777" w:rsidR="008C5DEC" w:rsidRPr="00287B4A" w:rsidRDefault="008C5DEC" w:rsidP="003106AD">
            <w:pPr>
              <w:jc w:val="center"/>
              <w:rPr>
                <w:rFonts w:asciiTheme="minorHAnsi" w:hAnsiTheme="minorHAnsi" w:cstheme="minorHAnsi"/>
                <w:color w:val="000000" w:themeColor="text1"/>
                <w:sz w:val="22"/>
                <w:szCs w:val="22"/>
              </w:rPr>
            </w:pPr>
            <w:r w:rsidRPr="00287B4A">
              <w:rPr>
                <w:rFonts w:asciiTheme="minorHAnsi" w:hAnsiTheme="minorHAnsi" w:cstheme="minorHAnsi"/>
                <w:color w:val="000000" w:themeColor="text1"/>
                <w:sz w:val="22"/>
                <w:szCs w:val="22"/>
              </w:rPr>
              <w:t>8</w:t>
            </w:r>
          </w:p>
        </w:tc>
      </w:tr>
    </w:tbl>
    <w:p w14:paraId="578A96F7" w14:textId="3AD6FACA" w:rsidR="008C5DEC" w:rsidRDefault="008C5DEC" w:rsidP="003106AD">
      <w:pPr>
        <w:pStyle w:val="Reporttext"/>
        <w:numPr>
          <w:ilvl w:val="0"/>
          <w:numId w:val="0"/>
        </w:numPr>
        <w:ind w:left="709" w:hanging="709"/>
        <w:rPr>
          <w:color w:val="000000" w:themeColor="text1"/>
          <w:sz w:val="20"/>
          <w:szCs w:val="20"/>
          <w:shd w:val="clear" w:color="auto" w:fill="FFFFFF"/>
        </w:rPr>
      </w:pPr>
      <w:r w:rsidRPr="00287B4A">
        <w:rPr>
          <w:color w:val="000000" w:themeColor="text1"/>
          <w:sz w:val="20"/>
          <w:szCs w:val="20"/>
          <w:shd w:val="clear" w:color="auto" w:fill="FFFFFF"/>
        </w:rPr>
        <w:t>Source: Eden DC</w:t>
      </w:r>
    </w:p>
    <w:p w14:paraId="645FEE5F" w14:textId="77777777" w:rsidR="003106AD" w:rsidRPr="00287B4A" w:rsidRDefault="003106AD" w:rsidP="003106AD">
      <w:pPr>
        <w:pStyle w:val="Reporttext"/>
        <w:numPr>
          <w:ilvl w:val="0"/>
          <w:numId w:val="0"/>
        </w:numPr>
        <w:ind w:left="709" w:hanging="709"/>
        <w:rPr>
          <w:color w:val="000000" w:themeColor="text1"/>
          <w:sz w:val="20"/>
          <w:szCs w:val="20"/>
          <w:shd w:val="clear" w:color="auto" w:fill="FFFFFF"/>
        </w:rPr>
      </w:pPr>
    </w:p>
    <w:p w14:paraId="375CE798" w14:textId="29D8A758" w:rsidR="008C5DEC" w:rsidRPr="009C2718" w:rsidRDefault="008C5DEC" w:rsidP="008C5DEC">
      <w:pPr>
        <w:pStyle w:val="Reporttext"/>
        <w:jc w:val="left"/>
        <w:rPr>
          <w:color w:val="000000" w:themeColor="text1"/>
          <w:shd w:val="clear" w:color="auto" w:fill="FFFFFF"/>
        </w:rPr>
      </w:pPr>
      <w:r w:rsidRPr="008C5DEC">
        <w:rPr>
          <w:color w:val="000000" w:themeColor="text1"/>
          <w:shd w:val="clear" w:color="auto" w:fill="FFFFFF"/>
        </w:rPr>
        <w:t xml:space="preserve">There were 98 bathing adaptations, 50 lifts and 8 extensions over the 3 years. The need for adaptations of this nature could be avoided if homes were purpose built to accessibility standards.  With the ageing population demand for DFGs will only increase. Over the life of the local plan the DFG cost will be significant and the </w:t>
      </w:r>
      <w:r w:rsidRPr="009C2718">
        <w:rPr>
          <w:color w:val="000000" w:themeColor="text1"/>
          <w:shd w:val="clear" w:color="auto" w:fill="FFFFFF"/>
        </w:rPr>
        <w:t>adoption of the optional accessibility standards would mitigate this to some extent over time.</w:t>
      </w:r>
    </w:p>
    <w:p w14:paraId="43C99921" w14:textId="77777777" w:rsidR="001F27D2" w:rsidRPr="009C2718" w:rsidRDefault="001F27D2" w:rsidP="001F27D2">
      <w:pPr>
        <w:pStyle w:val="Reporttext"/>
        <w:rPr>
          <w:shd w:val="clear" w:color="auto" w:fill="FFFFFF"/>
        </w:rPr>
      </w:pPr>
      <w:r w:rsidRPr="009C2718">
        <w:rPr>
          <w:shd w:val="clear" w:color="auto" w:fill="FFFFFF"/>
        </w:rPr>
        <w:t xml:space="preserve">It is important to consider that some dwellings will not be capable of adaptation or they are situated in an area that is unsuitable for people with disabilities.  For example, dwellings that are built on a hill, have poor vehicular access, or are located some distance from health care, support and retail facilities. </w:t>
      </w:r>
    </w:p>
    <w:p w14:paraId="2804688C" w14:textId="60AE1994" w:rsidR="001F27D2" w:rsidRPr="009C2718" w:rsidRDefault="001F27D2" w:rsidP="001F27D2">
      <w:pPr>
        <w:pStyle w:val="Reporttext"/>
        <w:rPr>
          <w:shd w:val="clear" w:color="auto" w:fill="FFFFFF"/>
        </w:rPr>
      </w:pPr>
      <w:r w:rsidRPr="009C2718">
        <w:rPr>
          <w:shd w:val="clear" w:color="auto" w:fill="FFFFFF"/>
        </w:rPr>
        <w:t xml:space="preserve">New build housing will play a role in providing additional adapted dwellings and it is recommended that </w:t>
      </w:r>
      <w:r w:rsidR="0034357A" w:rsidRPr="009C2718">
        <w:rPr>
          <w:shd w:val="clear" w:color="auto" w:fill="FFFFFF"/>
        </w:rPr>
        <w:t>dwellings are built to optional accessibility standards</w:t>
      </w:r>
      <w:r w:rsidR="00A93972" w:rsidRPr="009C2718">
        <w:rPr>
          <w:shd w:val="clear" w:color="auto" w:fill="FFFFFF"/>
        </w:rPr>
        <w:t xml:space="preserve"> (note that dwellings can be built to either M4(2) or M4(3) standard)</w:t>
      </w:r>
      <w:r w:rsidR="0034357A" w:rsidRPr="009C2718">
        <w:rPr>
          <w:shd w:val="clear" w:color="auto" w:fill="FFFFFF"/>
        </w:rPr>
        <w:t xml:space="preserve">. Over the past year, ambitious targets have been set by the Greater London Authority and Greater Manchester </w:t>
      </w:r>
      <w:r w:rsidR="0034357A" w:rsidRPr="009C2718">
        <w:rPr>
          <w:shd w:val="clear" w:color="auto" w:fill="FFFFFF"/>
        </w:rPr>
        <w:lastRenderedPageBreak/>
        <w:t>Combined Authority for these standards</w:t>
      </w:r>
      <w:r w:rsidR="0034357A" w:rsidRPr="009C2718">
        <w:rPr>
          <w:rStyle w:val="FootnoteReference"/>
          <w:shd w:val="clear" w:color="auto" w:fill="FFFFFF"/>
        </w:rPr>
        <w:footnoteReference w:id="19"/>
      </w:r>
      <w:r w:rsidR="0034357A" w:rsidRPr="009C2718">
        <w:rPr>
          <w:shd w:val="clear" w:color="auto" w:fill="FFFFFF"/>
        </w:rPr>
        <w:t xml:space="preserve"> . Based on local evidence, it is recommended that </w:t>
      </w:r>
      <w:r w:rsidR="00A93972" w:rsidRPr="009C2718">
        <w:rPr>
          <w:shd w:val="clear" w:color="auto" w:fill="FFFFFF"/>
        </w:rPr>
        <w:t>at least</w:t>
      </w:r>
      <w:r w:rsidRPr="009C2718">
        <w:rPr>
          <w:shd w:val="clear" w:color="auto" w:fill="FFFFFF"/>
        </w:rPr>
        <w:t xml:space="preserve"> </w:t>
      </w:r>
      <w:r w:rsidR="0034357A" w:rsidRPr="009C2718">
        <w:rPr>
          <w:shd w:val="clear" w:color="auto" w:fill="FFFFFF"/>
        </w:rPr>
        <w:t>1%</w:t>
      </w:r>
      <w:r w:rsidR="0034357A" w:rsidRPr="009C2718">
        <w:rPr>
          <w:rStyle w:val="FootnoteReference"/>
          <w:shd w:val="clear" w:color="auto" w:fill="FFFFFF"/>
        </w:rPr>
        <w:footnoteReference w:id="20"/>
      </w:r>
      <w:r w:rsidR="0034357A" w:rsidRPr="009C2718">
        <w:rPr>
          <w:shd w:val="clear" w:color="auto" w:fill="FFFFFF"/>
        </w:rPr>
        <w:t xml:space="preserve"> of dwellings are built to M4(3) wheelchair adapted standard</w:t>
      </w:r>
      <w:r w:rsidR="00A93972" w:rsidRPr="009C2718">
        <w:rPr>
          <w:shd w:val="clear" w:color="auto" w:fill="FFFFFF"/>
        </w:rPr>
        <w:t xml:space="preserve"> and this figure should be monitored given the aging demographic of the district</w:t>
      </w:r>
      <w:r w:rsidR="0034357A" w:rsidRPr="009C2718">
        <w:rPr>
          <w:shd w:val="clear" w:color="auto" w:fill="FFFFFF"/>
        </w:rPr>
        <w:t xml:space="preserve">. </w:t>
      </w:r>
      <w:r w:rsidR="00A93972" w:rsidRPr="009C2718">
        <w:rPr>
          <w:shd w:val="clear" w:color="auto" w:fill="FFFFFF"/>
        </w:rPr>
        <w:t xml:space="preserve">Additionally at </w:t>
      </w:r>
      <w:r w:rsidR="0034357A" w:rsidRPr="009C2718">
        <w:rPr>
          <w:shd w:val="clear" w:color="auto" w:fill="FFFFFF"/>
        </w:rPr>
        <w:t xml:space="preserve">least 20% </w:t>
      </w:r>
      <w:r w:rsidRPr="009C2718">
        <w:rPr>
          <w:shd w:val="clear" w:color="auto" w:fill="FFFFFF"/>
        </w:rPr>
        <w:t>of new build should be developed to support households requiring adaptations</w:t>
      </w:r>
      <w:r w:rsidRPr="009C2718">
        <w:rPr>
          <w:rStyle w:val="FootnoteReference"/>
          <w:shd w:val="clear" w:color="auto" w:fill="FFFFFF"/>
        </w:rPr>
        <w:footnoteReference w:id="21"/>
      </w:r>
      <w:r w:rsidRPr="009C2718">
        <w:rPr>
          <w:shd w:val="clear" w:color="auto" w:fill="FFFFFF"/>
        </w:rPr>
        <w:t xml:space="preserve"> being M4(2) accessible and adaptable homes </w:t>
      </w:r>
      <w:r w:rsidR="00A93972" w:rsidRPr="009C2718">
        <w:rPr>
          <w:shd w:val="clear" w:color="auto" w:fill="FFFFFF"/>
        </w:rPr>
        <w:t xml:space="preserve">and the Council should also consider increasing this to all remaining dwellings subject to economic viability testing. </w:t>
      </w:r>
      <w:r w:rsidRPr="009C2718">
        <w:rPr>
          <w:shd w:val="clear" w:color="auto" w:fill="FFFFFF"/>
        </w:rPr>
        <w:t>Th</w:t>
      </w:r>
      <w:r w:rsidR="00A93972" w:rsidRPr="009C2718">
        <w:rPr>
          <w:shd w:val="clear" w:color="auto" w:fill="FFFFFF"/>
        </w:rPr>
        <w:t>ese</w:t>
      </w:r>
      <w:r w:rsidRPr="009C2718">
        <w:rPr>
          <w:shd w:val="clear" w:color="auto" w:fill="FFFFFF"/>
        </w:rPr>
        <w:t xml:space="preserve"> recommendation</w:t>
      </w:r>
      <w:r w:rsidR="00A93972" w:rsidRPr="009C2718">
        <w:rPr>
          <w:shd w:val="clear" w:color="auto" w:fill="FFFFFF"/>
        </w:rPr>
        <w:t>s</w:t>
      </w:r>
      <w:r w:rsidRPr="009C2718">
        <w:rPr>
          <w:shd w:val="clear" w:color="auto" w:fill="FFFFFF"/>
        </w:rPr>
        <w:t xml:space="preserve"> also assume that there will be ongoing adaptation of existing dwellings to support those with additional needs. </w:t>
      </w:r>
    </w:p>
    <w:p w14:paraId="4C2B895E" w14:textId="77777777" w:rsidR="001F27D2" w:rsidRPr="002B2A7F" w:rsidRDefault="001F27D2" w:rsidP="001F27D2">
      <w:pPr>
        <w:rPr>
          <w:rFonts w:asciiTheme="minorHAnsi" w:hAnsiTheme="minorHAnsi"/>
        </w:rPr>
      </w:pPr>
    </w:p>
    <w:p w14:paraId="3D41B211" w14:textId="77777777" w:rsidR="001F27D2" w:rsidRPr="002B2A7F" w:rsidRDefault="001F27D2" w:rsidP="001F27D2">
      <w:pPr>
        <w:pStyle w:val="Heading3"/>
        <w:rPr>
          <w:rFonts w:asciiTheme="minorHAnsi" w:hAnsiTheme="minorHAnsi" w:cs="Calibri"/>
        </w:rPr>
      </w:pPr>
      <w:r w:rsidRPr="002B2A7F">
        <w:rPr>
          <w:rFonts w:asciiTheme="minorHAnsi" w:hAnsiTheme="minorHAnsi" w:cs="Calibri"/>
        </w:rPr>
        <w:t>Student households</w:t>
      </w:r>
    </w:p>
    <w:p w14:paraId="1C5904A1" w14:textId="76F54041" w:rsidR="001F27D2" w:rsidRPr="002B2A7F" w:rsidRDefault="001F27D2" w:rsidP="001F27D2">
      <w:pPr>
        <w:pStyle w:val="Reporttext"/>
      </w:pPr>
      <w:r w:rsidRPr="002B2A7F">
        <w:t xml:space="preserve">There are limited numbers of student households in the </w:t>
      </w:r>
      <w:r w:rsidR="00F01167">
        <w:t>D</w:t>
      </w:r>
      <w:r w:rsidRPr="002B2A7F">
        <w:t>istrict and stakeholders did not identify addressing the needs of student households as a particular priority.</w:t>
      </w:r>
    </w:p>
    <w:p w14:paraId="1E134EC9" w14:textId="77777777" w:rsidR="001F27D2" w:rsidRPr="002B2A7F" w:rsidRDefault="001F27D2" w:rsidP="001F27D2">
      <w:pPr>
        <w:pStyle w:val="Reporttext"/>
        <w:numPr>
          <w:ilvl w:val="0"/>
          <w:numId w:val="0"/>
        </w:numPr>
        <w:ind w:left="709"/>
      </w:pPr>
    </w:p>
    <w:p w14:paraId="65C234A2" w14:textId="77777777" w:rsidR="001F27D2" w:rsidRPr="002B2A7F" w:rsidRDefault="001F27D2" w:rsidP="001F27D2">
      <w:pPr>
        <w:pStyle w:val="Heading3"/>
        <w:rPr>
          <w:rFonts w:asciiTheme="minorHAnsi" w:hAnsiTheme="minorHAnsi" w:cs="Calibri"/>
        </w:rPr>
      </w:pPr>
      <w:r w:rsidRPr="002B2A7F">
        <w:rPr>
          <w:rFonts w:asciiTheme="minorHAnsi" w:hAnsiTheme="minorHAnsi" w:cs="Calibri"/>
        </w:rPr>
        <w:t>Houses in multiple occupation</w:t>
      </w:r>
    </w:p>
    <w:p w14:paraId="666A0CDB" w14:textId="39AF083B" w:rsidR="001F27D2" w:rsidRPr="002B2A7F" w:rsidRDefault="001F27D2" w:rsidP="001F27D2">
      <w:pPr>
        <w:pStyle w:val="Reporttext"/>
      </w:pPr>
      <w:r w:rsidRPr="002B2A7F">
        <w:t>A house in multiple occupation (HMO) is a property rented out by at least three people who are not from one ‘household’ (for example a family) but share facilities like the bathroom and kitchen. A licence is required for a ’large’ HMO, defined as a property where all of the following apply:</w:t>
      </w:r>
    </w:p>
    <w:p w14:paraId="0D7C1DE1" w14:textId="77777777" w:rsidR="001F27D2" w:rsidRPr="002B2A7F" w:rsidRDefault="001F27D2" w:rsidP="003106AD">
      <w:pPr>
        <w:pStyle w:val="bullet"/>
      </w:pPr>
      <w:r w:rsidRPr="002B2A7F">
        <w:t>It is rented for 5 or more people who form more than 1 household;</w:t>
      </w:r>
    </w:p>
    <w:p w14:paraId="6D92FEED" w14:textId="77777777" w:rsidR="001F27D2" w:rsidRPr="002B2A7F" w:rsidRDefault="001F27D2" w:rsidP="003106AD">
      <w:pPr>
        <w:pStyle w:val="bullet"/>
      </w:pPr>
      <w:r w:rsidRPr="002B2A7F">
        <w:t>Some or all tenants share toilet, bathroom or kitchen facilities; and</w:t>
      </w:r>
    </w:p>
    <w:p w14:paraId="3B4AC129" w14:textId="0ADB9AC6" w:rsidR="001F27D2" w:rsidRPr="002B2A7F" w:rsidRDefault="001F27D2" w:rsidP="003106AD">
      <w:pPr>
        <w:pStyle w:val="bullet"/>
      </w:pPr>
      <w:r w:rsidRPr="002B2A7F">
        <w:t>At least one tenant pays rent (or their employer pays it for them)</w:t>
      </w:r>
      <w:r w:rsidR="00F01167">
        <w:t>.</w:t>
      </w:r>
    </w:p>
    <w:p w14:paraId="3DE10D7F" w14:textId="5322D8A6" w:rsidR="001F27D2" w:rsidRPr="002B2A7F" w:rsidRDefault="001F27D2" w:rsidP="001F27D2">
      <w:pPr>
        <w:pStyle w:val="Reporttext"/>
      </w:pPr>
      <w:r w:rsidRPr="002B2A7F">
        <w:t>According to official data, there are an estimate</w:t>
      </w:r>
      <w:r w:rsidR="00F01167">
        <w:t>d</w:t>
      </w:r>
      <w:r w:rsidRPr="002B2A7F">
        <w:t xml:space="preserve"> 200 HMOs across Eden District in 2017/18</w:t>
      </w:r>
      <w:r w:rsidRPr="002B2A7F">
        <w:rPr>
          <w:rStyle w:val="FootnoteReference"/>
        </w:rPr>
        <w:footnoteReference w:id="22"/>
      </w:r>
      <w:r w:rsidRPr="002B2A7F">
        <w:t xml:space="preserve"> of which 21 are licenced. This compares with an estimate of 200 HMOs in 2011</w:t>
      </w:r>
      <w:r w:rsidR="00F01167">
        <w:t>.</w:t>
      </w:r>
      <w:r w:rsidRPr="002B2A7F">
        <w:rPr>
          <w:rStyle w:val="FootnoteReference"/>
        </w:rPr>
        <w:footnoteReference w:id="23"/>
      </w:r>
    </w:p>
    <w:p w14:paraId="7DCFA58A" w14:textId="77777777" w:rsidR="001F27D2" w:rsidRPr="002B2A7F" w:rsidRDefault="001F27D2" w:rsidP="009170F6"/>
    <w:p w14:paraId="220E8842" w14:textId="77777777" w:rsidR="001F27D2" w:rsidRPr="002B2A7F" w:rsidRDefault="001F27D2" w:rsidP="001F27D2">
      <w:pPr>
        <w:pStyle w:val="Heading3"/>
        <w:rPr>
          <w:rFonts w:asciiTheme="minorHAnsi" w:hAnsiTheme="minorHAnsi" w:cs="Calibri"/>
        </w:rPr>
      </w:pPr>
      <w:r w:rsidRPr="002B2A7F">
        <w:rPr>
          <w:rFonts w:asciiTheme="minorHAnsi" w:hAnsiTheme="minorHAnsi" w:cs="Calibri"/>
        </w:rPr>
        <w:t>Homeless and previously-homeless households</w:t>
      </w:r>
      <w:bookmarkEnd w:id="533"/>
      <w:bookmarkEnd w:id="534"/>
      <w:bookmarkEnd w:id="535"/>
    </w:p>
    <w:p w14:paraId="228E1FD3" w14:textId="4AC97D03" w:rsidR="001F27D2" w:rsidRPr="002B2A7F" w:rsidRDefault="001F27D2" w:rsidP="001F27D2">
      <w:pPr>
        <w:pStyle w:val="Reporttext"/>
      </w:pPr>
      <w:r w:rsidRPr="002B2A7F">
        <w:t xml:space="preserve">Ministry of Housing, Communities and Local Government (MHCLG) Homelessness </w:t>
      </w:r>
      <w:r w:rsidRPr="002B2A7F">
        <w:rPr>
          <w:iCs/>
        </w:rPr>
        <w:t>Statistics</w:t>
      </w:r>
      <w:r w:rsidRPr="002B2A7F">
        <w:t xml:space="preserve"> for the year 2016/17 indicate that a total of 25 decisions were made on households declaring themselves as homeless across the district (Table </w:t>
      </w:r>
      <w:r w:rsidR="009170F6">
        <w:rPr>
          <w:lang w:val="en-US"/>
        </w:rPr>
        <w:t>6.16</w:t>
      </w:r>
      <w:r w:rsidRPr="002B2A7F">
        <w:t xml:space="preserve">). Over the five years 2012/13 to 2016/17, an annual average of 29 decisions were made across the </w:t>
      </w:r>
      <w:r w:rsidR="00F01167">
        <w:t>D</w:t>
      </w:r>
      <w:r w:rsidRPr="002B2A7F">
        <w:t>istrict.</w:t>
      </w:r>
    </w:p>
    <w:p w14:paraId="41679EF2" w14:textId="0B51D218" w:rsidR="001F27D2" w:rsidRDefault="001F27D2" w:rsidP="001F27D2">
      <w:pPr>
        <w:pStyle w:val="Reporttext"/>
        <w:numPr>
          <w:ilvl w:val="0"/>
          <w:numId w:val="0"/>
        </w:numPr>
        <w:ind w:left="709"/>
      </w:pPr>
    </w:p>
    <w:p w14:paraId="5CF5AA0D" w14:textId="57898B90" w:rsidR="009C2718" w:rsidRDefault="009C2718" w:rsidP="001F27D2">
      <w:pPr>
        <w:pStyle w:val="Reporttext"/>
        <w:numPr>
          <w:ilvl w:val="0"/>
          <w:numId w:val="0"/>
        </w:numPr>
        <w:ind w:left="709"/>
      </w:pPr>
    </w:p>
    <w:p w14:paraId="52BC0128" w14:textId="77777777" w:rsidR="009C2718" w:rsidRPr="002B2A7F" w:rsidRDefault="009C2718" w:rsidP="001F27D2">
      <w:pPr>
        <w:pStyle w:val="Reporttext"/>
        <w:numPr>
          <w:ilvl w:val="0"/>
          <w:numId w:val="0"/>
        </w:numPr>
        <w:ind w:left="709"/>
      </w:pPr>
    </w:p>
    <w:tbl>
      <w:tblPr>
        <w:tblW w:w="5484" w:type="dxa"/>
        <w:tblInd w:w="720"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082"/>
        <w:gridCol w:w="3402"/>
      </w:tblGrid>
      <w:tr w:rsidR="001F27D2" w:rsidRPr="009170F6" w14:paraId="7FE93075" w14:textId="77777777" w:rsidTr="009170F6">
        <w:tc>
          <w:tcPr>
            <w:tcW w:w="5484" w:type="dxa"/>
            <w:gridSpan w:val="2"/>
            <w:shd w:val="clear" w:color="auto" w:fill="009999"/>
            <w:vAlign w:val="bottom"/>
          </w:tcPr>
          <w:p w14:paraId="3F4973B8" w14:textId="751A2FFD" w:rsidR="001F27D2" w:rsidRPr="009170F6" w:rsidRDefault="001F27D2" w:rsidP="009170F6">
            <w:pPr>
              <w:pStyle w:val="Tableheading1"/>
              <w:rPr>
                <w:color w:val="FFFFFF"/>
                <w:lang w:eastAsia="en-GB"/>
              </w:rPr>
            </w:pPr>
            <w:bookmarkStart w:id="546" w:name="_Toc529652136"/>
            <w:bookmarkStart w:id="547" w:name="_Toc529739479"/>
            <w:bookmarkStart w:id="548" w:name="_Toc531122975"/>
            <w:bookmarkStart w:id="549" w:name="_Toc532812504"/>
            <w:r w:rsidRPr="009170F6">
              <w:lastRenderedPageBreak/>
              <w:t xml:space="preserve">Table </w:t>
            </w:r>
            <w:r w:rsidR="009170F6">
              <w:t>6.16</w:t>
            </w:r>
            <w:r w:rsidRPr="009170F6">
              <w:tab/>
              <w:t>Homeless decisions 2012/13 to 2016/17</w:t>
            </w:r>
            <w:bookmarkEnd w:id="546"/>
            <w:bookmarkEnd w:id="547"/>
            <w:bookmarkEnd w:id="548"/>
            <w:bookmarkEnd w:id="549"/>
          </w:p>
        </w:tc>
      </w:tr>
      <w:tr w:rsidR="001F27D2" w:rsidRPr="009170F6" w14:paraId="458A5D2B" w14:textId="77777777" w:rsidTr="009170F6">
        <w:tc>
          <w:tcPr>
            <w:tcW w:w="2082" w:type="dxa"/>
            <w:shd w:val="clear" w:color="auto" w:fill="009999"/>
            <w:vAlign w:val="bottom"/>
            <w:hideMark/>
          </w:tcPr>
          <w:p w14:paraId="2FF4F7CF" w14:textId="77777777" w:rsidR="001F27D2" w:rsidRPr="009170F6" w:rsidRDefault="001F27D2" w:rsidP="009170F6">
            <w:pPr>
              <w:spacing w:before="0" w:after="0"/>
              <w:rPr>
                <w:rFonts w:cs="Calibri"/>
                <w:b/>
                <w:bCs/>
                <w:color w:val="FFFFFF"/>
                <w:sz w:val="22"/>
                <w:szCs w:val="22"/>
                <w:lang w:eastAsia="en-GB"/>
              </w:rPr>
            </w:pPr>
            <w:r w:rsidRPr="009170F6">
              <w:rPr>
                <w:rFonts w:cs="Calibri"/>
                <w:b/>
                <w:bCs/>
                <w:color w:val="FFFFFF"/>
                <w:sz w:val="22"/>
                <w:szCs w:val="22"/>
                <w:lang w:eastAsia="en-GB"/>
              </w:rPr>
              <w:t>Year</w:t>
            </w:r>
          </w:p>
        </w:tc>
        <w:tc>
          <w:tcPr>
            <w:tcW w:w="3402" w:type="dxa"/>
            <w:shd w:val="clear" w:color="auto" w:fill="009999"/>
            <w:vAlign w:val="bottom"/>
            <w:hideMark/>
          </w:tcPr>
          <w:p w14:paraId="63D38B0D" w14:textId="77777777" w:rsidR="001F27D2" w:rsidRPr="009170F6" w:rsidRDefault="001F27D2" w:rsidP="009170F6">
            <w:pPr>
              <w:spacing w:before="0" w:after="0"/>
              <w:jc w:val="center"/>
              <w:rPr>
                <w:rFonts w:cs="Calibri"/>
                <w:b/>
                <w:bCs/>
                <w:color w:val="FFFFFF"/>
                <w:sz w:val="22"/>
                <w:szCs w:val="22"/>
                <w:lang w:eastAsia="en-GB"/>
              </w:rPr>
            </w:pPr>
            <w:r w:rsidRPr="009170F6">
              <w:rPr>
                <w:rFonts w:cs="Calibri"/>
                <w:b/>
                <w:bCs/>
                <w:color w:val="FFFFFF"/>
                <w:sz w:val="22"/>
                <w:szCs w:val="22"/>
                <w:lang w:eastAsia="en-GB"/>
              </w:rPr>
              <w:t>Decisions made</w:t>
            </w:r>
          </w:p>
        </w:tc>
      </w:tr>
      <w:tr w:rsidR="001F27D2" w:rsidRPr="009170F6" w14:paraId="4BA6D510" w14:textId="77777777" w:rsidTr="009170F6">
        <w:tc>
          <w:tcPr>
            <w:tcW w:w="2082" w:type="dxa"/>
            <w:shd w:val="clear" w:color="auto" w:fill="auto"/>
            <w:noWrap/>
            <w:vAlign w:val="bottom"/>
            <w:hideMark/>
          </w:tcPr>
          <w:p w14:paraId="68252697" w14:textId="77777777" w:rsidR="001F27D2" w:rsidRPr="009170F6" w:rsidRDefault="001F27D2" w:rsidP="009170F6">
            <w:pPr>
              <w:spacing w:before="0" w:after="0"/>
              <w:rPr>
                <w:rFonts w:cs="Calibri"/>
                <w:color w:val="000000"/>
                <w:sz w:val="22"/>
                <w:szCs w:val="22"/>
                <w:lang w:eastAsia="en-GB"/>
              </w:rPr>
            </w:pPr>
            <w:r w:rsidRPr="009170F6">
              <w:rPr>
                <w:rFonts w:cs="Calibri"/>
                <w:color w:val="000000"/>
                <w:sz w:val="22"/>
                <w:szCs w:val="22"/>
                <w:lang w:eastAsia="en-GB"/>
              </w:rPr>
              <w:t>2012/13</w:t>
            </w:r>
          </w:p>
        </w:tc>
        <w:tc>
          <w:tcPr>
            <w:tcW w:w="3402" w:type="dxa"/>
            <w:shd w:val="clear" w:color="auto" w:fill="auto"/>
            <w:noWrap/>
            <w:vAlign w:val="bottom"/>
          </w:tcPr>
          <w:p w14:paraId="7446653D"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12</w:t>
            </w:r>
          </w:p>
        </w:tc>
      </w:tr>
      <w:tr w:rsidR="001F27D2" w:rsidRPr="009170F6" w14:paraId="3FDC377F" w14:textId="77777777" w:rsidTr="009170F6">
        <w:tc>
          <w:tcPr>
            <w:tcW w:w="2082" w:type="dxa"/>
            <w:shd w:val="clear" w:color="auto" w:fill="auto"/>
            <w:noWrap/>
            <w:vAlign w:val="bottom"/>
          </w:tcPr>
          <w:p w14:paraId="5A48A30C" w14:textId="77777777" w:rsidR="001F27D2" w:rsidRPr="009170F6" w:rsidRDefault="001F27D2" w:rsidP="009170F6">
            <w:pPr>
              <w:spacing w:before="0" w:after="0"/>
              <w:rPr>
                <w:rFonts w:cs="Calibri"/>
                <w:color w:val="000000"/>
                <w:sz w:val="22"/>
                <w:szCs w:val="22"/>
                <w:lang w:eastAsia="en-GB"/>
              </w:rPr>
            </w:pPr>
            <w:r w:rsidRPr="009170F6">
              <w:rPr>
                <w:rFonts w:cs="Calibri"/>
                <w:color w:val="000000"/>
                <w:sz w:val="22"/>
                <w:szCs w:val="22"/>
                <w:lang w:eastAsia="en-GB"/>
              </w:rPr>
              <w:t>2013/14</w:t>
            </w:r>
          </w:p>
        </w:tc>
        <w:tc>
          <w:tcPr>
            <w:tcW w:w="3402" w:type="dxa"/>
            <w:shd w:val="clear" w:color="auto" w:fill="auto"/>
            <w:noWrap/>
            <w:vAlign w:val="bottom"/>
          </w:tcPr>
          <w:p w14:paraId="2FA3F434"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43</w:t>
            </w:r>
          </w:p>
        </w:tc>
      </w:tr>
      <w:tr w:rsidR="001F27D2" w:rsidRPr="009170F6" w14:paraId="6DDDB0B0" w14:textId="77777777" w:rsidTr="009170F6">
        <w:tc>
          <w:tcPr>
            <w:tcW w:w="2082" w:type="dxa"/>
            <w:shd w:val="clear" w:color="auto" w:fill="auto"/>
            <w:noWrap/>
            <w:vAlign w:val="bottom"/>
          </w:tcPr>
          <w:p w14:paraId="7E49DD59" w14:textId="77777777" w:rsidR="001F27D2" w:rsidRPr="009170F6" w:rsidRDefault="001F27D2" w:rsidP="009170F6">
            <w:pPr>
              <w:spacing w:before="0" w:after="0"/>
              <w:rPr>
                <w:rFonts w:cs="Calibri"/>
                <w:color w:val="000000"/>
                <w:sz w:val="22"/>
                <w:szCs w:val="22"/>
                <w:lang w:eastAsia="en-GB"/>
              </w:rPr>
            </w:pPr>
            <w:r w:rsidRPr="009170F6">
              <w:rPr>
                <w:rFonts w:cs="Calibri"/>
                <w:color w:val="000000"/>
                <w:sz w:val="22"/>
                <w:szCs w:val="22"/>
                <w:lang w:eastAsia="en-GB"/>
              </w:rPr>
              <w:t>2014/15</w:t>
            </w:r>
          </w:p>
        </w:tc>
        <w:tc>
          <w:tcPr>
            <w:tcW w:w="3402" w:type="dxa"/>
            <w:shd w:val="clear" w:color="auto" w:fill="auto"/>
            <w:noWrap/>
            <w:vAlign w:val="bottom"/>
          </w:tcPr>
          <w:p w14:paraId="72BD93D8"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30</w:t>
            </w:r>
          </w:p>
        </w:tc>
      </w:tr>
      <w:tr w:rsidR="001F27D2" w:rsidRPr="009170F6" w14:paraId="0D860906" w14:textId="77777777" w:rsidTr="009170F6">
        <w:tc>
          <w:tcPr>
            <w:tcW w:w="2082" w:type="dxa"/>
            <w:shd w:val="clear" w:color="auto" w:fill="auto"/>
            <w:noWrap/>
            <w:vAlign w:val="bottom"/>
          </w:tcPr>
          <w:p w14:paraId="6CD04D71" w14:textId="77777777" w:rsidR="001F27D2" w:rsidRPr="009170F6" w:rsidRDefault="001F27D2" w:rsidP="009170F6">
            <w:pPr>
              <w:spacing w:before="0" w:after="0"/>
              <w:rPr>
                <w:rFonts w:cs="Calibri"/>
                <w:color w:val="000000"/>
                <w:sz w:val="22"/>
                <w:szCs w:val="22"/>
                <w:lang w:eastAsia="en-GB"/>
              </w:rPr>
            </w:pPr>
            <w:r w:rsidRPr="009170F6">
              <w:rPr>
                <w:rFonts w:cs="Calibri"/>
                <w:color w:val="000000"/>
                <w:sz w:val="22"/>
                <w:szCs w:val="22"/>
                <w:lang w:eastAsia="en-GB"/>
              </w:rPr>
              <w:t>2015/16</w:t>
            </w:r>
          </w:p>
        </w:tc>
        <w:tc>
          <w:tcPr>
            <w:tcW w:w="3402" w:type="dxa"/>
            <w:shd w:val="clear" w:color="auto" w:fill="auto"/>
            <w:noWrap/>
            <w:vAlign w:val="bottom"/>
          </w:tcPr>
          <w:p w14:paraId="0E37CB7C" w14:textId="77777777" w:rsidR="001F27D2" w:rsidRPr="009170F6" w:rsidRDefault="001F27D2" w:rsidP="009170F6">
            <w:pPr>
              <w:spacing w:before="0" w:after="0"/>
              <w:jc w:val="center"/>
              <w:rPr>
                <w:rFonts w:cs="Calibri"/>
                <w:sz w:val="22"/>
                <w:szCs w:val="22"/>
              </w:rPr>
            </w:pPr>
            <w:r w:rsidRPr="009170F6">
              <w:rPr>
                <w:rFonts w:cs="Calibri"/>
                <w:sz w:val="22"/>
                <w:szCs w:val="22"/>
              </w:rPr>
              <w:t>35</w:t>
            </w:r>
          </w:p>
        </w:tc>
      </w:tr>
      <w:tr w:rsidR="001F27D2" w:rsidRPr="009170F6" w14:paraId="0D145547" w14:textId="77777777" w:rsidTr="009170F6">
        <w:tc>
          <w:tcPr>
            <w:tcW w:w="2082" w:type="dxa"/>
            <w:shd w:val="clear" w:color="auto" w:fill="auto"/>
            <w:noWrap/>
            <w:vAlign w:val="bottom"/>
          </w:tcPr>
          <w:p w14:paraId="6A14EEC3" w14:textId="77777777" w:rsidR="001F27D2" w:rsidRPr="009170F6" w:rsidRDefault="001F27D2" w:rsidP="009170F6">
            <w:pPr>
              <w:spacing w:before="0" w:after="0"/>
              <w:rPr>
                <w:rFonts w:cs="Calibri"/>
                <w:color w:val="000000"/>
                <w:sz w:val="22"/>
                <w:szCs w:val="22"/>
                <w:lang w:eastAsia="en-GB"/>
              </w:rPr>
            </w:pPr>
            <w:r w:rsidRPr="009170F6">
              <w:rPr>
                <w:rFonts w:cs="Calibri"/>
                <w:color w:val="000000"/>
                <w:sz w:val="22"/>
                <w:szCs w:val="22"/>
                <w:lang w:eastAsia="en-GB"/>
              </w:rPr>
              <w:t>2016/17</w:t>
            </w:r>
          </w:p>
        </w:tc>
        <w:tc>
          <w:tcPr>
            <w:tcW w:w="3402" w:type="dxa"/>
            <w:shd w:val="clear" w:color="auto" w:fill="auto"/>
            <w:noWrap/>
            <w:vAlign w:val="bottom"/>
          </w:tcPr>
          <w:p w14:paraId="4018A8E6" w14:textId="77777777" w:rsidR="001F27D2" w:rsidRPr="009170F6" w:rsidRDefault="001F27D2" w:rsidP="009170F6">
            <w:pPr>
              <w:spacing w:before="0" w:after="0"/>
              <w:jc w:val="center"/>
              <w:rPr>
                <w:rFonts w:cs="Calibri"/>
                <w:sz w:val="22"/>
                <w:szCs w:val="22"/>
              </w:rPr>
            </w:pPr>
            <w:r w:rsidRPr="009170F6">
              <w:rPr>
                <w:rFonts w:cs="Calibri"/>
                <w:sz w:val="22"/>
                <w:szCs w:val="22"/>
              </w:rPr>
              <w:t>25</w:t>
            </w:r>
          </w:p>
        </w:tc>
      </w:tr>
      <w:tr w:rsidR="001F27D2" w:rsidRPr="009170F6" w14:paraId="3243A76C" w14:textId="77777777" w:rsidTr="009170F6">
        <w:tc>
          <w:tcPr>
            <w:tcW w:w="2082" w:type="dxa"/>
            <w:shd w:val="clear" w:color="auto" w:fill="auto"/>
            <w:noWrap/>
            <w:vAlign w:val="bottom"/>
            <w:hideMark/>
          </w:tcPr>
          <w:p w14:paraId="60183079" w14:textId="77777777" w:rsidR="001F27D2" w:rsidRPr="009170F6" w:rsidRDefault="001F27D2" w:rsidP="009170F6">
            <w:pPr>
              <w:spacing w:before="0" w:after="0"/>
              <w:rPr>
                <w:rFonts w:cs="Calibri"/>
                <w:color w:val="000000"/>
                <w:sz w:val="22"/>
                <w:szCs w:val="22"/>
                <w:lang w:eastAsia="en-GB"/>
              </w:rPr>
            </w:pPr>
            <w:r w:rsidRPr="009170F6">
              <w:rPr>
                <w:rFonts w:cs="Calibri"/>
                <w:color w:val="000000"/>
                <w:sz w:val="22"/>
                <w:szCs w:val="22"/>
                <w:lang w:eastAsia="en-GB"/>
              </w:rPr>
              <w:t>Total</w:t>
            </w:r>
          </w:p>
        </w:tc>
        <w:tc>
          <w:tcPr>
            <w:tcW w:w="3402" w:type="dxa"/>
            <w:shd w:val="clear" w:color="auto" w:fill="auto"/>
            <w:noWrap/>
            <w:vAlign w:val="bottom"/>
          </w:tcPr>
          <w:p w14:paraId="1B088E31"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145</w:t>
            </w:r>
          </w:p>
        </w:tc>
      </w:tr>
      <w:tr w:rsidR="001F27D2" w:rsidRPr="009170F6" w14:paraId="77758A9C" w14:textId="77777777" w:rsidTr="009170F6">
        <w:tc>
          <w:tcPr>
            <w:tcW w:w="2082" w:type="dxa"/>
            <w:shd w:val="clear" w:color="auto" w:fill="auto"/>
            <w:noWrap/>
            <w:vAlign w:val="bottom"/>
            <w:hideMark/>
          </w:tcPr>
          <w:p w14:paraId="687AA7DC" w14:textId="77777777" w:rsidR="001F27D2" w:rsidRPr="009170F6" w:rsidRDefault="001F27D2" w:rsidP="009170F6">
            <w:pPr>
              <w:spacing w:before="0" w:after="0"/>
              <w:rPr>
                <w:rFonts w:cs="Calibri"/>
                <w:color w:val="000000"/>
                <w:sz w:val="22"/>
                <w:szCs w:val="22"/>
                <w:lang w:eastAsia="en-GB"/>
              </w:rPr>
            </w:pPr>
            <w:r w:rsidRPr="009170F6">
              <w:rPr>
                <w:rFonts w:cs="Calibri"/>
                <w:color w:val="000000"/>
                <w:sz w:val="22"/>
                <w:szCs w:val="22"/>
                <w:lang w:eastAsia="en-GB"/>
              </w:rPr>
              <w:t>Annual Average</w:t>
            </w:r>
          </w:p>
        </w:tc>
        <w:tc>
          <w:tcPr>
            <w:tcW w:w="3402" w:type="dxa"/>
            <w:shd w:val="clear" w:color="auto" w:fill="auto"/>
            <w:noWrap/>
            <w:vAlign w:val="bottom"/>
          </w:tcPr>
          <w:p w14:paraId="448683A8"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29</w:t>
            </w:r>
          </w:p>
        </w:tc>
      </w:tr>
    </w:tbl>
    <w:p w14:paraId="735386EB" w14:textId="77777777" w:rsidR="001F27D2" w:rsidRPr="002B2A7F" w:rsidRDefault="001F27D2" w:rsidP="001F27D2">
      <w:pPr>
        <w:ind w:left="709"/>
        <w:rPr>
          <w:rFonts w:asciiTheme="minorHAnsi" w:hAnsiTheme="minorHAnsi" w:cs="Calibri"/>
          <w:sz w:val="20"/>
          <w:szCs w:val="20"/>
        </w:rPr>
      </w:pPr>
      <w:r w:rsidRPr="002B2A7F">
        <w:rPr>
          <w:rFonts w:asciiTheme="minorHAnsi" w:hAnsiTheme="minorHAnsi" w:cs="Calibri"/>
          <w:sz w:val="20"/>
          <w:szCs w:val="20"/>
        </w:rPr>
        <w:t>Source: MHCLG Homelessness Statistics</w:t>
      </w:r>
    </w:p>
    <w:p w14:paraId="540FFEAF" w14:textId="77777777" w:rsidR="001F27D2" w:rsidRPr="002B2A7F" w:rsidRDefault="001F27D2" w:rsidP="001F27D2">
      <w:pPr>
        <w:pStyle w:val="Heading3"/>
        <w:rPr>
          <w:rFonts w:asciiTheme="minorHAnsi" w:hAnsiTheme="minorHAnsi" w:cs="Calibri"/>
        </w:rPr>
      </w:pPr>
      <w:bookmarkStart w:id="550" w:name="h.40ew0vw" w:colFirst="0" w:colLast="0"/>
      <w:bookmarkEnd w:id="550"/>
      <w:r w:rsidRPr="002B2A7F">
        <w:rPr>
          <w:rFonts w:asciiTheme="minorHAnsi" w:hAnsiTheme="minorHAnsi" w:cs="Calibri"/>
        </w:rPr>
        <w:t>Armed forces personnel</w:t>
      </w:r>
    </w:p>
    <w:p w14:paraId="04AA6F99" w14:textId="77777777" w:rsidR="001F27D2" w:rsidRPr="002B2A7F" w:rsidRDefault="001F27D2" w:rsidP="001F27D2">
      <w:pPr>
        <w:pStyle w:val="Reporttext"/>
      </w:pPr>
      <w:r w:rsidRPr="002B2A7F">
        <w:t xml:space="preserve">The housing register currently has fewer than 5 applicants who are currently in the armed forces. For confidentiality reasons it would not be appropriate to express their specific needs suffice it to say that their needs are appropriately considered in the analysis of affordable housing needs. </w:t>
      </w:r>
    </w:p>
    <w:p w14:paraId="1987E2E7" w14:textId="77777777" w:rsidR="001F27D2" w:rsidRPr="002B2A7F" w:rsidRDefault="001F27D2" w:rsidP="001F27D2">
      <w:pPr>
        <w:tabs>
          <w:tab w:val="left" w:pos="709"/>
        </w:tabs>
        <w:rPr>
          <w:rFonts w:asciiTheme="minorHAnsi" w:hAnsiTheme="minorHAnsi" w:cs="Calibri"/>
          <w:lang w:val="x-none"/>
        </w:rPr>
      </w:pPr>
    </w:p>
    <w:p w14:paraId="0D1872BD" w14:textId="77777777" w:rsidR="001F27D2" w:rsidRPr="002B2A7F" w:rsidRDefault="001F27D2" w:rsidP="001F27D2">
      <w:pPr>
        <w:pStyle w:val="Heading3"/>
        <w:rPr>
          <w:rFonts w:asciiTheme="minorHAnsi" w:hAnsiTheme="minorHAnsi" w:cs="Calibri"/>
        </w:rPr>
      </w:pPr>
      <w:r w:rsidRPr="002B2A7F">
        <w:rPr>
          <w:rFonts w:asciiTheme="minorHAnsi" w:hAnsiTheme="minorHAnsi" w:cs="Calibri"/>
        </w:rPr>
        <w:t>Black and Minority Ethnic households (BAME)</w:t>
      </w:r>
    </w:p>
    <w:p w14:paraId="7DF686B0" w14:textId="52A88CBB" w:rsidR="001F27D2" w:rsidRPr="002B2A7F" w:rsidRDefault="001F27D2" w:rsidP="001F27D2">
      <w:pPr>
        <w:pStyle w:val="Reporttext"/>
      </w:pPr>
      <w:r w:rsidRPr="002B2A7F">
        <w:t xml:space="preserve">The 2011 </w:t>
      </w:r>
      <w:r w:rsidR="00F01167">
        <w:t>C</w:t>
      </w:r>
      <w:r w:rsidRPr="002B2A7F">
        <w:t xml:space="preserve">ensus reported a low BAME population in the </w:t>
      </w:r>
      <w:r w:rsidR="00F01167">
        <w:t>D</w:t>
      </w:r>
      <w:r w:rsidRPr="002B2A7F">
        <w:t>istrict. A total of 2.6% of household reference people had an ethnicity other than White British: 1.8% were other White, 0.4% were Asian/Asian British and 0.4% were other groups. Given the low level of BAME population, further analysis of the needs of the population have not been expressed separately but included as part of overall household analysis.</w:t>
      </w:r>
    </w:p>
    <w:p w14:paraId="7599F975" w14:textId="77777777" w:rsidR="001F27D2" w:rsidRPr="002B2A7F" w:rsidRDefault="001F27D2" w:rsidP="001F27D2">
      <w:pPr>
        <w:tabs>
          <w:tab w:val="left" w:pos="709"/>
        </w:tabs>
        <w:rPr>
          <w:rFonts w:asciiTheme="minorHAnsi" w:hAnsiTheme="minorHAnsi" w:cs="Calibri"/>
          <w:lang w:val="x-none"/>
        </w:rPr>
      </w:pPr>
    </w:p>
    <w:p w14:paraId="2F03F085" w14:textId="77777777" w:rsidR="001F27D2" w:rsidRPr="002B2A7F" w:rsidRDefault="001F27D2" w:rsidP="001F27D2">
      <w:pPr>
        <w:keepNext/>
        <w:tabs>
          <w:tab w:val="num" w:pos="709"/>
        </w:tabs>
        <w:ind w:left="1418" w:hanging="709"/>
        <w:outlineLvl w:val="1"/>
        <w:rPr>
          <w:rFonts w:asciiTheme="minorHAnsi" w:hAnsiTheme="minorHAnsi" w:cs="Calibri"/>
          <w:bCs/>
          <w:iCs/>
          <w:color w:val="009999"/>
          <w:sz w:val="32"/>
          <w:szCs w:val="28"/>
          <w:lang w:val="x-none"/>
        </w:rPr>
      </w:pPr>
      <w:bookmarkStart w:id="551" w:name="_Toc529780776"/>
      <w:bookmarkStart w:id="552" w:name="_Toc531122900"/>
      <w:bookmarkStart w:id="553" w:name="_Toc532812429"/>
      <w:r w:rsidRPr="002B2A7F">
        <w:rPr>
          <w:rFonts w:asciiTheme="minorHAnsi" w:hAnsiTheme="minorHAnsi" w:cs="Calibri"/>
          <w:bCs/>
          <w:iCs/>
          <w:color w:val="009999"/>
          <w:sz w:val="32"/>
          <w:szCs w:val="28"/>
          <w:lang w:val="x-none"/>
        </w:rPr>
        <w:t>Summa</w:t>
      </w:r>
      <w:r w:rsidRPr="002B2A7F">
        <w:rPr>
          <w:rFonts w:asciiTheme="minorHAnsi" w:hAnsiTheme="minorHAnsi" w:cs="Calibri"/>
          <w:bCs/>
          <w:iCs/>
          <w:color w:val="009999"/>
          <w:sz w:val="32"/>
          <w:szCs w:val="28"/>
        </w:rPr>
        <w:t>ry</w:t>
      </w:r>
      <w:bookmarkEnd w:id="551"/>
      <w:bookmarkEnd w:id="552"/>
      <w:bookmarkEnd w:id="553"/>
    </w:p>
    <w:p w14:paraId="452EF143" w14:textId="77777777" w:rsidR="001F27D2" w:rsidRPr="002B2A7F" w:rsidRDefault="001F27D2" w:rsidP="001F27D2">
      <w:pPr>
        <w:pStyle w:val="Reporttext"/>
      </w:pPr>
      <w:r w:rsidRPr="002B2A7F">
        <w:t xml:space="preserve">This chapter </w:t>
      </w:r>
      <w:r w:rsidRPr="002B2A7F">
        <w:rPr>
          <w:lang w:val="en-US"/>
        </w:rPr>
        <w:t xml:space="preserve">has considered the needs of different groups in line with the NPPF and requirements of the brief. Key findings are now summarised. </w:t>
      </w:r>
    </w:p>
    <w:p w14:paraId="34EA741A" w14:textId="77777777" w:rsidR="001F27D2" w:rsidRPr="002B2A7F" w:rsidRDefault="001F27D2" w:rsidP="001F27D2">
      <w:pPr>
        <w:pStyle w:val="Reporttext"/>
      </w:pPr>
      <w:r w:rsidRPr="002B2A7F">
        <w:t xml:space="preserve">In terms of older people, it is evident that the vast majority of older people wish to stay within their existing homes. For most, this is an informed and appropriate choice where current and future housing needs can be addressed through in situ solutions (including adaptations). </w:t>
      </w:r>
    </w:p>
    <w:p w14:paraId="2174DE57" w14:textId="77777777" w:rsidR="001F27D2" w:rsidRPr="002B2A7F" w:rsidRDefault="001F27D2" w:rsidP="001F27D2">
      <w:pPr>
        <w:pStyle w:val="Reporttext"/>
      </w:pPr>
      <w:r w:rsidRPr="002B2A7F">
        <w:rPr>
          <w:lang w:val="en-US"/>
        </w:rPr>
        <w:t xml:space="preserve">Currently there are around 764 units of specialist older person accommodation including 253 units of residential care (C2) units. 58% is provided by a Registered Provider and 42% by a private organisation. Analysis of demographic change would suggest a need for an additional 248 units of specialist older person (C2) and 123 units of residential care (C3) will be required to 2032. </w:t>
      </w:r>
    </w:p>
    <w:p w14:paraId="1B8281BB" w14:textId="72CC067B" w:rsidR="001F27D2" w:rsidRDefault="001F27D2" w:rsidP="001F27D2">
      <w:pPr>
        <w:pStyle w:val="Reporttext"/>
      </w:pPr>
      <w:r w:rsidRPr="002B2A7F">
        <w:rPr>
          <w:lang w:val="en-US"/>
        </w:rPr>
        <w:t xml:space="preserve">A key conclusion is that there needs to be a broader housing offer for older people across the </w:t>
      </w:r>
      <w:r w:rsidR="00F01167">
        <w:rPr>
          <w:lang w:val="en-US"/>
        </w:rPr>
        <w:t>District</w:t>
      </w:r>
      <w:r w:rsidRPr="002B2A7F">
        <w:rPr>
          <w:lang w:val="en-US"/>
        </w:rPr>
        <w:t xml:space="preserve"> and the </w:t>
      </w:r>
      <w:r w:rsidR="00F01167">
        <w:rPr>
          <w:lang w:val="en-US"/>
        </w:rPr>
        <w:t>Study</w:t>
      </w:r>
      <w:r w:rsidRPr="002B2A7F">
        <w:rPr>
          <w:lang w:val="en-US"/>
        </w:rPr>
        <w:t xml:space="preserve"> has provided evidence of scale and range of dwellings needed. </w:t>
      </w:r>
      <w:r w:rsidR="00855ED3">
        <w:rPr>
          <w:lang w:val="en-US"/>
        </w:rPr>
        <w:t xml:space="preserve">The provision of additional stock is needed due to the aging demographic of Eden’s population – but the actual impact on whether this would mean more people choose to move from their dwelling (even though they have stated a preference to stay there) </w:t>
      </w:r>
      <w:r w:rsidR="00FC5F39">
        <w:rPr>
          <w:lang w:val="en-US"/>
        </w:rPr>
        <w:t>or a change in the number of dwellings to be adapted can only be reasonably ascertained once new stock is developed.</w:t>
      </w:r>
    </w:p>
    <w:p w14:paraId="78B79967" w14:textId="5874594C" w:rsidR="001F27D2" w:rsidRPr="002B2A7F" w:rsidRDefault="001F27D2" w:rsidP="001F27D2">
      <w:pPr>
        <w:pStyle w:val="Reporttext"/>
      </w:pPr>
      <w:r w:rsidRPr="002B2A7F">
        <w:lastRenderedPageBreak/>
        <w:t xml:space="preserve">A range of information has been assembled from various sources </w:t>
      </w:r>
      <w:r w:rsidRPr="000E6B8D">
        <w:rPr>
          <w:lang w:val="en-US"/>
        </w:rPr>
        <w:t xml:space="preserve">which helps to scope out the likely level of disability across the </w:t>
      </w:r>
      <w:r w:rsidR="00F01167">
        <w:rPr>
          <w:lang w:val="en-US"/>
        </w:rPr>
        <w:t>D</w:t>
      </w:r>
      <w:r w:rsidRPr="000E6B8D">
        <w:rPr>
          <w:lang w:val="en-US"/>
        </w:rPr>
        <w:t>ist</w:t>
      </w:r>
      <w:r w:rsidR="00F01167">
        <w:rPr>
          <w:lang w:val="en-US"/>
        </w:rPr>
        <w:t>r</w:t>
      </w:r>
      <w:r w:rsidRPr="000E6B8D">
        <w:rPr>
          <w:lang w:val="en-US"/>
        </w:rPr>
        <w:t xml:space="preserve">ict’s population. Although it is a challenge to quantify the precise accommodation and support requirements, the study has helped to scope out where needs are arising. </w:t>
      </w:r>
    </w:p>
    <w:p w14:paraId="368506A5" w14:textId="77777777" w:rsidR="001F27D2" w:rsidRPr="002B2A7F" w:rsidRDefault="001F27D2" w:rsidP="001F27D2">
      <w:pPr>
        <w:tabs>
          <w:tab w:val="left" w:pos="709"/>
        </w:tabs>
        <w:ind w:left="709"/>
        <w:rPr>
          <w:rFonts w:asciiTheme="minorHAnsi" w:hAnsiTheme="minorHAnsi" w:cs="Calibri"/>
          <w:b/>
          <w:i/>
        </w:rPr>
      </w:pPr>
    </w:p>
    <w:p w14:paraId="285CB618" w14:textId="44B2EF15" w:rsidR="001F27D2" w:rsidRPr="002B2A7F" w:rsidRDefault="001F27D2" w:rsidP="001F27D2">
      <w:pPr>
        <w:tabs>
          <w:tab w:val="left" w:pos="709"/>
        </w:tabs>
        <w:ind w:left="709"/>
        <w:rPr>
          <w:rFonts w:asciiTheme="minorHAnsi" w:hAnsiTheme="minorHAnsi" w:cs="Calibri"/>
        </w:rPr>
      </w:pPr>
      <w:r w:rsidRPr="002B2A7F">
        <w:rPr>
          <w:rFonts w:asciiTheme="minorHAnsi" w:hAnsiTheme="minorHAnsi" w:cs="Calibri"/>
        </w:rPr>
        <w:br w:type="page"/>
      </w:r>
    </w:p>
    <w:p w14:paraId="07C27B82" w14:textId="77777777" w:rsidR="001F27D2" w:rsidRPr="002B2A7F" w:rsidRDefault="001F27D2" w:rsidP="001F27D2">
      <w:pPr>
        <w:pStyle w:val="Heading1"/>
        <w:spacing w:before="0"/>
        <w:jc w:val="left"/>
        <w:rPr>
          <w:rFonts w:asciiTheme="minorHAnsi" w:hAnsiTheme="minorHAnsi"/>
        </w:rPr>
      </w:pPr>
      <w:bookmarkStart w:id="554" w:name="_Toc395193578"/>
      <w:bookmarkStart w:id="555" w:name="_Toc524935603"/>
      <w:bookmarkStart w:id="556" w:name="_Toc531122901"/>
      <w:bookmarkStart w:id="557" w:name="_Toc532812430"/>
      <w:r w:rsidRPr="002B2A7F">
        <w:rPr>
          <w:rFonts w:asciiTheme="minorHAnsi" w:hAnsiTheme="minorHAnsi"/>
        </w:rPr>
        <w:lastRenderedPageBreak/>
        <w:t>Dwelling type and mix</w:t>
      </w:r>
      <w:bookmarkEnd w:id="554"/>
      <w:bookmarkEnd w:id="555"/>
      <w:bookmarkEnd w:id="556"/>
      <w:bookmarkEnd w:id="557"/>
    </w:p>
    <w:p w14:paraId="4B08D3F6" w14:textId="77777777" w:rsidR="001F27D2" w:rsidRPr="002B2A7F" w:rsidRDefault="001F27D2" w:rsidP="001F27D2">
      <w:pPr>
        <w:pStyle w:val="Heading2"/>
        <w:rPr>
          <w:rFonts w:asciiTheme="minorHAnsi" w:hAnsiTheme="minorHAnsi"/>
        </w:rPr>
      </w:pPr>
      <w:bookmarkStart w:id="558" w:name="_Toc524935604"/>
      <w:bookmarkStart w:id="559" w:name="_Toc531122902"/>
      <w:bookmarkStart w:id="560" w:name="_Toc532812431"/>
      <w:bookmarkStart w:id="561" w:name="_Toc391751921"/>
      <w:r w:rsidRPr="002B2A7F">
        <w:rPr>
          <w:rFonts w:asciiTheme="minorHAnsi" w:hAnsiTheme="minorHAnsi"/>
        </w:rPr>
        <w:t>Introduction</w:t>
      </w:r>
      <w:bookmarkEnd w:id="558"/>
      <w:bookmarkEnd w:id="559"/>
      <w:bookmarkEnd w:id="560"/>
    </w:p>
    <w:p w14:paraId="2CB864E0" w14:textId="502DC7BA" w:rsidR="001F27D2" w:rsidRPr="009170F6" w:rsidRDefault="001F27D2" w:rsidP="001F27D2">
      <w:pPr>
        <w:pStyle w:val="Reporttext"/>
      </w:pPr>
      <w:r w:rsidRPr="009170F6">
        <w:t xml:space="preserve">The purpose of this section is to estimate the dwelling type and size mix required across Eden District in future. It presents the baseline data used as a starting point for the analysis and how data are interpreted to establish a reasonable view on dwelling type and mix at </w:t>
      </w:r>
      <w:r w:rsidR="00F01167">
        <w:t>D</w:t>
      </w:r>
      <w:r w:rsidRPr="009170F6">
        <w:t>istrict level.</w:t>
      </w:r>
    </w:p>
    <w:p w14:paraId="3902BD6B" w14:textId="77777777" w:rsidR="001F27D2" w:rsidRPr="002B2A7F" w:rsidRDefault="001F27D2" w:rsidP="001F27D2">
      <w:pPr>
        <w:pStyle w:val="Reporttext"/>
        <w:numPr>
          <w:ilvl w:val="0"/>
          <w:numId w:val="0"/>
        </w:numPr>
        <w:ind w:left="709"/>
      </w:pPr>
    </w:p>
    <w:p w14:paraId="392975C2" w14:textId="77777777" w:rsidR="001F27D2" w:rsidRPr="002B2A7F" w:rsidRDefault="001F27D2" w:rsidP="001F27D2">
      <w:pPr>
        <w:pStyle w:val="Heading2"/>
        <w:rPr>
          <w:rFonts w:asciiTheme="minorHAnsi" w:hAnsiTheme="minorHAnsi"/>
        </w:rPr>
      </w:pPr>
      <w:bookmarkStart w:id="562" w:name="_Toc395193580"/>
      <w:bookmarkStart w:id="563" w:name="_Toc524935605"/>
      <w:bookmarkStart w:id="564" w:name="_Toc531122903"/>
      <w:bookmarkStart w:id="565" w:name="_Toc532812432"/>
      <w:r w:rsidRPr="002B2A7F">
        <w:rPr>
          <w:rFonts w:asciiTheme="minorHAnsi" w:hAnsiTheme="minorHAnsi"/>
        </w:rPr>
        <w:t>Starting points</w:t>
      </w:r>
      <w:bookmarkEnd w:id="562"/>
      <w:bookmarkEnd w:id="563"/>
      <w:bookmarkEnd w:id="564"/>
      <w:bookmarkEnd w:id="565"/>
    </w:p>
    <w:p w14:paraId="06975CAF" w14:textId="77777777" w:rsidR="001F27D2" w:rsidRPr="002B2A7F" w:rsidRDefault="001F27D2" w:rsidP="001F27D2">
      <w:pPr>
        <w:pStyle w:val="Reporttext"/>
      </w:pPr>
      <w:r w:rsidRPr="002B2A7F">
        <w:t xml:space="preserve">There are three main data sources which provide the starting point for the analysis: household projections, dwelling stock information and the relationship between households and dwellings derived from the 2018 household survey.  </w:t>
      </w:r>
    </w:p>
    <w:p w14:paraId="77CB6ACE" w14:textId="77777777" w:rsidR="001F27D2" w:rsidRPr="002B2A7F" w:rsidRDefault="001F27D2" w:rsidP="001F27D2">
      <w:pPr>
        <w:pStyle w:val="Reporttext"/>
        <w:numPr>
          <w:ilvl w:val="0"/>
          <w:numId w:val="0"/>
        </w:numPr>
        <w:ind w:left="709"/>
      </w:pPr>
    </w:p>
    <w:p w14:paraId="51CD5ABE" w14:textId="77777777" w:rsidR="001F27D2" w:rsidRPr="002B2A7F" w:rsidRDefault="001F27D2" w:rsidP="001F27D2">
      <w:pPr>
        <w:pStyle w:val="Heading3"/>
        <w:rPr>
          <w:rFonts w:asciiTheme="minorHAnsi" w:hAnsiTheme="minorHAnsi"/>
        </w:rPr>
      </w:pPr>
      <w:r w:rsidRPr="002B2A7F">
        <w:rPr>
          <w:rFonts w:asciiTheme="minorHAnsi" w:hAnsiTheme="minorHAnsi"/>
        </w:rPr>
        <w:t>DCLG Household projections</w:t>
      </w:r>
    </w:p>
    <w:p w14:paraId="4E1F193E" w14:textId="3F3CA1AC" w:rsidR="001F27D2" w:rsidRPr="002B2A7F" w:rsidRDefault="001F27D2" w:rsidP="001F27D2">
      <w:pPr>
        <w:pStyle w:val="Reporttext"/>
      </w:pPr>
      <w:r w:rsidRPr="002B2A7F">
        <w:t xml:space="preserve">These are used to establish the number of households by HRP and household type using the latest (currently 2014-based) data and how this is expected to change over a specified period. The analysis focuses specifically on Local Plan </w:t>
      </w:r>
      <w:r w:rsidR="00F01167">
        <w:t>P</w:t>
      </w:r>
      <w:r w:rsidRPr="002B2A7F">
        <w:t>eriods and therefore analysis has been run using household projection data for 2014 and 2032.</w:t>
      </w:r>
    </w:p>
    <w:p w14:paraId="1A1840C8" w14:textId="77777777" w:rsidR="001F27D2" w:rsidRPr="002B2A7F" w:rsidRDefault="001F27D2" w:rsidP="001F27D2">
      <w:pPr>
        <w:pStyle w:val="Reporttext"/>
      </w:pPr>
      <w:r w:rsidRPr="002B2A7F">
        <w:t>The change in the number of households over this period can be established and, assuming that the dwelling needs of these households do not change significantly over the Plan Period, the potential impact on type/size of dwellings can be determined.</w:t>
      </w:r>
    </w:p>
    <w:p w14:paraId="2F7A09A8" w14:textId="77777777" w:rsidR="001F27D2" w:rsidRPr="002B2A7F" w:rsidRDefault="001F27D2" w:rsidP="001F27D2">
      <w:pPr>
        <w:pStyle w:val="Reporttext"/>
        <w:numPr>
          <w:ilvl w:val="0"/>
          <w:numId w:val="0"/>
        </w:numPr>
        <w:ind w:left="709"/>
      </w:pPr>
    </w:p>
    <w:p w14:paraId="77D13311" w14:textId="77777777" w:rsidR="001F27D2" w:rsidRPr="002B2A7F" w:rsidRDefault="001F27D2" w:rsidP="001F27D2">
      <w:pPr>
        <w:pStyle w:val="Heading3"/>
        <w:rPr>
          <w:rFonts w:asciiTheme="minorHAnsi" w:hAnsiTheme="minorHAnsi"/>
        </w:rPr>
      </w:pPr>
      <w:r w:rsidRPr="002B2A7F">
        <w:rPr>
          <w:rFonts w:asciiTheme="minorHAnsi" w:hAnsiTheme="minorHAnsi"/>
        </w:rPr>
        <w:t>Dwelling stock</w:t>
      </w:r>
    </w:p>
    <w:p w14:paraId="2FA1067E" w14:textId="399B6A61" w:rsidR="001F27D2" w:rsidRPr="002B2A7F" w:rsidRDefault="001F27D2" w:rsidP="001F27D2">
      <w:pPr>
        <w:pStyle w:val="Reporttext"/>
      </w:pPr>
      <w:r w:rsidRPr="002B2A7F">
        <w:t>Household survey data provides a summary of dwelling type (house, flat, bungalow) and size (number of bedrooms).</w:t>
      </w:r>
    </w:p>
    <w:p w14:paraId="4F82D83A" w14:textId="77777777" w:rsidR="001F27D2" w:rsidRPr="002B2A7F" w:rsidRDefault="001F27D2" w:rsidP="001F27D2">
      <w:pPr>
        <w:pStyle w:val="Reporttext"/>
        <w:numPr>
          <w:ilvl w:val="0"/>
          <w:numId w:val="0"/>
        </w:numPr>
        <w:ind w:left="709"/>
      </w:pPr>
    </w:p>
    <w:p w14:paraId="69AE1BB5" w14:textId="77777777" w:rsidR="001F27D2" w:rsidRPr="002B2A7F" w:rsidRDefault="001F27D2" w:rsidP="001F27D2">
      <w:pPr>
        <w:pStyle w:val="Heading3"/>
        <w:rPr>
          <w:rFonts w:asciiTheme="minorHAnsi" w:hAnsiTheme="minorHAnsi"/>
        </w:rPr>
      </w:pPr>
      <w:r w:rsidRPr="002B2A7F">
        <w:rPr>
          <w:rFonts w:asciiTheme="minorHAnsi" w:hAnsiTheme="minorHAnsi"/>
        </w:rPr>
        <w:t>Relationship between households and dwellings</w:t>
      </w:r>
    </w:p>
    <w:p w14:paraId="5769EB82" w14:textId="1F8AD0E6" w:rsidR="001F27D2" w:rsidRPr="002B2A7F" w:rsidRDefault="001F27D2" w:rsidP="001F27D2">
      <w:pPr>
        <w:pStyle w:val="Reporttext"/>
      </w:pPr>
      <w:r w:rsidRPr="002B2A7F">
        <w:t xml:space="preserve">Household survey data has been used to consider the relationship between the age of household reference person, household type and dwellings occupied by type and size. The data available is summarised in Table </w:t>
      </w:r>
      <w:r>
        <w:t>7</w:t>
      </w:r>
      <w:r w:rsidRPr="002B2A7F">
        <w:t>.1</w:t>
      </w:r>
      <w:r w:rsidR="00FC5F39">
        <w:t xml:space="preserve"> and  shows the variables which are created to assess future dwelling need by age group and household type. </w:t>
      </w:r>
    </w:p>
    <w:p w14:paraId="157CC4A1" w14:textId="77777777" w:rsidR="001F27D2" w:rsidRPr="002B2A7F" w:rsidRDefault="001F27D2" w:rsidP="001F27D2">
      <w:pPr>
        <w:pStyle w:val="Reporttext"/>
        <w:numPr>
          <w:ilvl w:val="0"/>
          <w:numId w:val="0"/>
        </w:numPr>
      </w:pPr>
    </w:p>
    <w:p w14:paraId="6E900544" w14:textId="77777777" w:rsidR="001F27D2" w:rsidRPr="002B2A7F" w:rsidRDefault="001F27D2" w:rsidP="001F27D2">
      <w:pPr>
        <w:rPr>
          <w:rFonts w:asciiTheme="minorHAnsi" w:hAnsiTheme="minorHAnsi"/>
          <w:b/>
        </w:rPr>
      </w:pPr>
      <w:r w:rsidRPr="002B2A7F">
        <w:rPr>
          <w:rFonts w:asciiTheme="minorHAnsi" w:hAnsiTheme="minorHAnsi"/>
          <w:b/>
        </w:rPr>
        <w:br w:type="page"/>
      </w:r>
    </w:p>
    <w:tbl>
      <w:tblPr>
        <w:tblStyle w:val="arc4table"/>
        <w:tblW w:w="5000" w:type="pct"/>
        <w:jc w:val="center"/>
        <w:tblLook w:val="04A0" w:firstRow="1" w:lastRow="0" w:firstColumn="1" w:lastColumn="0" w:noHBand="0" w:noVBand="1"/>
      </w:tblPr>
      <w:tblGrid>
        <w:gridCol w:w="2145"/>
        <w:gridCol w:w="2673"/>
        <w:gridCol w:w="2594"/>
        <w:gridCol w:w="1768"/>
      </w:tblGrid>
      <w:tr w:rsidR="001F27D2" w:rsidRPr="009170F6" w14:paraId="3D2E44E5" w14:textId="77777777" w:rsidTr="001F27D2">
        <w:trPr>
          <w:cnfStyle w:val="100000000000" w:firstRow="1" w:lastRow="0" w:firstColumn="0" w:lastColumn="0" w:oddVBand="0" w:evenVBand="0" w:oddHBand="0" w:evenHBand="0" w:firstRowFirstColumn="0" w:firstRowLastColumn="0" w:lastRowFirstColumn="0" w:lastRowLastColumn="0"/>
          <w:jc w:val="center"/>
        </w:trPr>
        <w:tc>
          <w:tcPr>
            <w:tcW w:w="5000" w:type="pct"/>
            <w:gridSpan w:val="4"/>
          </w:tcPr>
          <w:p w14:paraId="2626E50F" w14:textId="77777777" w:rsidR="001F27D2" w:rsidRPr="00F01167" w:rsidRDefault="001F27D2" w:rsidP="009170F6">
            <w:pPr>
              <w:pStyle w:val="Tableheading1"/>
              <w:rPr>
                <w:b/>
                <w:bCs w:val="0"/>
                <w:color w:val="000000"/>
              </w:rPr>
            </w:pPr>
            <w:bookmarkStart w:id="566" w:name="_Toc391751394"/>
            <w:bookmarkStart w:id="567" w:name="_Toc524935685"/>
            <w:bookmarkStart w:id="568" w:name="_Toc531122976"/>
            <w:bookmarkStart w:id="569" w:name="_Toc532812505"/>
            <w:r w:rsidRPr="00F01167">
              <w:rPr>
                <w:b/>
                <w:bCs w:val="0"/>
              </w:rPr>
              <w:lastRenderedPageBreak/>
              <w:t>Table 7.1</w:t>
            </w:r>
            <w:r w:rsidRPr="00F01167">
              <w:rPr>
                <w:b/>
                <w:bCs w:val="0"/>
              </w:rPr>
              <w:tab/>
              <w:t>Age groups, household type and dwelling types used</w:t>
            </w:r>
            <w:bookmarkEnd w:id="566"/>
            <w:bookmarkEnd w:id="567"/>
            <w:bookmarkEnd w:id="568"/>
            <w:bookmarkEnd w:id="569"/>
          </w:p>
        </w:tc>
      </w:tr>
      <w:tr w:rsidR="001F27D2" w:rsidRPr="009170F6" w14:paraId="6B4E4252" w14:textId="77777777" w:rsidTr="001F27D2">
        <w:trPr>
          <w:jc w:val="center"/>
        </w:trPr>
        <w:tc>
          <w:tcPr>
            <w:tcW w:w="1168" w:type="pct"/>
            <w:shd w:val="clear" w:color="auto" w:fill="009999"/>
            <w:hideMark/>
          </w:tcPr>
          <w:p w14:paraId="3315D3DE" w14:textId="77777777" w:rsidR="001F27D2" w:rsidRPr="009170F6" w:rsidRDefault="001F27D2" w:rsidP="009170F6">
            <w:pPr>
              <w:spacing w:before="0" w:after="0"/>
              <w:jc w:val="center"/>
              <w:rPr>
                <w:rFonts w:cs="Calibri"/>
                <w:b/>
                <w:bCs/>
                <w:color w:val="FFFFFF" w:themeColor="background1"/>
                <w:sz w:val="22"/>
                <w:szCs w:val="22"/>
              </w:rPr>
            </w:pPr>
            <w:r w:rsidRPr="009170F6">
              <w:rPr>
                <w:rFonts w:cs="Calibri"/>
                <w:b/>
                <w:bCs/>
                <w:color w:val="FFFFFF" w:themeColor="background1"/>
                <w:sz w:val="22"/>
                <w:szCs w:val="22"/>
              </w:rPr>
              <w:t>Age group of Household Reference Person</w:t>
            </w:r>
          </w:p>
        </w:tc>
        <w:tc>
          <w:tcPr>
            <w:tcW w:w="1456" w:type="pct"/>
            <w:shd w:val="clear" w:color="auto" w:fill="009999"/>
            <w:hideMark/>
          </w:tcPr>
          <w:p w14:paraId="676DBAD8" w14:textId="77777777" w:rsidR="001F27D2" w:rsidRPr="009170F6" w:rsidRDefault="001F27D2" w:rsidP="009170F6">
            <w:pPr>
              <w:spacing w:before="0" w:after="0"/>
              <w:jc w:val="center"/>
              <w:rPr>
                <w:rFonts w:cs="Calibri"/>
                <w:b/>
                <w:bCs/>
                <w:color w:val="FFFFFF" w:themeColor="background1"/>
                <w:sz w:val="22"/>
                <w:szCs w:val="22"/>
              </w:rPr>
            </w:pPr>
            <w:r w:rsidRPr="009170F6">
              <w:rPr>
                <w:rFonts w:cs="Calibri"/>
                <w:b/>
                <w:bCs/>
                <w:color w:val="FFFFFF" w:themeColor="background1"/>
                <w:sz w:val="22"/>
                <w:szCs w:val="22"/>
              </w:rPr>
              <w:t>Household (HH) type</w:t>
            </w:r>
          </w:p>
        </w:tc>
        <w:tc>
          <w:tcPr>
            <w:tcW w:w="1413" w:type="pct"/>
            <w:shd w:val="clear" w:color="auto" w:fill="009999"/>
            <w:hideMark/>
          </w:tcPr>
          <w:p w14:paraId="77A5F071" w14:textId="77777777" w:rsidR="001F27D2" w:rsidRPr="009170F6" w:rsidRDefault="001F27D2" w:rsidP="009170F6">
            <w:pPr>
              <w:spacing w:before="0" w:after="0"/>
              <w:jc w:val="center"/>
              <w:rPr>
                <w:rFonts w:cs="Calibri"/>
                <w:b/>
                <w:bCs/>
                <w:color w:val="FFFFFF" w:themeColor="background1"/>
                <w:sz w:val="22"/>
                <w:szCs w:val="22"/>
              </w:rPr>
            </w:pPr>
            <w:r w:rsidRPr="009170F6">
              <w:rPr>
                <w:rFonts w:cs="Calibri"/>
                <w:b/>
                <w:bCs/>
                <w:color w:val="FFFFFF" w:themeColor="background1"/>
                <w:sz w:val="22"/>
                <w:szCs w:val="22"/>
              </w:rPr>
              <w:t>Dwelling type</w:t>
            </w:r>
          </w:p>
        </w:tc>
        <w:tc>
          <w:tcPr>
            <w:tcW w:w="964" w:type="pct"/>
            <w:shd w:val="clear" w:color="auto" w:fill="009999"/>
            <w:hideMark/>
          </w:tcPr>
          <w:p w14:paraId="3406288C" w14:textId="77777777" w:rsidR="001F27D2" w:rsidRPr="009170F6" w:rsidRDefault="001F27D2" w:rsidP="009170F6">
            <w:pPr>
              <w:spacing w:before="0" w:after="0"/>
              <w:jc w:val="center"/>
              <w:rPr>
                <w:rFonts w:cs="Calibri"/>
                <w:b/>
                <w:bCs/>
                <w:color w:val="FFFFFF" w:themeColor="background1"/>
                <w:sz w:val="22"/>
                <w:szCs w:val="22"/>
              </w:rPr>
            </w:pPr>
            <w:r w:rsidRPr="009170F6">
              <w:rPr>
                <w:rFonts w:cs="Calibri"/>
                <w:b/>
                <w:bCs/>
                <w:color w:val="FFFFFF" w:themeColor="background1"/>
                <w:sz w:val="22"/>
                <w:szCs w:val="22"/>
              </w:rPr>
              <w:t>Dwelling size</w:t>
            </w:r>
          </w:p>
        </w:tc>
      </w:tr>
      <w:tr w:rsidR="001F27D2" w:rsidRPr="009170F6" w14:paraId="2FA79BCD" w14:textId="77777777" w:rsidTr="001F27D2">
        <w:trPr>
          <w:jc w:val="center"/>
        </w:trPr>
        <w:tc>
          <w:tcPr>
            <w:tcW w:w="1168" w:type="pct"/>
            <w:noWrap/>
            <w:hideMark/>
          </w:tcPr>
          <w:p w14:paraId="34533E39"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15_24</w:t>
            </w:r>
          </w:p>
        </w:tc>
        <w:tc>
          <w:tcPr>
            <w:tcW w:w="1456" w:type="pct"/>
            <w:noWrap/>
            <w:hideMark/>
          </w:tcPr>
          <w:p w14:paraId="7886E30D"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One Person</w:t>
            </w:r>
          </w:p>
        </w:tc>
        <w:tc>
          <w:tcPr>
            <w:tcW w:w="1413" w:type="pct"/>
            <w:noWrap/>
            <w:hideMark/>
          </w:tcPr>
          <w:p w14:paraId="69C15B76"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 Bed House</w:t>
            </w:r>
          </w:p>
        </w:tc>
        <w:tc>
          <w:tcPr>
            <w:tcW w:w="964" w:type="pct"/>
            <w:noWrap/>
            <w:hideMark/>
          </w:tcPr>
          <w:p w14:paraId="39DEB3E1"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 Bedroom</w:t>
            </w:r>
          </w:p>
        </w:tc>
      </w:tr>
      <w:tr w:rsidR="001F27D2" w:rsidRPr="009170F6" w14:paraId="01562327" w14:textId="77777777" w:rsidTr="001F27D2">
        <w:trPr>
          <w:jc w:val="center"/>
        </w:trPr>
        <w:tc>
          <w:tcPr>
            <w:tcW w:w="1168" w:type="pct"/>
            <w:noWrap/>
            <w:hideMark/>
          </w:tcPr>
          <w:p w14:paraId="4C10D1E0"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25_34</w:t>
            </w:r>
          </w:p>
        </w:tc>
        <w:tc>
          <w:tcPr>
            <w:tcW w:w="1456" w:type="pct"/>
            <w:noWrap/>
            <w:hideMark/>
          </w:tcPr>
          <w:p w14:paraId="3C506660"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Couple only</w:t>
            </w:r>
          </w:p>
        </w:tc>
        <w:tc>
          <w:tcPr>
            <w:tcW w:w="1413" w:type="pct"/>
            <w:noWrap/>
            <w:hideMark/>
          </w:tcPr>
          <w:p w14:paraId="73744F35"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2 Bed House</w:t>
            </w:r>
          </w:p>
        </w:tc>
        <w:tc>
          <w:tcPr>
            <w:tcW w:w="964" w:type="pct"/>
            <w:noWrap/>
            <w:hideMark/>
          </w:tcPr>
          <w:p w14:paraId="500F9864"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2 Bedrooms</w:t>
            </w:r>
          </w:p>
        </w:tc>
      </w:tr>
      <w:tr w:rsidR="001F27D2" w:rsidRPr="009170F6" w14:paraId="7099FDC2" w14:textId="77777777" w:rsidTr="001F27D2">
        <w:trPr>
          <w:jc w:val="center"/>
        </w:trPr>
        <w:tc>
          <w:tcPr>
            <w:tcW w:w="1168" w:type="pct"/>
            <w:noWrap/>
            <w:hideMark/>
          </w:tcPr>
          <w:p w14:paraId="608F3514"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35_44</w:t>
            </w:r>
          </w:p>
        </w:tc>
        <w:tc>
          <w:tcPr>
            <w:tcW w:w="1456" w:type="pct"/>
            <w:noWrap/>
            <w:hideMark/>
          </w:tcPr>
          <w:p w14:paraId="70F43D05"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HH with 1/2 Child(ren)</w:t>
            </w:r>
          </w:p>
        </w:tc>
        <w:tc>
          <w:tcPr>
            <w:tcW w:w="1413" w:type="pct"/>
            <w:noWrap/>
            <w:hideMark/>
          </w:tcPr>
          <w:p w14:paraId="64D5DEAD"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3 Bed House</w:t>
            </w:r>
          </w:p>
        </w:tc>
        <w:tc>
          <w:tcPr>
            <w:tcW w:w="964" w:type="pct"/>
            <w:noWrap/>
            <w:hideMark/>
          </w:tcPr>
          <w:p w14:paraId="7BCC8868"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3 Bedrooms</w:t>
            </w:r>
          </w:p>
        </w:tc>
      </w:tr>
      <w:tr w:rsidR="001F27D2" w:rsidRPr="009170F6" w14:paraId="79D2AEDB" w14:textId="77777777" w:rsidTr="001F27D2">
        <w:trPr>
          <w:jc w:val="center"/>
        </w:trPr>
        <w:tc>
          <w:tcPr>
            <w:tcW w:w="1168" w:type="pct"/>
            <w:noWrap/>
            <w:hideMark/>
          </w:tcPr>
          <w:p w14:paraId="5EA8DE9B"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45_59</w:t>
            </w:r>
          </w:p>
        </w:tc>
        <w:tc>
          <w:tcPr>
            <w:tcW w:w="1456" w:type="pct"/>
            <w:noWrap/>
            <w:hideMark/>
          </w:tcPr>
          <w:p w14:paraId="0F70C624"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HH with 3 Children</w:t>
            </w:r>
          </w:p>
        </w:tc>
        <w:tc>
          <w:tcPr>
            <w:tcW w:w="1413" w:type="pct"/>
            <w:noWrap/>
            <w:hideMark/>
          </w:tcPr>
          <w:p w14:paraId="746E00C8"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4 or more bed House</w:t>
            </w:r>
          </w:p>
        </w:tc>
        <w:tc>
          <w:tcPr>
            <w:tcW w:w="964" w:type="pct"/>
            <w:noWrap/>
            <w:hideMark/>
          </w:tcPr>
          <w:p w14:paraId="3B20F137"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4+ Bedrooms</w:t>
            </w:r>
          </w:p>
        </w:tc>
      </w:tr>
      <w:tr w:rsidR="001F27D2" w:rsidRPr="009170F6" w14:paraId="14ABC8E2" w14:textId="77777777" w:rsidTr="001F27D2">
        <w:trPr>
          <w:jc w:val="center"/>
        </w:trPr>
        <w:tc>
          <w:tcPr>
            <w:tcW w:w="1168" w:type="pct"/>
            <w:noWrap/>
            <w:hideMark/>
          </w:tcPr>
          <w:p w14:paraId="228B0CA2"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60_84</w:t>
            </w:r>
          </w:p>
        </w:tc>
        <w:tc>
          <w:tcPr>
            <w:tcW w:w="1456" w:type="pct"/>
            <w:noWrap/>
            <w:hideMark/>
          </w:tcPr>
          <w:p w14:paraId="4B706D1B"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Other Multi-person</w:t>
            </w:r>
          </w:p>
        </w:tc>
        <w:tc>
          <w:tcPr>
            <w:tcW w:w="1413" w:type="pct"/>
            <w:noWrap/>
            <w:hideMark/>
          </w:tcPr>
          <w:p w14:paraId="33167EE0"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 Bed Flat</w:t>
            </w:r>
          </w:p>
        </w:tc>
        <w:tc>
          <w:tcPr>
            <w:tcW w:w="964" w:type="pct"/>
            <w:noWrap/>
            <w:hideMark/>
          </w:tcPr>
          <w:p w14:paraId="010E1798"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All</w:t>
            </w:r>
          </w:p>
        </w:tc>
      </w:tr>
      <w:tr w:rsidR="001F27D2" w:rsidRPr="009170F6" w14:paraId="004EE8E2" w14:textId="77777777" w:rsidTr="001F27D2">
        <w:trPr>
          <w:jc w:val="center"/>
        </w:trPr>
        <w:tc>
          <w:tcPr>
            <w:tcW w:w="1168" w:type="pct"/>
            <w:noWrap/>
            <w:hideMark/>
          </w:tcPr>
          <w:p w14:paraId="1D465574"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85+</w:t>
            </w:r>
          </w:p>
        </w:tc>
        <w:tc>
          <w:tcPr>
            <w:tcW w:w="1456" w:type="pct"/>
            <w:noWrap/>
            <w:hideMark/>
          </w:tcPr>
          <w:p w14:paraId="2E490FD5"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All</w:t>
            </w:r>
          </w:p>
        </w:tc>
        <w:tc>
          <w:tcPr>
            <w:tcW w:w="1413" w:type="pct"/>
            <w:noWrap/>
            <w:hideMark/>
          </w:tcPr>
          <w:p w14:paraId="43F1218D"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2 Bed Flat</w:t>
            </w:r>
          </w:p>
        </w:tc>
        <w:tc>
          <w:tcPr>
            <w:tcW w:w="964" w:type="pct"/>
            <w:noWrap/>
            <w:hideMark/>
          </w:tcPr>
          <w:p w14:paraId="14A10524" w14:textId="77777777" w:rsidR="001F27D2" w:rsidRPr="009170F6" w:rsidRDefault="001F27D2" w:rsidP="009170F6">
            <w:pPr>
              <w:spacing w:before="0" w:after="0"/>
              <w:jc w:val="center"/>
              <w:rPr>
                <w:rFonts w:cs="Calibri"/>
                <w:color w:val="000000"/>
                <w:sz w:val="22"/>
                <w:szCs w:val="22"/>
              </w:rPr>
            </w:pPr>
          </w:p>
        </w:tc>
      </w:tr>
      <w:tr w:rsidR="001F27D2" w:rsidRPr="009170F6" w14:paraId="0FAC6630" w14:textId="77777777" w:rsidTr="001F27D2">
        <w:trPr>
          <w:jc w:val="center"/>
        </w:trPr>
        <w:tc>
          <w:tcPr>
            <w:tcW w:w="1168" w:type="pct"/>
            <w:noWrap/>
            <w:hideMark/>
          </w:tcPr>
          <w:p w14:paraId="6E48DF6B"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All</w:t>
            </w:r>
          </w:p>
        </w:tc>
        <w:tc>
          <w:tcPr>
            <w:tcW w:w="1456" w:type="pct"/>
            <w:noWrap/>
            <w:hideMark/>
          </w:tcPr>
          <w:p w14:paraId="7CB00A59" w14:textId="77777777" w:rsidR="001F27D2" w:rsidRPr="009170F6" w:rsidRDefault="001F27D2" w:rsidP="009170F6">
            <w:pPr>
              <w:spacing w:before="0" w:after="0"/>
              <w:jc w:val="center"/>
              <w:rPr>
                <w:rFonts w:cs="Calibri"/>
                <w:color w:val="000000"/>
                <w:sz w:val="22"/>
                <w:szCs w:val="22"/>
              </w:rPr>
            </w:pPr>
          </w:p>
        </w:tc>
        <w:tc>
          <w:tcPr>
            <w:tcW w:w="1413" w:type="pct"/>
            <w:noWrap/>
            <w:hideMark/>
          </w:tcPr>
          <w:p w14:paraId="0889F7F0"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3+ Bed flat</w:t>
            </w:r>
          </w:p>
        </w:tc>
        <w:tc>
          <w:tcPr>
            <w:tcW w:w="964" w:type="pct"/>
            <w:noWrap/>
            <w:hideMark/>
          </w:tcPr>
          <w:p w14:paraId="2FF9728D" w14:textId="77777777" w:rsidR="001F27D2" w:rsidRPr="009170F6" w:rsidRDefault="001F27D2" w:rsidP="009170F6">
            <w:pPr>
              <w:spacing w:before="0" w:after="0"/>
              <w:jc w:val="center"/>
              <w:rPr>
                <w:rFonts w:cs="Calibri"/>
                <w:color w:val="000000"/>
                <w:sz w:val="22"/>
                <w:szCs w:val="22"/>
              </w:rPr>
            </w:pPr>
          </w:p>
        </w:tc>
      </w:tr>
      <w:tr w:rsidR="001F27D2" w:rsidRPr="009170F6" w14:paraId="790B3069" w14:textId="77777777" w:rsidTr="001F27D2">
        <w:trPr>
          <w:jc w:val="center"/>
        </w:trPr>
        <w:tc>
          <w:tcPr>
            <w:tcW w:w="1168" w:type="pct"/>
            <w:noWrap/>
            <w:hideMark/>
          </w:tcPr>
          <w:p w14:paraId="63D9068B" w14:textId="77777777" w:rsidR="001F27D2" w:rsidRPr="009170F6" w:rsidRDefault="001F27D2" w:rsidP="009170F6">
            <w:pPr>
              <w:spacing w:before="0" w:after="0"/>
              <w:jc w:val="center"/>
              <w:rPr>
                <w:rFonts w:cs="Calibri"/>
                <w:color w:val="000000"/>
                <w:sz w:val="22"/>
                <w:szCs w:val="22"/>
              </w:rPr>
            </w:pPr>
          </w:p>
        </w:tc>
        <w:tc>
          <w:tcPr>
            <w:tcW w:w="1456" w:type="pct"/>
            <w:noWrap/>
            <w:hideMark/>
          </w:tcPr>
          <w:p w14:paraId="17DCEACD" w14:textId="77777777" w:rsidR="001F27D2" w:rsidRPr="009170F6" w:rsidRDefault="001F27D2" w:rsidP="009170F6">
            <w:pPr>
              <w:spacing w:before="0" w:after="0"/>
              <w:jc w:val="center"/>
              <w:rPr>
                <w:rFonts w:cs="Calibri"/>
                <w:color w:val="000000"/>
                <w:sz w:val="22"/>
                <w:szCs w:val="22"/>
              </w:rPr>
            </w:pPr>
          </w:p>
        </w:tc>
        <w:tc>
          <w:tcPr>
            <w:tcW w:w="1413" w:type="pct"/>
            <w:noWrap/>
            <w:hideMark/>
          </w:tcPr>
          <w:p w14:paraId="112867F5"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1 Bed Bungalow</w:t>
            </w:r>
          </w:p>
        </w:tc>
        <w:tc>
          <w:tcPr>
            <w:tcW w:w="964" w:type="pct"/>
            <w:noWrap/>
            <w:hideMark/>
          </w:tcPr>
          <w:p w14:paraId="5628DF4B" w14:textId="77777777" w:rsidR="001F27D2" w:rsidRPr="009170F6" w:rsidRDefault="001F27D2" w:rsidP="009170F6">
            <w:pPr>
              <w:spacing w:before="0" w:after="0"/>
              <w:jc w:val="center"/>
              <w:rPr>
                <w:rFonts w:cs="Calibri"/>
                <w:color w:val="000000"/>
                <w:sz w:val="22"/>
                <w:szCs w:val="22"/>
              </w:rPr>
            </w:pPr>
          </w:p>
        </w:tc>
      </w:tr>
      <w:tr w:rsidR="001F27D2" w:rsidRPr="009170F6" w14:paraId="2BC9257E" w14:textId="77777777" w:rsidTr="001F27D2">
        <w:trPr>
          <w:jc w:val="center"/>
        </w:trPr>
        <w:tc>
          <w:tcPr>
            <w:tcW w:w="1168" w:type="pct"/>
            <w:noWrap/>
            <w:hideMark/>
          </w:tcPr>
          <w:p w14:paraId="3D4D2920" w14:textId="77777777" w:rsidR="001F27D2" w:rsidRPr="009170F6" w:rsidRDefault="001F27D2" w:rsidP="009170F6">
            <w:pPr>
              <w:spacing w:before="0" w:after="0"/>
              <w:rPr>
                <w:rFonts w:cs="Calibri"/>
                <w:color w:val="000000"/>
                <w:sz w:val="22"/>
                <w:szCs w:val="22"/>
              </w:rPr>
            </w:pPr>
            <w:r w:rsidRPr="009170F6">
              <w:rPr>
                <w:rFonts w:cs="Calibri"/>
                <w:color w:val="000000"/>
                <w:sz w:val="22"/>
                <w:szCs w:val="22"/>
              </w:rPr>
              <w:t> </w:t>
            </w:r>
          </w:p>
        </w:tc>
        <w:tc>
          <w:tcPr>
            <w:tcW w:w="1456" w:type="pct"/>
            <w:noWrap/>
            <w:hideMark/>
          </w:tcPr>
          <w:p w14:paraId="542F8990" w14:textId="77777777" w:rsidR="001F27D2" w:rsidRPr="009170F6" w:rsidRDefault="001F27D2" w:rsidP="009170F6">
            <w:pPr>
              <w:spacing w:before="0" w:after="0"/>
              <w:jc w:val="center"/>
              <w:rPr>
                <w:rFonts w:cs="Calibri"/>
                <w:color w:val="000000"/>
                <w:sz w:val="22"/>
                <w:szCs w:val="22"/>
              </w:rPr>
            </w:pPr>
          </w:p>
        </w:tc>
        <w:tc>
          <w:tcPr>
            <w:tcW w:w="1413" w:type="pct"/>
            <w:noWrap/>
            <w:hideMark/>
          </w:tcPr>
          <w:p w14:paraId="3EBD4A74"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2 Bed Bungalow</w:t>
            </w:r>
          </w:p>
        </w:tc>
        <w:tc>
          <w:tcPr>
            <w:tcW w:w="964" w:type="pct"/>
            <w:noWrap/>
            <w:hideMark/>
          </w:tcPr>
          <w:p w14:paraId="7EDE289E" w14:textId="77777777" w:rsidR="001F27D2" w:rsidRPr="009170F6" w:rsidRDefault="001F27D2" w:rsidP="009170F6">
            <w:pPr>
              <w:spacing w:before="0" w:after="0"/>
              <w:jc w:val="center"/>
              <w:rPr>
                <w:rFonts w:cs="Calibri"/>
                <w:color w:val="000000"/>
                <w:sz w:val="22"/>
                <w:szCs w:val="22"/>
              </w:rPr>
            </w:pPr>
          </w:p>
        </w:tc>
      </w:tr>
      <w:tr w:rsidR="001F27D2" w:rsidRPr="009170F6" w14:paraId="64C97BB0" w14:textId="77777777" w:rsidTr="001F27D2">
        <w:trPr>
          <w:jc w:val="center"/>
        </w:trPr>
        <w:tc>
          <w:tcPr>
            <w:tcW w:w="1168" w:type="pct"/>
            <w:noWrap/>
            <w:hideMark/>
          </w:tcPr>
          <w:p w14:paraId="5EB0226C" w14:textId="77777777" w:rsidR="001F27D2" w:rsidRPr="009170F6" w:rsidRDefault="001F27D2" w:rsidP="009170F6">
            <w:pPr>
              <w:spacing w:before="0" w:after="0"/>
              <w:rPr>
                <w:rFonts w:cs="Calibri"/>
                <w:color w:val="000000"/>
                <w:sz w:val="22"/>
                <w:szCs w:val="22"/>
              </w:rPr>
            </w:pPr>
            <w:r w:rsidRPr="009170F6">
              <w:rPr>
                <w:rFonts w:cs="Calibri"/>
                <w:color w:val="000000"/>
                <w:sz w:val="22"/>
                <w:szCs w:val="22"/>
              </w:rPr>
              <w:t> </w:t>
            </w:r>
          </w:p>
        </w:tc>
        <w:tc>
          <w:tcPr>
            <w:tcW w:w="1456" w:type="pct"/>
            <w:noWrap/>
            <w:hideMark/>
          </w:tcPr>
          <w:p w14:paraId="2625664C" w14:textId="77777777" w:rsidR="001F27D2" w:rsidRPr="009170F6" w:rsidRDefault="001F27D2" w:rsidP="009170F6">
            <w:pPr>
              <w:spacing w:before="0" w:after="0"/>
              <w:jc w:val="center"/>
              <w:rPr>
                <w:rFonts w:cs="Calibri"/>
                <w:color w:val="000000"/>
                <w:sz w:val="22"/>
                <w:szCs w:val="22"/>
              </w:rPr>
            </w:pPr>
          </w:p>
        </w:tc>
        <w:tc>
          <w:tcPr>
            <w:tcW w:w="1413" w:type="pct"/>
            <w:noWrap/>
            <w:hideMark/>
          </w:tcPr>
          <w:p w14:paraId="03D23C04"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3+ Bed Bungalow</w:t>
            </w:r>
          </w:p>
        </w:tc>
        <w:tc>
          <w:tcPr>
            <w:tcW w:w="964" w:type="pct"/>
            <w:noWrap/>
            <w:hideMark/>
          </w:tcPr>
          <w:p w14:paraId="33552717" w14:textId="77777777" w:rsidR="001F27D2" w:rsidRPr="009170F6" w:rsidRDefault="001F27D2" w:rsidP="009170F6">
            <w:pPr>
              <w:spacing w:before="0" w:after="0"/>
              <w:jc w:val="center"/>
              <w:rPr>
                <w:rFonts w:cs="Calibri"/>
                <w:color w:val="000000"/>
                <w:sz w:val="22"/>
                <w:szCs w:val="22"/>
              </w:rPr>
            </w:pPr>
          </w:p>
        </w:tc>
      </w:tr>
      <w:tr w:rsidR="001F27D2" w:rsidRPr="009170F6" w14:paraId="4D5BB4AE" w14:textId="77777777" w:rsidTr="001F27D2">
        <w:trPr>
          <w:jc w:val="center"/>
        </w:trPr>
        <w:tc>
          <w:tcPr>
            <w:tcW w:w="1168" w:type="pct"/>
            <w:noWrap/>
            <w:hideMark/>
          </w:tcPr>
          <w:p w14:paraId="209B0314" w14:textId="77777777" w:rsidR="001F27D2" w:rsidRPr="009170F6" w:rsidRDefault="001F27D2" w:rsidP="009170F6">
            <w:pPr>
              <w:spacing w:before="0" w:after="0"/>
              <w:rPr>
                <w:rFonts w:cs="Calibri"/>
                <w:color w:val="000000"/>
                <w:sz w:val="22"/>
                <w:szCs w:val="22"/>
              </w:rPr>
            </w:pPr>
            <w:r w:rsidRPr="009170F6">
              <w:rPr>
                <w:rFonts w:cs="Calibri"/>
                <w:color w:val="000000"/>
                <w:sz w:val="22"/>
                <w:szCs w:val="22"/>
              </w:rPr>
              <w:t> </w:t>
            </w:r>
          </w:p>
        </w:tc>
        <w:tc>
          <w:tcPr>
            <w:tcW w:w="1456" w:type="pct"/>
            <w:noWrap/>
            <w:hideMark/>
          </w:tcPr>
          <w:p w14:paraId="75D1DE92" w14:textId="77777777" w:rsidR="001F27D2" w:rsidRPr="009170F6" w:rsidRDefault="001F27D2" w:rsidP="009170F6">
            <w:pPr>
              <w:spacing w:before="0" w:after="0"/>
              <w:jc w:val="center"/>
              <w:rPr>
                <w:rFonts w:cs="Calibri"/>
                <w:color w:val="000000"/>
                <w:sz w:val="22"/>
                <w:szCs w:val="22"/>
              </w:rPr>
            </w:pPr>
          </w:p>
        </w:tc>
        <w:tc>
          <w:tcPr>
            <w:tcW w:w="1413" w:type="pct"/>
            <w:noWrap/>
            <w:hideMark/>
          </w:tcPr>
          <w:p w14:paraId="0F546BBF" w14:textId="77777777" w:rsidR="001F27D2" w:rsidRPr="009170F6" w:rsidRDefault="001F27D2" w:rsidP="009170F6">
            <w:pPr>
              <w:spacing w:before="0" w:after="0"/>
              <w:jc w:val="center"/>
              <w:rPr>
                <w:rFonts w:cs="Calibri"/>
                <w:color w:val="000000"/>
                <w:sz w:val="22"/>
                <w:szCs w:val="22"/>
              </w:rPr>
            </w:pPr>
            <w:r w:rsidRPr="009170F6">
              <w:rPr>
                <w:rFonts w:cs="Calibri"/>
                <w:color w:val="000000"/>
                <w:sz w:val="22"/>
                <w:szCs w:val="22"/>
              </w:rPr>
              <w:t>All</w:t>
            </w:r>
          </w:p>
        </w:tc>
        <w:tc>
          <w:tcPr>
            <w:tcW w:w="964" w:type="pct"/>
            <w:noWrap/>
            <w:hideMark/>
          </w:tcPr>
          <w:p w14:paraId="34B636A9" w14:textId="77777777" w:rsidR="001F27D2" w:rsidRPr="009170F6" w:rsidRDefault="001F27D2" w:rsidP="009170F6">
            <w:pPr>
              <w:spacing w:before="0" w:after="0"/>
              <w:jc w:val="center"/>
              <w:rPr>
                <w:rFonts w:cs="Calibri"/>
                <w:color w:val="000000"/>
                <w:sz w:val="22"/>
                <w:szCs w:val="22"/>
              </w:rPr>
            </w:pPr>
          </w:p>
        </w:tc>
      </w:tr>
    </w:tbl>
    <w:p w14:paraId="522F5565" w14:textId="77777777" w:rsidR="001F27D2" w:rsidRPr="002B2A7F" w:rsidRDefault="001F27D2" w:rsidP="001F27D2">
      <w:pPr>
        <w:rPr>
          <w:rFonts w:asciiTheme="minorHAnsi" w:hAnsiTheme="minorHAnsi"/>
          <w:sz w:val="20"/>
        </w:rPr>
      </w:pPr>
      <w:r w:rsidRPr="002B2A7F">
        <w:rPr>
          <w:rFonts w:asciiTheme="minorHAnsi" w:hAnsiTheme="minorHAnsi"/>
          <w:sz w:val="20"/>
        </w:rPr>
        <w:t>Source: arc</w:t>
      </w:r>
      <w:r w:rsidRPr="002B2A7F">
        <w:rPr>
          <w:rFonts w:asciiTheme="minorHAnsi" w:hAnsiTheme="minorHAnsi"/>
          <w:sz w:val="20"/>
          <w:vertAlign w:val="superscript"/>
        </w:rPr>
        <w:t>4</w:t>
      </w:r>
      <w:r w:rsidRPr="002B2A7F">
        <w:rPr>
          <w:rFonts w:asciiTheme="minorHAnsi" w:hAnsiTheme="minorHAnsi"/>
          <w:sz w:val="20"/>
        </w:rPr>
        <w:t xml:space="preserve"> household surveys </w:t>
      </w:r>
    </w:p>
    <w:p w14:paraId="7CEBE9E4" w14:textId="77777777" w:rsidR="001F27D2" w:rsidRPr="002B2A7F" w:rsidRDefault="001F27D2" w:rsidP="001F27D2">
      <w:pPr>
        <w:ind w:firstLine="709"/>
        <w:rPr>
          <w:rFonts w:asciiTheme="minorHAnsi" w:hAnsiTheme="minorHAnsi"/>
        </w:rPr>
      </w:pPr>
    </w:p>
    <w:p w14:paraId="0178C6BE" w14:textId="4F2320CB" w:rsidR="001F27D2" w:rsidRPr="002B2A7F" w:rsidRDefault="001F27D2" w:rsidP="001F27D2">
      <w:pPr>
        <w:pStyle w:val="Reporttext"/>
      </w:pPr>
      <w:r w:rsidRPr="002B2A7F">
        <w:t xml:space="preserve">For each age group, the proportion of </w:t>
      </w:r>
      <w:r w:rsidR="00F01167">
        <w:t>h</w:t>
      </w:r>
      <w:r w:rsidRPr="002B2A7F">
        <w:t xml:space="preserve">ousehold </w:t>
      </w:r>
      <w:r w:rsidR="00F01167">
        <w:t>r</w:t>
      </w:r>
      <w:r w:rsidRPr="002B2A7F">
        <w:t xml:space="preserve">eference </w:t>
      </w:r>
      <w:r w:rsidR="00F01167">
        <w:t>p</w:t>
      </w:r>
      <w:r w:rsidRPr="002B2A7F">
        <w:t xml:space="preserve">ersons (HRPs) by household type living in different type/size and size of dwelling has been calculated. Further analysis considers the relationship between age and household type with what moving households within those groups would expect to move to. </w:t>
      </w:r>
    </w:p>
    <w:p w14:paraId="116D24B1" w14:textId="77777777" w:rsidR="001F27D2" w:rsidRPr="002B2A7F" w:rsidRDefault="001F27D2" w:rsidP="001F27D2">
      <w:pPr>
        <w:rPr>
          <w:rFonts w:asciiTheme="minorHAnsi" w:hAnsiTheme="minorHAnsi"/>
        </w:rPr>
      </w:pPr>
    </w:p>
    <w:p w14:paraId="23256096" w14:textId="298AE51E" w:rsidR="001F27D2" w:rsidRPr="002B2A7F" w:rsidRDefault="001F27D2" w:rsidP="001F27D2">
      <w:pPr>
        <w:pStyle w:val="Heading3"/>
        <w:rPr>
          <w:rFonts w:asciiTheme="minorHAnsi" w:hAnsiTheme="minorHAnsi"/>
        </w:rPr>
      </w:pPr>
      <w:bookmarkStart w:id="570" w:name="_Toc395193581"/>
      <w:r w:rsidRPr="002B2A7F">
        <w:rPr>
          <w:rFonts w:asciiTheme="minorHAnsi" w:hAnsiTheme="minorHAnsi"/>
        </w:rPr>
        <w:t xml:space="preserve">Applying the data at </w:t>
      </w:r>
      <w:r w:rsidR="00F01167">
        <w:rPr>
          <w:rFonts w:asciiTheme="minorHAnsi" w:hAnsiTheme="minorHAnsi"/>
        </w:rPr>
        <w:t>D</w:t>
      </w:r>
      <w:r w:rsidRPr="002B2A7F">
        <w:rPr>
          <w:rFonts w:asciiTheme="minorHAnsi" w:hAnsiTheme="minorHAnsi"/>
        </w:rPr>
        <w:t>istrict level</w:t>
      </w:r>
      <w:bookmarkEnd w:id="570"/>
    </w:p>
    <w:p w14:paraId="6BF72801" w14:textId="580E1480" w:rsidR="001F27D2" w:rsidRPr="002B2A7F" w:rsidRDefault="001F27D2" w:rsidP="001F27D2">
      <w:pPr>
        <w:pStyle w:val="Reporttext"/>
      </w:pPr>
      <w:r w:rsidRPr="002B2A7F">
        <w:t xml:space="preserve">Applying the data at </w:t>
      </w:r>
      <w:r w:rsidR="00F01167">
        <w:t>D</w:t>
      </w:r>
      <w:r w:rsidRPr="002B2A7F">
        <w:t xml:space="preserve">istrict level is done in a systematic way. Firstly, the change in the number of households by age group and household type is established from household projections. Assuming that the dwelling needs of these households do not change over the Plan Period, the overall impact on type/size of dwellings can be determined. </w:t>
      </w:r>
    </w:p>
    <w:p w14:paraId="03C697D4" w14:textId="77777777" w:rsidR="001F27D2" w:rsidRPr="002B2A7F" w:rsidRDefault="001F27D2" w:rsidP="001F27D2">
      <w:pPr>
        <w:pStyle w:val="Reporttext"/>
      </w:pPr>
      <w:r w:rsidRPr="002B2A7F">
        <w:t xml:space="preserve">This is further explained by a worked example. </w:t>
      </w:r>
    </w:p>
    <w:p w14:paraId="74BB59A2" w14:textId="508475E1" w:rsidR="001F27D2" w:rsidRPr="002B2A7F" w:rsidRDefault="001F27D2" w:rsidP="009170F6">
      <w:pPr>
        <w:pStyle w:val="bullet"/>
      </w:pPr>
      <w:r w:rsidRPr="002B2A7F">
        <w:t>In 2014 23.1% of couples (103) with a</w:t>
      </w:r>
      <w:r w:rsidR="00F01167">
        <w:t>n</w:t>
      </w:r>
      <w:r w:rsidRPr="002B2A7F">
        <w:t xml:space="preserve"> HRP aged 25-34 lived in a two bedroom house and there were a total of 447 households in this age and HRP co-hort. By 2032, the number of households in this cohort is expected to reduce to 387 and assuming that 23.1% live in a two bedroom house, the need will reduce to 90 two bedroom dwellings. There will be a net reduction in need by 14 from this particular cohort for two bedroom dwellings. </w:t>
      </w:r>
    </w:p>
    <w:p w14:paraId="526A8FD7" w14:textId="77777777" w:rsidR="001F27D2" w:rsidRPr="002B2A7F" w:rsidRDefault="001F27D2" w:rsidP="009170F6">
      <w:pPr>
        <w:pStyle w:val="bullet"/>
      </w:pPr>
      <w:r w:rsidRPr="002B2A7F">
        <w:t xml:space="preserve">In contrast, the number of couples aged 60-84 is expected to increase from 4,883 in 2014 to 6,499 in 2032. In 2018, 12.6% (614) lived in two bedroom houses and this would increase to 817 in 2032. There would be a net increase need of 203 from this particular cohort for two bedroom dwellings. </w:t>
      </w:r>
    </w:p>
    <w:p w14:paraId="5D1D0BD6" w14:textId="35B49E3E" w:rsidR="001F27D2" w:rsidRPr="002B2A7F" w:rsidRDefault="001F27D2" w:rsidP="001F27D2">
      <w:pPr>
        <w:pStyle w:val="Reporttext"/>
      </w:pPr>
      <w:r w:rsidRPr="002B2A7F">
        <w:t xml:space="preserve">Tables </w:t>
      </w:r>
      <w:r>
        <w:t>7</w:t>
      </w:r>
      <w:r w:rsidRPr="002B2A7F">
        <w:t xml:space="preserve">.2A and </w:t>
      </w:r>
      <w:r>
        <w:t>7</w:t>
      </w:r>
      <w:r w:rsidRPr="002B2A7F">
        <w:t xml:space="preserve">.2B present the baseline demographic data for Eden District. This illustrates that the total number of households is expected to increase by around 1,750 over the Plan Period 2014-2032 using 2014-based DCLG household projections. Analysis however indicates an absolute decline in households where the HRP is aged under 60 (-1750) and an increase in households where the HRP is aged 60 and over (3,040). The </w:t>
      </w:r>
      <w:r w:rsidRPr="002B2A7F">
        <w:lastRenderedPageBreak/>
        <w:t>most substantial change is in households where the HRP is aged 60 or over and in particular those where the HRP is aged 60-84.</w:t>
      </w:r>
    </w:p>
    <w:p w14:paraId="3E5BFDB0" w14:textId="1BC4562E" w:rsidR="001F27D2" w:rsidRPr="002B2A7F" w:rsidRDefault="001F27D2" w:rsidP="001F27D2">
      <w:pPr>
        <w:pStyle w:val="Reporttext"/>
      </w:pPr>
      <w:r w:rsidRPr="002B2A7F">
        <w:t xml:space="preserve">Figure </w:t>
      </w:r>
      <w:r>
        <w:t>7</w:t>
      </w:r>
      <w:r w:rsidRPr="002B2A7F">
        <w:t xml:space="preserve">.1 illustrates how the number of households by HRP age is expected to change over the Plan </w:t>
      </w:r>
      <w:r w:rsidR="00F01167">
        <w:t>P</w:t>
      </w:r>
      <w:r w:rsidRPr="002B2A7F">
        <w:t xml:space="preserve">eriod 2014-2032. In effect, this figure illustrates the negligible change in the number of HRPs from younger age groups (implying that household formation rates will remain largely unchanged over the </w:t>
      </w:r>
      <w:r w:rsidR="00F01167">
        <w:t>P</w:t>
      </w:r>
      <w:r w:rsidRPr="002B2A7F">
        <w:t xml:space="preserve">lan </w:t>
      </w:r>
      <w:r w:rsidR="00F01167">
        <w:t>P</w:t>
      </w:r>
      <w:r w:rsidRPr="002B2A7F">
        <w:t xml:space="preserve">eriod) and the dramatic shift in HRP age group reflects the demographic transition from one cohort (45-59) to the next (60-84) cohort as the population ages. </w:t>
      </w:r>
    </w:p>
    <w:p w14:paraId="6A2026D2" w14:textId="77777777" w:rsidR="001F27D2" w:rsidRPr="002B2A7F" w:rsidRDefault="001F27D2" w:rsidP="001F27D2">
      <w:pPr>
        <w:pStyle w:val="Reporttext"/>
        <w:numPr>
          <w:ilvl w:val="0"/>
          <w:numId w:val="0"/>
        </w:numPr>
        <w:ind w:left="709"/>
      </w:pPr>
    </w:p>
    <w:p w14:paraId="6E7E36FB" w14:textId="77777777" w:rsidR="001F27D2" w:rsidRPr="002B2A7F" w:rsidRDefault="001F27D2" w:rsidP="00C62A5F">
      <w:pPr>
        <w:pStyle w:val="Figureheading0"/>
        <w:ind w:left="731" w:hanging="731"/>
        <w:rPr>
          <w:rFonts w:asciiTheme="minorHAnsi" w:hAnsiTheme="minorHAnsi"/>
        </w:rPr>
      </w:pPr>
      <w:bookmarkStart w:id="571" w:name="_Toc532812532"/>
      <w:r w:rsidRPr="002B2A7F">
        <w:rPr>
          <w:rFonts w:asciiTheme="minorHAnsi" w:hAnsiTheme="minorHAnsi"/>
        </w:rPr>
        <w:t xml:space="preserve">Figure </w:t>
      </w:r>
      <w:r>
        <w:rPr>
          <w:rFonts w:asciiTheme="minorHAnsi" w:hAnsiTheme="minorHAnsi"/>
        </w:rPr>
        <w:t>7</w:t>
      </w:r>
      <w:r w:rsidRPr="002B2A7F">
        <w:rPr>
          <w:rFonts w:asciiTheme="minorHAnsi" w:hAnsiTheme="minorHAnsi"/>
        </w:rPr>
        <w:t>.</w:t>
      </w:r>
      <w:r>
        <w:rPr>
          <w:rFonts w:asciiTheme="minorHAnsi" w:hAnsiTheme="minorHAnsi"/>
        </w:rPr>
        <w:t>1</w:t>
      </w:r>
      <w:r w:rsidRPr="002B2A7F">
        <w:rPr>
          <w:rFonts w:asciiTheme="minorHAnsi" w:hAnsiTheme="minorHAnsi"/>
        </w:rPr>
        <w:tab/>
        <w:t>Change in HRP age groups 2014-2032</w:t>
      </w:r>
      <w:bookmarkEnd w:id="571"/>
    </w:p>
    <w:p w14:paraId="7B101C36" w14:textId="77777777" w:rsidR="001F27D2" w:rsidRPr="002B2A7F" w:rsidRDefault="001F27D2" w:rsidP="009170F6">
      <w:r w:rsidRPr="002B2A7F">
        <w:rPr>
          <w:noProof/>
          <w:lang w:eastAsia="en-GB"/>
        </w:rPr>
        <w:drawing>
          <wp:inline distT="0" distB="0" distL="0" distR="0" wp14:anchorId="7D99E7C1" wp14:editId="42E8E5A9">
            <wp:extent cx="5835650" cy="35737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835650" cy="3573780"/>
                    </a:xfrm>
                    <a:prstGeom prst="rect">
                      <a:avLst/>
                    </a:prstGeom>
                  </pic:spPr>
                </pic:pic>
              </a:graphicData>
            </a:graphic>
          </wp:inline>
        </w:drawing>
      </w:r>
    </w:p>
    <w:p w14:paraId="34174C83" w14:textId="77777777" w:rsidR="001F27D2" w:rsidRPr="00C62A5F" w:rsidRDefault="001F27D2" w:rsidP="00C62A5F">
      <w:pPr>
        <w:pStyle w:val="Reporttext"/>
        <w:numPr>
          <w:ilvl w:val="0"/>
          <w:numId w:val="0"/>
        </w:numPr>
        <w:rPr>
          <w:sz w:val="20"/>
        </w:rPr>
      </w:pPr>
      <w:r w:rsidRPr="00C62A5F">
        <w:rPr>
          <w:sz w:val="20"/>
        </w:rPr>
        <w:t>Source: DCLG 2014-based household projections</w:t>
      </w:r>
    </w:p>
    <w:p w14:paraId="7CDF1208" w14:textId="77777777" w:rsidR="001F27D2" w:rsidRPr="002B2A7F" w:rsidRDefault="001F27D2" w:rsidP="001F27D2">
      <w:pPr>
        <w:rPr>
          <w:rFonts w:asciiTheme="minorHAnsi" w:hAnsiTheme="minorHAnsi"/>
        </w:rPr>
      </w:pPr>
    </w:p>
    <w:p w14:paraId="14C3B1F2" w14:textId="77777777" w:rsidR="001F27D2" w:rsidRPr="002B2A7F" w:rsidRDefault="001F27D2" w:rsidP="001F27D2">
      <w:pPr>
        <w:rPr>
          <w:rFonts w:asciiTheme="minorHAnsi" w:hAnsiTheme="minorHAnsi"/>
        </w:rPr>
      </w:pPr>
      <w:r w:rsidRPr="002B2A7F">
        <w:rPr>
          <w:rFonts w:asciiTheme="minorHAnsi" w:hAnsiTheme="minorHAnsi"/>
        </w:rPr>
        <w:br w:type="page"/>
      </w:r>
    </w:p>
    <w:tbl>
      <w:tblPr>
        <w:tblStyle w:val="arc4table"/>
        <w:tblW w:w="5000" w:type="pct"/>
        <w:tblLook w:val="04A0" w:firstRow="1" w:lastRow="0" w:firstColumn="1" w:lastColumn="0" w:noHBand="0" w:noVBand="1"/>
      </w:tblPr>
      <w:tblGrid>
        <w:gridCol w:w="1323"/>
        <w:gridCol w:w="2550"/>
        <w:gridCol w:w="1726"/>
        <w:gridCol w:w="1368"/>
        <w:gridCol w:w="2213"/>
      </w:tblGrid>
      <w:tr w:rsidR="001F27D2" w:rsidRPr="00C62A5F" w14:paraId="1B0FD1E5" w14:textId="77777777" w:rsidTr="001F27D2">
        <w:trPr>
          <w:cnfStyle w:val="100000000000" w:firstRow="1" w:lastRow="0" w:firstColumn="0" w:lastColumn="0" w:oddVBand="0" w:evenVBand="0" w:oddHBand="0" w:evenHBand="0" w:firstRowFirstColumn="0" w:firstRowLastColumn="0" w:lastRowFirstColumn="0" w:lastRowLastColumn="0"/>
          <w:trHeight w:val="300"/>
        </w:trPr>
        <w:tc>
          <w:tcPr>
            <w:tcW w:w="5000" w:type="pct"/>
            <w:gridSpan w:val="5"/>
            <w:noWrap/>
          </w:tcPr>
          <w:p w14:paraId="328E6044" w14:textId="77777777" w:rsidR="001F27D2" w:rsidRPr="00C62A5F" w:rsidRDefault="001F27D2" w:rsidP="00C62A5F">
            <w:pPr>
              <w:pStyle w:val="Tableheading1"/>
              <w:rPr>
                <w:rFonts w:cs="Calibri"/>
                <w:b/>
                <w:color w:val="000000"/>
                <w:szCs w:val="22"/>
              </w:rPr>
            </w:pPr>
            <w:bookmarkStart w:id="572" w:name="_Toc391751396"/>
            <w:bookmarkStart w:id="573" w:name="_Toc524935687"/>
            <w:bookmarkStart w:id="574" w:name="_Toc531122977"/>
            <w:bookmarkStart w:id="575" w:name="_Toc532812506"/>
            <w:r w:rsidRPr="00C62A5F">
              <w:rPr>
                <w:rFonts w:cs="Calibri"/>
                <w:b/>
                <w:szCs w:val="22"/>
              </w:rPr>
              <w:lastRenderedPageBreak/>
              <w:t>Table 7.2A</w:t>
            </w:r>
            <w:r w:rsidRPr="00C62A5F">
              <w:rPr>
                <w:rFonts w:cs="Calibri"/>
                <w:b/>
                <w:szCs w:val="22"/>
              </w:rPr>
              <w:tab/>
              <w:t>Change in number of households by age group 2014-203</w:t>
            </w:r>
            <w:bookmarkEnd w:id="572"/>
            <w:r w:rsidRPr="00C62A5F">
              <w:rPr>
                <w:rFonts w:cs="Calibri"/>
                <w:b/>
                <w:szCs w:val="22"/>
              </w:rPr>
              <w:t>2</w:t>
            </w:r>
            <w:bookmarkEnd w:id="573"/>
            <w:bookmarkEnd w:id="574"/>
            <w:bookmarkEnd w:id="575"/>
          </w:p>
        </w:tc>
      </w:tr>
      <w:tr w:rsidR="001F27D2" w:rsidRPr="00C62A5F" w14:paraId="2F7DED01" w14:textId="77777777" w:rsidTr="001F27D2">
        <w:trPr>
          <w:trHeight w:val="300"/>
        </w:trPr>
        <w:tc>
          <w:tcPr>
            <w:tcW w:w="728" w:type="pct"/>
            <w:vMerge w:val="restart"/>
            <w:shd w:val="clear" w:color="auto" w:fill="009999"/>
            <w:noWrap/>
            <w:vAlign w:val="bottom"/>
            <w:hideMark/>
          </w:tcPr>
          <w:p w14:paraId="48F3F2B7" w14:textId="77777777" w:rsidR="001F27D2" w:rsidRPr="00C62A5F" w:rsidRDefault="001F27D2" w:rsidP="00C62A5F">
            <w:pPr>
              <w:spacing w:before="0" w:after="0"/>
              <w:jc w:val="center"/>
              <w:rPr>
                <w:rFonts w:cs="Calibri"/>
                <w:b/>
                <w:bCs/>
                <w:color w:val="FFFFFF" w:themeColor="background1"/>
                <w:sz w:val="22"/>
                <w:szCs w:val="22"/>
              </w:rPr>
            </w:pPr>
            <w:r w:rsidRPr="00C62A5F">
              <w:rPr>
                <w:rFonts w:cs="Calibri"/>
                <w:b/>
                <w:bCs/>
                <w:color w:val="FFFFFF" w:themeColor="background1"/>
                <w:sz w:val="22"/>
                <w:szCs w:val="22"/>
              </w:rPr>
              <w:t>Age group</w:t>
            </w:r>
          </w:p>
        </w:tc>
        <w:tc>
          <w:tcPr>
            <w:tcW w:w="1396" w:type="pct"/>
            <w:vMerge w:val="restart"/>
            <w:shd w:val="clear" w:color="auto" w:fill="009999"/>
            <w:noWrap/>
            <w:vAlign w:val="bottom"/>
            <w:hideMark/>
          </w:tcPr>
          <w:p w14:paraId="51B33CFB" w14:textId="77777777" w:rsidR="001F27D2" w:rsidRPr="00C62A5F" w:rsidRDefault="001F27D2" w:rsidP="00C62A5F">
            <w:pPr>
              <w:spacing w:before="0" w:after="0"/>
              <w:jc w:val="center"/>
              <w:rPr>
                <w:rFonts w:cs="Calibri"/>
                <w:b/>
                <w:bCs/>
                <w:color w:val="FFFFFF" w:themeColor="background1"/>
                <w:sz w:val="22"/>
                <w:szCs w:val="22"/>
              </w:rPr>
            </w:pPr>
            <w:r w:rsidRPr="00C62A5F">
              <w:rPr>
                <w:rFonts w:cs="Calibri"/>
                <w:b/>
                <w:bCs/>
                <w:color w:val="FFFFFF" w:themeColor="background1"/>
                <w:sz w:val="22"/>
                <w:szCs w:val="22"/>
              </w:rPr>
              <w:t>Household Type</w:t>
            </w:r>
          </w:p>
        </w:tc>
        <w:tc>
          <w:tcPr>
            <w:tcW w:w="1699" w:type="pct"/>
            <w:gridSpan w:val="2"/>
            <w:shd w:val="clear" w:color="auto" w:fill="009999"/>
            <w:noWrap/>
            <w:vAlign w:val="bottom"/>
            <w:hideMark/>
          </w:tcPr>
          <w:p w14:paraId="6437559A" w14:textId="77777777" w:rsidR="001F27D2" w:rsidRPr="00C62A5F" w:rsidRDefault="001F27D2" w:rsidP="00C62A5F">
            <w:pPr>
              <w:spacing w:before="0" w:after="0"/>
              <w:jc w:val="center"/>
              <w:rPr>
                <w:rFonts w:cs="Calibri"/>
                <w:b/>
                <w:bCs/>
                <w:color w:val="FFFFFF" w:themeColor="background1"/>
                <w:sz w:val="22"/>
                <w:szCs w:val="22"/>
              </w:rPr>
            </w:pPr>
            <w:r w:rsidRPr="00C62A5F">
              <w:rPr>
                <w:rFonts w:cs="Calibri"/>
                <w:b/>
                <w:bCs/>
                <w:color w:val="FFFFFF" w:themeColor="background1"/>
                <w:sz w:val="22"/>
                <w:szCs w:val="22"/>
              </w:rPr>
              <w:t>Year</w:t>
            </w:r>
          </w:p>
        </w:tc>
        <w:tc>
          <w:tcPr>
            <w:tcW w:w="1177" w:type="pct"/>
            <w:vMerge w:val="restart"/>
            <w:shd w:val="clear" w:color="auto" w:fill="009999"/>
            <w:noWrap/>
            <w:vAlign w:val="bottom"/>
            <w:hideMark/>
          </w:tcPr>
          <w:p w14:paraId="39DBEEC8" w14:textId="77777777" w:rsidR="001F27D2" w:rsidRPr="00C62A5F" w:rsidRDefault="001F27D2" w:rsidP="00C62A5F">
            <w:pPr>
              <w:spacing w:before="0" w:after="0"/>
              <w:jc w:val="center"/>
              <w:rPr>
                <w:rFonts w:cs="Calibri"/>
                <w:b/>
                <w:bCs/>
                <w:color w:val="FFFFFF" w:themeColor="background1"/>
                <w:sz w:val="22"/>
                <w:szCs w:val="22"/>
              </w:rPr>
            </w:pPr>
            <w:r w:rsidRPr="00C62A5F">
              <w:rPr>
                <w:rFonts w:cs="Calibri"/>
                <w:b/>
                <w:bCs/>
                <w:color w:val="FFFFFF" w:themeColor="background1"/>
                <w:sz w:val="22"/>
                <w:szCs w:val="22"/>
              </w:rPr>
              <w:t>Change in households</w:t>
            </w:r>
          </w:p>
          <w:p w14:paraId="45642F78" w14:textId="77777777" w:rsidR="001F27D2" w:rsidRPr="00C62A5F" w:rsidRDefault="001F27D2" w:rsidP="00C62A5F">
            <w:pPr>
              <w:spacing w:before="0" w:after="0"/>
              <w:jc w:val="center"/>
              <w:rPr>
                <w:rFonts w:cs="Calibri"/>
                <w:b/>
                <w:bCs/>
                <w:color w:val="FFFFFF" w:themeColor="background1"/>
                <w:sz w:val="22"/>
                <w:szCs w:val="22"/>
              </w:rPr>
            </w:pPr>
            <w:r w:rsidRPr="00C62A5F">
              <w:rPr>
                <w:rFonts w:cs="Calibri"/>
                <w:b/>
                <w:bCs/>
                <w:color w:val="FFFFFF" w:themeColor="background1"/>
                <w:sz w:val="22"/>
                <w:szCs w:val="22"/>
              </w:rPr>
              <w:t>2014-2032</w:t>
            </w:r>
          </w:p>
        </w:tc>
      </w:tr>
      <w:tr w:rsidR="001F27D2" w:rsidRPr="00C62A5F" w14:paraId="13DC1E67" w14:textId="77777777" w:rsidTr="001F27D2">
        <w:trPr>
          <w:trHeight w:val="250"/>
        </w:trPr>
        <w:tc>
          <w:tcPr>
            <w:tcW w:w="728" w:type="pct"/>
            <w:vMerge/>
            <w:noWrap/>
            <w:hideMark/>
          </w:tcPr>
          <w:p w14:paraId="0CFA141C" w14:textId="77777777" w:rsidR="001F27D2" w:rsidRPr="00C62A5F" w:rsidRDefault="001F27D2" w:rsidP="00C62A5F">
            <w:pPr>
              <w:spacing w:before="0" w:after="0"/>
              <w:rPr>
                <w:rFonts w:cs="Calibri"/>
                <w:b/>
                <w:bCs/>
                <w:color w:val="000000"/>
                <w:sz w:val="22"/>
                <w:szCs w:val="22"/>
              </w:rPr>
            </w:pPr>
          </w:p>
        </w:tc>
        <w:tc>
          <w:tcPr>
            <w:tcW w:w="1396" w:type="pct"/>
            <w:vMerge/>
            <w:noWrap/>
            <w:hideMark/>
          </w:tcPr>
          <w:p w14:paraId="70E23A5B" w14:textId="77777777" w:rsidR="001F27D2" w:rsidRPr="00C62A5F" w:rsidRDefault="001F27D2" w:rsidP="00C62A5F">
            <w:pPr>
              <w:spacing w:before="0" w:after="0"/>
              <w:rPr>
                <w:rFonts w:cs="Calibri"/>
                <w:b/>
                <w:bCs/>
                <w:color w:val="000000"/>
                <w:sz w:val="22"/>
                <w:szCs w:val="22"/>
              </w:rPr>
            </w:pPr>
          </w:p>
        </w:tc>
        <w:tc>
          <w:tcPr>
            <w:tcW w:w="947" w:type="pct"/>
            <w:shd w:val="clear" w:color="auto" w:fill="009999"/>
            <w:noWrap/>
            <w:hideMark/>
          </w:tcPr>
          <w:p w14:paraId="31E59A23" w14:textId="77777777" w:rsidR="001F27D2" w:rsidRPr="00C62A5F" w:rsidRDefault="001F27D2" w:rsidP="00C62A5F">
            <w:pPr>
              <w:spacing w:before="0" w:after="0"/>
              <w:jc w:val="center"/>
              <w:rPr>
                <w:rFonts w:cs="Calibri"/>
                <w:bCs/>
                <w:color w:val="FFFFFF" w:themeColor="background1"/>
                <w:sz w:val="22"/>
                <w:szCs w:val="22"/>
              </w:rPr>
            </w:pPr>
            <w:r w:rsidRPr="00C62A5F">
              <w:rPr>
                <w:rFonts w:cs="Calibri"/>
                <w:bCs/>
                <w:color w:val="FFFFFF" w:themeColor="background1"/>
                <w:sz w:val="22"/>
                <w:szCs w:val="22"/>
              </w:rPr>
              <w:t>2014</w:t>
            </w:r>
          </w:p>
        </w:tc>
        <w:tc>
          <w:tcPr>
            <w:tcW w:w="752" w:type="pct"/>
            <w:shd w:val="clear" w:color="auto" w:fill="009999"/>
            <w:noWrap/>
            <w:hideMark/>
          </w:tcPr>
          <w:p w14:paraId="50570BE7" w14:textId="77777777" w:rsidR="001F27D2" w:rsidRPr="00C62A5F" w:rsidRDefault="001F27D2" w:rsidP="00C62A5F">
            <w:pPr>
              <w:spacing w:before="0" w:after="0"/>
              <w:jc w:val="center"/>
              <w:rPr>
                <w:rFonts w:cs="Calibri"/>
                <w:bCs/>
                <w:color w:val="FFFFFF" w:themeColor="background1"/>
                <w:sz w:val="22"/>
                <w:szCs w:val="22"/>
              </w:rPr>
            </w:pPr>
            <w:r w:rsidRPr="00C62A5F">
              <w:rPr>
                <w:rFonts w:cs="Calibri"/>
                <w:bCs/>
                <w:color w:val="FFFFFF" w:themeColor="background1"/>
                <w:sz w:val="22"/>
                <w:szCs w:val="22"/>
              </w:rPr>
              <w:t>2032</w:t>
            </w:r>
          </w:p>
        </w:tc>
        <w:tc>
          <w:tcPr>
            <w:tcW w:w="1177" w:type="pct"/>
            <w:vMerge/>
            <w:hideMark/>
          </w:tcPr>
          <w:p w14:paraId="367078EE" w14:textId="77777777" w:rsidR="001F27D2" w:rsidRPr="00C62A5F" w:rsidRDefault="001F27D2" w:rsidP="00C62A5F">
            <w:pPr>
              <w:spacing w:before="0" w:after="0"/>
              <w:jc w:val="center"/>
              <w:rPr>
                <w:rFonts w:cs="Calibri"/>
                <w:b/>
                <w:bCs/>
                <w:color w:val="000000"/>
                <w:sz w:val="22"/>
                <w:szCs w:val="22"/>
              </w:rPr>
            </w:pPr>
          </w:p>
        </w:tc>
      </w:tr>
      <w:tr w:rsidR="001F27D2" w:rsidRPr="00C62A5F" w14:paraId="7CE2B04A" w14:textId="77777777" w:rsidTr="001F27D2">
        <w:trPr>
          <w:trHeight w:val="300"/>
        </w:trPr>
        <w:tc>
          <w:tcPr>
            <w:tcW w:w="728" w:type="pct"/>
            <w:vMerge w:val="restart"/>
            <w:noWrap/>
            <w:hideMark/>
          </w:tcPr>
          <w:p w14:paraId="7E870405" w14:textId="77777777" w:rsidR="001F27D2" w:rsidRPr="00C62A5F" w:rsidRDefault="001F27D2" w:rsidP="001F27D2">
            <w:pPr>
              <w:spacing w:before="0" w:after="0"/>
              <w:ind w:left="720" w:hanging="720"/>
              <w:jc w:val="center"/>
              <w:rPr>
                <w:rFonts w:cs="Calibri"/>
                <w:b/>
                <w:color w:val="000000"/>
                <w:sz w:val="22"/>
                <w:szCs w:val="22"/>
              </w:rPr>
            </w:pPr>
            <w:r w:rsidRPr="00C62A5F">
              <w:rPr>
                <w:rFonts w:cs="Calibri"/>
                <w:b/>
                <w:color w:val="000000"/>
                <w:sz w:val="22"/>
                <w:szCs w:val="22"/>
              </w:rPr>
              <w:t>15-24</w:t>
            </w:r>
          </w:p>
        </w:tc>
        <w:tc>
          <w:tcPr>
            <w:tcW w:w="1396" w:type="pct"/>
            <w:noWrap/>
            <w:hideMark/>
          </w:tcPr>
          <w:p w14:paraId="1CB23346" w14:textId="77777777" w:rsidR="001F27D2" w:rsidRPr="00C62A5F" w:rsidRDefault="001F27D2" w:rsidP="001F27D2">
            <w:pPr>
              <w:spacing w:before="0" w:after="0"/>
              <w:rPr>
                <w:rFonts w:cs="Calibri"/>
                <w:color w:val="000000"/>
                <w:sz w:val="22"/>
                <w:szCs w:val="22"/>
              </w:rPr>
            </w:pPr>
            <w:r w:rsidRPr="00C62A5F">
              <w:rPr>
                <w:rFonts w:cs="Calibri"/>
                <w:color w:val="000000"/>
                <w:sz w:val="22"/>
                <w:szCs w:val="22"/>
              </w:rPr>
              <w:t>One Person</w:t>
            </w:r>
          </w:p>
        </w:tc>
        <w:tc>
          <w:tcPr>
            <w:tcW w:w="947" w:type="pct"/>
            <w:noWrap/>
            <w:vAlign w:val="bottom"/>
          </w:tcPr>
          <w:p w14:paraId="7B65B6DA"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158</w:t>
            </w:r>
          </w:p>
        </w:tc>
        <w:tc>
          <w:tcPr>
            <w:tcW w:w="752" w:type="pct"/>
            <w:noWrap/>
            <w:vAlign w:val="bottom"/>
          </w:tcPr>
          <w:p w14:paraId="0824D2C4"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123</w:t>
            </w:r>
          </w:p>
        </w:tc>
        <w:tc>
          <w:tcPr>
            <w:tcW w:w="1177" w:type="pct"/>
            <w:noWrap/>
            <w:vAlign w:val="bottom"/>
          </w:tcPr>
          <w:p w14:paraId="07B66F91"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-35</w:t>
            </w:r>
          </w:p>
        </w:tc>
      </w:tr>
      <w:tr w:rsidR="001F27D2" w:rsidRPr="00C62A5F" w14:paraId="618E89AB" w14:textId="77777777" w:rsidTr="001F27D2">
        <w:trPr>
          <w:trHeight w:val="300"/>
        </w:trPr>
        <w:tc>
          <w:tcPr>
            <w:tcW w:w="728" w:type="pct"/>
            <w:vMerge/>
            <w:noWrap/>
            <w:hideMark/>
          </w:tcPr>
          <w:p w14:paraId="1F9203F1" w14:textId="77777777" w:rsidR="001F27D2" w:rsidRPr="00C62A5F" w:rsidRDefault="001F27D2" w:rsidP="001F27D2">
            <w:pPr>
              <w:spacing w:before="0" w:after="0"/>
              <w:jc w:val="center"/>
              <w:rPr>
                <w:rFonts w:cs="Calibri"/>
                <w:b/>
                <w:color w:val="000000"/>
                <w:sz w:val="22"/>
                <w:szCs w:val="22"/>
              </w:rPr>
            </w:pPr>
          </w:p>
        </w:tc>
        <w:tc>
          <w:tcPr>
            <w:tcW w:w="1396" w:type="pct"/>
            <w:noWrap/>
            <w:hideMark/>
          </w:tcPr>
          <w:p w14:paraId="3FADEE2C" w14:textId="77777777" w:rsidR="001F27D2" w:rsidRPr="00C62A5F" w:rsidRDefault="001F27D2" w:rsidP="001F27D2">
            <w:pPr>
              <w:spacing w:before="0" w:after="0"/>
              <w:rPr>
                <w:rFonts w:cs="Calibri"/>
                <w:color w:val="000000"/>
                <w:sz w:val="22"/>
                <w:szCs w:val="22"/>
              </w:rPr>
            </w:pPr>
            <w:r w:rsidRPr="00C62A5F">
              <w:rPr>
                <w:rFonts w:cs="Calibri"/>
                <w:color w:val="000000"/>
                <w:sz w:val="22"/>
                <w:szCs w:val="22"/>
              </w:rPr>
              <w:t>Couple only</w:t>
            </w:r>
          </w:p>
        </w:tc>
        <w:tc>
          <w:tcPr>
            <w:tcW w:w="947" w:type="pct"/>
            <w:noWrap/>
            <w:vAlign w:val="bottom"/>
          </w:tcPr>
          <w:p w14:paraId="0E96DB9D"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68</w:t>
            </w:r>
          </w:p>
        </w:tc>
        <w:tc>
          <w:tcPr>
            <w:tcW w:w="752" w:type="pct"/>
            <w:noWrap/>
            <w:vAlign w:val="bottom"/>
          </w:tcPr>
          <w:p w14:paraId="4C73D067"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23</w:t>
            </w:r>
          </w:p>
        </w:tc>
        <w:tc>
          <w:tcPr>
            <w:tcW w:w="1177" w:type="pct"/>
            <w:noWrap/>
            <w:vAlign w:val="bottom"/>
          </w:tcPr>
          <w:p w14:paraId="120EEC5E"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-45</w:t>
            </w:r>
          </w:p>
        </w:tc>
      </w:tr>
      <w:tr w:rsidR="001F27D2" w:rsidRPr="00C62A5F" w14:paraId="61D37D15" w14:textId="77777777" w:rsidTr="001F27D2">
        <w:trPr>
          <w:trHeight w:val="300"/>
        </w:trPr>
        <w:tc>
          <w:tcPr>
            <w:tcW w:w="728" w:type="pct"/>
            <w:vMerge/>
            <w:noWrap/>
            <w:hideMark/>
          </w:tcPr>
          <w:p w14:paraId="344455D0" w14:textId="77777777" w:rsidR="001F27D2" w:rsidRPr="00C62A5F" w:rsidRDefault="001F27D2" w:rsidP="001F27D2">
            <w:pPr>
              <w:spacing w:before="0" w:after="0"/>
              <w:jc w:val="center"/>
              <w:rPr>
                <w:rFonts w:cs="Calibri"/>
                <w:b/>
                <w:color w:val="000000"/>
                <w:sz w:val="22"/>
                <w:szCs w:val="22"/>
              </w:rPr>
            </w:pPr>
          </w:p>
        </w:tc>
        <w:tc>
          <w:tcPr>
            <w:tcW w:w="1396" w:type="pct"/>
            <w:noWrap/>
            <w:hideMark/>
          </w:tcPr>
          <w:p w14:paraId="3C9CED98" w14:textId="77777777" w:rsidR="001F27D2" w:rsidRPr="00C62A5F" w:rsidRDefault="001F27D2" w:rsidP="001F27D2">
            <w:pPr>
              <w:spacing w:before="0" w:after="0"/>
              <w:rPr>
                <w:rFonts w:cs="Calibri"/>
                <w:color w:val="000000"/>
                <w:sz w:val="22"/>
                <w:szCs w:val="22"/>
              </w:rPr>
            </w:pPr>
            <w:r w:rsidRPr="00C62A5F">
              <w:rPr>
                <w:rFonts w:cs="Calibri"/>
                <w:color w:val="000000"/>
                <w:sz w:val="22"/>
                <w:szCs w:val="22"/>
              </w:rPr>
              <w:t>HH with 1/2 children</w:t>
            </w:r>
          </w:p>
        </w:tc>
        <w:tc>
          <w:tcPr>
            <w:tcW w:w="947" w:type="pct"/>
            <w:noWrap/>
            <w:vAlign w:val="bottom"/>
          </w:tcPr>
          <w:p w14:paraId="6B53C2AC"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126</w:t>
            </w:r>
          </w:p>
        </w:tc>
        <w:tc>
          <w:tcPr>
            <w:tcW w:w="752" w:type="pct"/>
            <w:noWrap/>
            <w:vAlign w:val="bottom"/>
          </w:tcPr>
          <w:p w14:paraId="07603441"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153</w:t>
            </w:r>
          </w:p>
        </w:tc>
        <w:tc>
          <w:tcPr>
            <w:tcW w:w="1177" w:type="pct"/>
            <w:noWrap/>
            <w:vAlign w:val="bottom"/>
          </w:tcPr>
          <w:p w14:paraId="10C14728"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27</w:t>
            </w:r>
          </w:p>
        </w:tc>
      </w:tr>
      <w:tr w:rsidR="001F27D2" w:rsidRPr="00C62A5F" w14:paraId="142A9DAC" w14:textId="77777777" w:rsidTr="001F27D2">
        <w:trPr>
          <w:trHeight w:val="300"/>
        </w:trPr>
        <w:tc>
          <w:tcPr>
            <w:tcW w:w="728" w:type="pct"/>
            <w:vMerge/>
            <w:noWrap/>
            <w:hideMark/>
          </w:tcPr>
          <w:p w14:paraId="09726746" w14:textId="77777777" w:rsidR="001F27D2" w:rsidRPr="00C62A5F" w:rsidRDefault="001F27D2" w:rsidP="001F27D2">
            <w:pPr>
              <w:spacing w:before="0" w:after="0"/>
              <w:jc w:val="center"/>
              <w:rPr>
                <w:rFonts w:cs="Calibri"/>
                <w:b/>
                <w:color w:val="000000"/>
                <w:sz w:val="22"/>
                <w:szCs w:val="22"/>
              </w:rPr>
            </w:pPr>
          </w:p>
        </w:tc>
        <w:tc>
          <w:tcPr>
            <w:tcW w:w="1396" w:type="pct"/>
            <w:noWrap/>
            <w:hideMark/>
          </w:tcPr>
          <w:p w14:paraId="04F09757" w14:textId="77777777" w:rsidR="001F27D2" w:rsidRPr="00C62A5F" w:rsidRDefault="001F27D2" w:rsidP="001F27D2">
            <w:pPr>
              <w:spacing w:before="0" w:after="0"/>
              <w:rPr>
                <w:rFonts w:cs="Calibri"/>
                <w:color w:val="000000"/>
                <w:sz w:val="22"/>
                <w:szCs w:val="22"/>
              </w:rPr>
            </w:pPr>
            <w:r w:rsidRPr="00C62A5F">
              <w:rPr>
                <w:rFonts w:cs="Calibri"/>
                <w:color w:val="000000"/>
                <w:sz w:val="22"/>
                <w:szCs w:val="22"/>
              </w:rPr>
              <w:t>HH with 3 children</w:t>
            </w:r>
          </w:p>
        </w:tc>
        <w:tc>
          <w:tcPr>
            <w:tcW w:w="947" w:type="pct"/>
            <w:noWrap/>
            <w:vAlign w:val="bottom"/>
          </w:tcPr>
          <w:p w14:paraId="1CEA8CD8"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13</w:t>
            </w:r>
          </w:p>
        </w:tc>
        <w:tc>
          <w:tcPr>
            <w:tcW w:w="752" w:type="pct"/>
            <w:noWrap/>
            <w:vAlign w:val="bottom"/>
          </w:tcPr>
          <w:p w14:paraId="6D2A02B2"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24</w:t>
            </w:r>
          </w:p>
        </w:tc>
        <w:tc>
          <w:tcPr>
            <w:tcW w:w="1177" w:type="pct"/>
            <w:noWrap/>
            <w:vAlign w:val="bottom"/>
          </w:tcPr>
          <w:p w14:paraId="7FB66AC2"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11</w:t>
            </w:r>
          </w:p>
        </w:tc>
      </w:tr>
      <w:tr w:rsidR="001F27D2" w:rsidRPr="00C62A5F" w14:paraId="1D4F42AE" w14:textId="77777777" w:rsidTr="001F27D2">
        <w:trPr>
          <w:trHeight w:val="300"/>
        </w:trPr>
        <w:tc>
          <w:tcPr>
            <w:tcW w:w="728" w:type="pct"/>
            <w:vMerge/>
            <w:noWrap/>
            <w:hideMark/>
          </w:tcPr>
          <w:p w14:paraId="41EF9970" w14:textId="77777777" w:rsidR="001F27D2" w:rsidRPr="00C62A5F" w:rsidRDefault="001F27D2" w:rsidP="001F27D2">
            <w:pPr>
              <w:spacing w:before="0" w:after="0"/>
              <w:jc w:val="center"/>
              <w:rPr>
                <w:rFonts w:cs="Calibri"/>
                <w:b/>
                <w:color w:val="000000"/>
                <w:sz w:val="22"/>
                <w:szCs w:val="22"/>
              </w:rPr>
            </w:pPr>
          </w:p>
        </w:tc>
        <w:tc>
          <w:tcPr>
            <w:tcW w:w="1396" w:type="pct"/>
            <w:noWrap/>
            <w:hideMark/>
          </w:tcPr>
          <w:p w14:paraId="1FDE423E" w14:textId="77777777" w:rsidR="001F27D2" w:rsidRPr="00C62A5F" w:rsidRDefault="001F27D2" w:rsidP="001F27D2">
            <w:pPr>
              <w:spacing w:before="0" w:after="0"/>
              <w:rPr>
                <w:rFonts w:cs="Calibri"/>
                <w:color w:val="000000"/>
                <w:sz w:val="22"/>
                <w:szCs w:val="22"/>
              </w:rPr>
            </w:pPr>
            <w:r w:rsidRPr="00C62A5F">
              <w:rPr>
                <w:rFonts w:cs="Calibri"/>
                <w:color w:val="000000"/>
                <w:sz w:val="22"/>
                <w:szCs w:val="22"/>
              </w:rPr>
              <w:t>Other Multi-person</w:t>
            </w:r>
          </w:p>
        </w:tc>
        <w:tc>
          <w:tcPr>
            <w:tcW w:w="947" w:type="pct"/>
            <w:noWrap/>
            <w:vAlign w:val="bottom"/>
          </w:tcPr>
          <w:p w14:paraId="2CA01539"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98</w:t>
            </w:r>
          </w:p>
        </w:tc>
        <w:tc>
          <w:tcPr>
            <w:tcW w:w="752" w:type="pct"/>
            <w:noWrap/>
            <w:vAlign w:val="bottom"/>
          </w:tcPr>
          <w:p w14:paraId="145AF73D"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157</w:t>
            </w:r>
          </w:p>
        </w:tc>
        <w:tc>
          <w:tcPr>
            <w:tcW w:w="1177" w:type="pct"/>
            <w:noWrap/>
            <w:vAlign w:val="bottom"/>
          </w:tcPr>
          <w:p w14:paraId="00CB963D"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59</w:t>
            </w:r>
          </w:p>
        </w:tc>
      </w:tr>
      <w:tr w:rsidR="001F27D2" w:rsidRPr="00C62A5F" w14:paraId="35C3A14B" w14:textId="77777777" w:rsidTr="001F27D2">
        <w:trPr>
          <w:trHeight w:val="300"/>
        </w:trPr>
        <w:tc>
          <w:tcPr>
            <w:tcW w:w="728" w:type="pct"/>
            <w:vMerge/>
            <w:noWrap/>
            <w:hideMark/>
          </w:tcPr>
          <w:p w14:paraId="04BDE09C" w14:textId="77777777" w:rsidR="001F27D2" w:rsidRPr="00C62A5F" w:rsidRDefault="001F27D2" w:rsidP="001F27D2">
            <w:pPr>
              <w:spacing w:before="0" w:after="0"/>
              <w:jc w:val="center"/>
              <w:rPr>
                <w:rFonts w:cs="Calibri"/>
                <w:b/>
                <w:color w:val="000000"/>
                <w:sz w:val="22"/>
                <w:szCs w:val="22"/>
              </w:rPr>
            </w:pPr>
          </w:p>
        </w:tc>
        <w:tc>
          <w:tcPr>
            <w:tcW w:w="1396" w:type="pct"/>
            <w:noWrap/>
            <w:hideMark/>
          </w:tcPr>
          <w:p w14:paraId="035E8606" w14:textId="77777777" w:rsidR="001F27D2" w:rsidRPr="00C62A5F" w:rsidRDefault="001F27D2" w:rsidP="001F27D2">
            <w:pPr>
              <w:spacing w:before="0" w:after="0"/>
              <w:rPr>
                <w:rFonts w:cs="Calibri"/>
                <w:b/>
                <w:color w:val="000000"/>
                <w:sz w:val="22"/>
                <w:szCs w:val="22"/>
              </w:rPr>
            </w:pPr>
            <w:r w:rsidRPr="00C62A5F">
              <w:rPr>
                <w:rFonts w:cs="Calibri"/>
                <w:b/>
                <w:color w:val="000000"/>
                <w:sz w:val="22"/>
                <w:szCs w:val="22"/>
              </w:rPr>
              <w:t>Total</w:t>
            </w:r>
          </w:p>
        </w:tc>
        <w:tc>
          <w:tcPr>
            <w:tcW w:w="947" w:type="pct"/>
            <w:noWrap/>
            <w:vAlign w:val="bottom"/>
          </w:tcPr>
          <w:p w14:paraId="5C4838A2"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463</w:t>
            </w:r>
          </w:p>
        </w:tc>
        <w:tc>
          <w:tcPr>
            <w:tcW w:w="752" w:type="pct"/>
            <w:noWrap/>
            <w:vAlign w:val="bottom"/>
          </w:tcPr>
          <w:p w14:paraId="59B173A2"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480</w:t>
            </w:r>
          </w:p>
        </w:tc>
        <w:tc>
          <w:tcPr>
            <w:tcW w:w="1177" w:type="pct"/>
            <w:noWrap/>
            <w:vAlign w:val="bottom"/>
          </w:tcPr>
          <w:p w14:paraId="07ADE8AB"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17</w:t>
            </w:r>
          </w:p>
        </w:tc>
      </w:tr>
      <w:tr w:rsidR="001F27D2" w:rsidRPr="00C62A5F" w14:paraId="26FF95ED" w14:textId="77777777" w:rsidTr="001F27D2">
        <w:trPr>
          <w:trHeight w:val="300"/>
        </w:trPr>
        <w:tc>
          <w:tcPr>
            <w:tcW w:w="728" w:type="pct"/>
            <w:vMerge w:val="restart"/>
            <w:noWrap/>
            <w:hideMark/>
          </w:tcPr>
          <w:p w14:paraId="2D0F846D" w14:textId="77777777" w:rsidR="001F27D2" w:rsidRPr="00C62A5F" w:rsidRDefault="001F27D2" w:rsidP="001F27D2">
            <w:pPr>
              <w:spacing w:before="0" w:after="0"/>
              <w:jc w:val="center"/>
              <w:rPr>
                <w:rFonts w:cs="Calibri"/>
                <w:b/>
                <w:color w:val="000000"/>
                <w:sz w:val="22"/>
                <w:szCs w:val="22"/>
              </w:rPr>
            </w:pPr>
            <w:r w:rsidRPr="00C62A5F">
              <w:rPr>
                <w:rFonts w:cs="Calibri"/>
                <w:b/>
                <w:color w:val="000000"/>
                <w:sz w:val="22"/>
                <w:szCs w:val="22"/>
              </w:rPr>
              <w:t>25-34</w:t>
            </w:r>
          </w:p>
        </w:tc>
        <w:tc>
          <w:tcPr>
            <w:tcW w:w="1396" w:type="pct"/>
            <w:noWrap/>
            <w:hideMark/>
          </w:tcPr>
          <w:p w14:paraId="47581CB1" w14:textId="77777777" w:rsidR="001F27D2" w:rsidRPr="00C62A5F" w:rsidRDefault="001F27D2" w:rsidP="001F27D2">
            <w:pPr>
              <w:spacing w:before="0" w:after="0"/>
              <w:rPr>
                <w:rFonts w:cs="Calibri"/>
                <w:color w:val="000000"/>
                <w:sz w:val="22"/>
                <w:szCs w:val="22"/>
              </w:rPr>
            </w:pPr>
            <w:r w:rsidRPr="00C62A5F">
              <w:rPr>
                <w:rFonts w:cs="Calibri"/>
                <w:color w:val="000000"/>
                <w:sz w:val="22"/>
                <w:szCs w:val="22"/>
              </w:rPr>
              <w:t>One Person</w:t>
            </w:r>
          </w:p>
        </w:tc>
        <w:tc>
          <w:tcPr>
            <w:tcW w:w="947" w:type="pct"/>
            <w:noWrap/>
            <w:vAlign w:val="bottom"/>
          </w:tcPr>
          <w:p w14:paraId="1A519D00"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561</w:t>
            </w:r>
          </w:p>
        </w:tc>
        <w:tc>
          <w:tcPr>
            <w:tcW w:w="752" w:type="pct"/>
            <w:noWrap/>
            <w:vAlign w:val="bottom"/>
          </w:tcPr>
          <w:p w14:paraId="4800D5A7"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649</w:t>
            </w:r>
          </w:p>
        </w:tc>
        <w:tc>
          <w:tcPr>
            <w:tcW w:w="1177" w:type="pct"/>
            <w:noWrap/>
            <w:vAlign w:val="bottom"/>
          </w:tcPr>
          <w:p w14:paraId="63113A89"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88</w:t>
            </w:r>
          </w:p>
        </w:tc>
      </w:tr>
      <w:tr w:rsidR="001F27D2" w:rsidRPr="00C62A5F" w14:paraId="1BDFD939" w14:textId="77777777" w:rsidTr="001F27D2">
        <w:trPr>
          <w:trHeight w:val="300"/>
        </w:trPr>
        <w:tc>
          <w:tcPr>
            <w:tcW w:w="728" w:type="pct"/>
            <w:vMerge/>
            <w:noWrap/>
            <w:hideMark/>
          </w:tcPr>
          <w:p w14:paraId="36277E1D" w14:textId="77777777" w:rsidR="001F27D2" w:rsidRPr="00C62A5F" w:rsidRDefault="001F27D2" w:rsidP="001F27D2">
            <w:pPr>
              <w:spacing w:before="0" w:after="0"/>
              <w:jc w:val="center"/>
              <w:rPr>
                <w:rFonts w:cs="Calibri"/>
                <w:b/>
                <w:color w:val="000000"/>
                <w:sz w:val="22"/>
                <w:szCs w:val="22"/>
              </w:rPr>
            </w:pPr>
          </w:p>
        </w:tc>
        <w:tc>
          <w:tcPr>
            <w:tcW w:w="1396" w:type="pct"/>
            <w:noWrap/>
            <w:hideMark/>
          </w:tcPr>
          <w:p w14:paraId="241DF049" w14:textId="77777777" w:rsidR="001F27D2" w:rsidRPr="00C62A5F" w:rsidRDefault="001F27D2" w:rsidP="001F27D2">
            <w:pPr>
              <w:spacing w:before="0" w:after="0"/>
              <w:rPr>
                <w:rFonts w:cs="Calibri"/>
                <w:color w:val="000000"/>
                <w:sz w:val="22"/>
                <w:szCs w:val="22"/>
              </w:rPr>
            </w:pPr>
            <w:r w:rsidRPr="00C62A5F">
              <w:rPr>
                <w:rFonts w:cs="Calibri"/>
                <w:color w:val="000000"/>
                <w:sz w:val="22"/>
                <w:szCs w:val="22"/>
              </w:rPr>
              <w:t>Couple only</w:t>
            </w:r>
          </w:p>
        </w:tc>
        <w:tc>
          <w:tcPr>
            <w:tcW w:w="947" w:type="pct"/>
            <w:noWrap/>
            <w:vAlign w:val="bottom"/>
          </w:tcPr>
          <w:p w14:paraId="2B97DA84"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447</w:t>
            </w:r>
          </w:p>
        </w:tc>
        <w:tc>
          <w:tcPr>
            <w:tcW w:w="752" w:type="pct"/>
            <w:noWrap/>
            <w:vAlign w:val="bottom"/>
          </w:tcPr>
          <w:p w14:paraId="7BA6C40E"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387</w:t>
            </w:r>
          </w:p>
        </w:tc>
        <w:tc>
          <w:tcPr>
            <w:tcW w:w="1177" w:type="pct"/>
            <w:noWrap/>
            <w:vAlign w:val="bottom"/>
          </w:tcPr>
          <w:p w14:paraId="47BC3F94"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-60</w:t>
            </w:r>
          </w:p>
        </w:tc>
      </w:tr>
      <w:tr w:rsidR="001F27D2" w:rsidRPr="00C62A5F" w14:paraId="32540DC1" w14:textId="77777777" w:rsidTr="001F27D2">
        <w:trPr>
          <w:trHeight w:val="300"/>
        </w:trPr>
        <w:tc>
          <w:tcPr>
            <w:tcW w:w="728" w:type="pct"/>
            <w:vMerge/>
            <w:noWrap/>
            <w:hideMark/>
          </w:tcPr>
          <w:p w14:paraId="759D2BFB" w14:textId="77777777" w:rsidR="001F27D2" w:rsidRPr="00C62A5F" w:rsidRDefault="001F27D2" w:rsidP="001F27D2">
            <w:pPr>
              <w:spacing w:before="0" w:after="0"/>
              <w:jc w:val="center"/>
              <w:rPr>
                <w:rFonts w:cs="Calibri"/>
                <w:b/>
                <w:color w:val="000000"/>
                <w:sz w:val="22"/>
                <w:szCs w:val="22"/>
              </w:rPr>
            </w:pPr>
          </w:p>
        </w:tc>
        <w:tc>
          <w:tcPr>
            <w:tcW w:w="1396" w:type="pct"/>
            <w:noWrap/>
            <w:hideMark/>
          </w:tcPr>
          <w:p w14:paraId="29AD38F1" w14:textId="77777777" w:rsidR="001F27D2" w:rsidRPr="00C62A5F" w:rsidRDefault="001F27D2" w:rsidP="001F27D2">
            <w:pPr>
              <w:spacing w:before="0" w:after="0"/>
              <w:rPr>
                <w:rFonts w:cs="Calibri"/>
                <w:color w:val="000000"/>
                <w:sz w:val="22"/>
                <w:szCs w:val="22"/>
              </w:rPr>
            </w:pPr>
            <w:r w:rsidRPr="00C62A5F">
              <w:rPr>
                <w:rFonts w:cs="Calibri"/>
                <w:color w:val="000000"/>
                <w:sz w:val="22"/>
                <w:szCs w:val="22"/>
              </w:rPr>
              <w:t>HH with 1/2 children</w:t>
            </w:r>
          </w:p>
        </w:tc>
        <w:tc>
          <w:tcPr>
            <w:tcW w:w="947" w:type="pct"/>
            <w:noWrap/>
            <w:vAlign w:val="bottom"/>
          </w:tcPr>
          <w:p w14:paraId="756E39A8"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705</w:t>
            </w:r>
          </w:p>
        </w:tc>
        <w:tc>
          <w:tcPr>
            <w:tcW w:w="752" w:type="pct"/>
            <w:noWrap/>
            <w:vAlign w:val="bottom"/>
          </w:tcPr>
          <w:p w14:paraId="20A6E682"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488</w:t>
            </w:r>
          </w:p>
        </w:tc>
        <w:tc>
          <w:tcPr>
            <w:tcW w:w="1177" w:type="pct"/>
            <w:noWrap/>
            <w:vAlign w:val="bottom"/>
          </w:tcPr>
          <w:p w14:paraId="3DE5C219"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-217</w:t>
            </w:r>
          </w:p>
        </w:tc>
      </w:tr>
      <w:tr w:rsidR="001F27D2" w:rsidRPr="00C62A5F" w14:paraId="0BB34087" w14:textId="77777777" w:rsidTr="001F27D2">
        <w:trPr>
          <w:trHeight w:val="300"/>
        </w:trPr>
        <w:tc>
          <w:tcPr>
            <w:tcW w:w="728" w:type="pct"/>
            <w:vMerge/>
            <w:noWrap/>
            <w:hideMark/>
          </w:tcPr>
          <w:p w14:paraId="5DA06254" w14:textId="77777777" w:rsidR="001F27D2" w:rsidRPr="00C62A5F" w:rsidRDefault="001F27D2" w:rsidP="001F27D2">
            <w:pPr>
              <w:spacing w:before="0" w:after="0"/>
              <w:jc w:val="center"/>
              <w:rPr>
                <w:rFonts w:cs="Calibri"/>
                <w:b/>
                <w:color w:val="000000"/>
                <w:sz w:val="22"/>
                <w:szCs w:val="22"/>
              </w:rPr>
            </w:pPr>
          </w:p>
        </w:tc>
        <w:tc>
          <w:tcPr>
            <w:tcW w:w="1396" w:type="pct"/>
            <w:noWrap/>
            <w:hideMark/>
          </w:tcPr>
          <w:p w14:paraId="6CE919B6" w14:textId="77777777" w:rsidR="001F27D2" w:rsidRPr="00C62A5F" w:rsidRDefault="001F27D2" w:rsidP="001F27D2">
            <w:pPr>
              <w:spacing w:before="0" w:after="0"/>
              <w:rPr>
                <w:rFonts w:cs="Calibri"/>
                <w:color w:val="000000"/>
                <w:sz w:val="22"/>
                <w:szCs w:val="22"/>
              </w:rPr>
            </w:pPr>
            <w:r w:rsidRPr="00C62A5F">
              <w:rPr>
                <w:rFonts w:cs="Calibri"/>
                <w:color w:val="000000"/>
                <w:sz w:val="22"/>
                <w:szCs w:val="22"/>
              </w:rPr>
              <w:t>HH with 3 children</w:t>
            </w:r>
          </w:p>
        </w:tc>
        <w:tc>
          <w:tcPr>
            <w:tcW w:w="947" w:type="pct"/>
            <w:noWrap/>
            <w:vAlign w:val="bottom"/>
          </w:tcPr>
          <w:p w14:paraId="458C5C38"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120</w:t>
            </w:r>
          </w:p>
        </w:tc>
        <w:tc>
          <w:tcPr>
            <w:tcW w:w="752" w:type="pct"/>
            <w:noWrap/>
            <w:vAlign w:val="bottom"/>
          </w:tcPr>
          <w:p w14:paraId="34BAA8FC"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90</w:t>
            </w:r>
          </w:p>
        </w:tc>
        <w:tc>
          <w:tcPr>
            <w:tcW w:w="1177" w:type="pct"/>
            <w:noWrap/>
            <w:vAlign w:val="bottom"/>
          </w:tcPr>
          <w:p w14:paraId="77F1A0D0"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-30</w:t>
            </w:r>
          </w:p>
        </w:tc>
      </w:tr>
      <w:tr w:rsidR="001F27D2" w:rsidRPr="00C62A5F" w14:paraId="34F65A20" w14:textId="77777777" w:rsidTr="001F27D2">
        <w:trPr>
          <w:trHeight w:val="300"/>
        </w:trPr>
        <w:tc>
          <w:tcPr>
            <w:tcW w:w="728" w:type="pct"/>
            <w:vMerge/>
            <w:noWrap/>
            <w:hideMark/>
          </w:tcPr>
          <w:p w14:paraId="76BF4359" w14:textId="77777777" w:rsidR="001F27D2" w:rsidRPr="00C62A5F" w:rsidRDefault="001F27D2" w:rsidP="001F27D2">
            <w:pPr>
              <w:spacing w:before="0" w:after="0"/>
              <w:jc w:val="center"/>
              <w:rPr>
                <w:rFonts w:cs="Calibri"/>
                <w:b/>
                <w:color w:val="000000"/>
                <w:sz w:val="22"/>
                <w:szCs w:val="22"/>
              </w:rPr>
            </w:pPr>
          </w:p>
        </w:tc>
        <w:tc>
          <w:tcPr>
            <w:tcW w:w="1396" w:type="pct"/>
            <w:noWrap/>
            <w:hideMark/>
          </w:tcPr>
          <w:p w14:paraId="2287920A" w14:textId="77777777" w:rsidR="001F27D2" w:rsidRPr="00C62A5F" w:rsidRDefault="001F27D2" w:rsidP="001F27D2">
            <w:pPr>
              <w:spacing w:before="0" w:after="0"/>
              <w:rPr>
                <w:rFonts w:cs="Calibri"/>
                <w:color w:val="000000"/>
                <w:sz w:val="22"/>
                <w:szCs w:val="22"/>
              </w:rPr>
            </w:pPr>
            <w:r w:rsidRPr="00C62A5F">
              <w:rPr>
                <w:rFonts w:cs="Calibri"/>
                <w:color w:val="000000"/>
                <w:sz w:val="22"/>
                <w:szCs w:val="22"/>
              </w:rPr>
              <w:t>Other Multi-person</w:t>
            </w:r>
          </w:p>
        </w:tc>
        <w:tc>
          <w:tcPr>
            <w:tcW w:w="947" w:type="pct"/>
            <w:noWrap/>
            <w:vAlign w:val="bottom"/>
          </w:tcPr>
          <w:p w14:paraId="45FA41E7"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192</w:t>
            </w:r>
          </w:p>
        </w:tc>
        <w:tc>
          <w:tcPr>
            <w:tcW w:w="752" w:type="pct"/>
            <w:noWrap/>
            <w:vAlign w:val="bottom"/>
          </w:tcPr>
          <w:p w14:paraId="2CBF2492"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338</w:t>
            </w:r>
          </w:p>
        </w:tc>
        <w:tc>
          <w:tcPr>
            <w:tcW w:w="1177" w:type="pct"/>
            <w:noWrap/>
            <w:vAlign w:val="bottom"/>
          </w:tcPr>
          <w:p w14:paraId="3BEAACDC"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146</w:t>
            </w:r>
          </w:p>
        </w:tc>
      </w:tr>
      <w:tr w:rsidR="001F27D2" w:rsidRPr="00C62A5F" w14:paraId="15BDE9C7" w14:textId="77777777" w:rsidTr="001F27D2">
        <w:trPr>
          <w:trHeight w:val="300"/>
        </w:trPr>
        <w:tc>
          <w:tcPr>
            <w:tcW w:w="728" w:type="pct"/>
            <w:vMerge/>
            <w:noWrap/>
            <w:hideMark/>
          </w:tcPr>
          <w:p w14:paraId="69EC4E2C" w14:textId="77777777" w:rsidR="001F27D2" w:rsidRPr="00C62A5F" w:rsidRDefault="001F27D2" w:rsidP="001F27D2">
            <w:pPr>
              <w:spacing w:before="0" w:after="0"/>
              <w:jc w:val="center"/>
              <w:rPr>
                <w:rFonts w:cs="Calibri"/>
                <w:b/>
                <w:color w:val="000000"/>
                <w:sz w:val="22"/>
                <w:szCs w:val="22"/>
              </w:rPr>
            </w:pPr>
          </w:p>
        </w:tc>
        <w:tc>
          <w:tcPr>
            <w:tcW w:w="1396" w:type="pct"/>
            <w:noWrap/>
            <w:hideMark/>
          </w:tcPr>
          <w:p w14:paraId="297FD1F1" w14:textId="77777777" w:rsidR="001F27D2" w:rsidRPr="00C62A5F" w:rsidRDefault="001F27D2" w:rsidP="001F27D2">
            <w:pPr>
              <w:spacing w:before="0" w:after="0"/>
              <w:rPr>
                <w:rFonts w:cs="Calibri"/>
                <w:b/>
                <w:color w:val="000000"/>
                <w:sz w:val="22"/>
                <w:szCs w:val="22"/>
              </w:rPr>
            </w:pPr>
            <w:r w:rsidRPr="00C62A5F">
              <w:rPr>
                <w:rFonts w:cs="Calibri"/>
                <w:b/>
                <w:color w:val="000000"/>
                <w:sz w:val="22"/>
                <w:szCs w:val="22"/>
              </w:rPr>
              <w:t>Total</w:t>
            </w:r>
          </w:p>
        </w:tc>
        <w:tc>
          <w:tcPr>
            <w:tcW w:w="947" w:type="pct"/>
            <w:noWrap/>
            <w:vAlign w:val="bottom"/>
          </w:tcPr>
          <w:p w14:paraId="27A5C9DE"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2,025</w:t>
            </w:r>
          </w:p>
        </w:tc>
        <w:tc>
          <w:tcPr>
            <w:tcW w:w="752" w:type="pct"/>
            <w:noWrap/>
            <w:vAlign w:val="bottom"/>
          </w:tcPr>
          <w:p w14:paraId="1E3E0FC9"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1,952</w:t>
            </w:r>
          </w:p>
        </w:tc>
        <w:tc>
          <w:tcPr>
            <w:tcW w:w="1177" w:type="pct"/>
            <w:noWrap/>
            <w:vAlign w:val="bottom"/>
          </w:tcPr>
          <w:p w14:paraId="4DF04618"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-73</w:t>
            </w:r>
          </w:p>
        </w:tc>
      </w:tr>
      <w:tr w:rsidR="001F27D2" w:rsidRPr="00C62A5F" w14:paraId="531B38F3" w14:textId="77777777" w:rsidTr="001F27D2">
        <w:trPr>
          <w:trHeight w:val="300"/>
        </w:trPr>
        <w:tc>
          <w:tcPr>
            <w:tcW w:w="728" w:type="pct"/>
            <w:vMerge w:val="restart"/>
            <w:noWrap/>
            <w:hideMark/>
          </w:tcPr>
          <w:p w14:paraId="31BE2FB7" w14:textId="77777777" w:rsidR="001F27D2" w:rsidRPr="00C62A5F" w:rsidRDefault="001F27D2" w:rsidP="001F27D2">
            <w:pPr>
              <w:spacing w:before="0" w:after="0"/>
              <w:jc w:val="center"/>
              <w:rPr>
                <w:rFonts w:cs="Calibri"/>
                <w:b/>
                <w:color w:val="000000"/>
                <w:sz w:val="22"/>
                <w:szCs w:val="22"/>
              </w:rPr>
            </w:pPr>
            <w:r w:rsidRPr="00C62A5F">
              <w:rPr>
                <w:rFonts w:cs="Calibri"/>
                <w:b/>
                <w:color w:val="000000"/>
                <w:sz w:val="22"/>
                <w:szCs w:val="22"/>
              </w:rPr>
              <w:t>35-44</w:t>
            </w:r>
          </w:p>
        </w:tc>
        <w:tc>
          <w:tcPr>
            <w:tcW w:w="1396" w:type="pct"/>
            <w:noWrap/>
            <w:hideMark/>
          </w:tcPr>
          <w:p w14:paraId="683950B3" w14:textId="77777777" w:rsidR="001F27D2" w:rsidRPr="00C62A5F" w:rsidRDefault="001F27D2" w:rsidP="001F27D2">
            <w:pPr>
              <w:spacing w:before="0" w:after="0"/>
              <w:rPr>
                <w:rFonts w:cs="Calibri"/>
                <w:color w:val="000000"/>
                <w:sz w:val="22"/>
                <w:szCs w:val="22"/>
              </w:rPr>
            </w:pPr>
            <w:r w:rsidRPr="00C62A5F">
              <w:rPr>
                <w:rFonts w:cs="Calibri"/>
                <w:color w:val="000000"/>
                <w:sz w:val="22"/>
                <w:szCs w:val="22"/>
              </w:rPr>
              <w:t>One Person</w:t>
            </w:r>
          </w:p>
        </w:tc>
        <w:tc>
          <w:tcPr>
            <w:tcW w:w="947" w:type="pct"/>
            <w:noWrap/>
            <w:vAlign w:val="bottom"/>
          </w:tcPr>
          <w:p w14:paraId="79D9DF55"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679</w:t>
            </w:r>
          </w:p>
        </w:tc>
        <w:tc>
          <w:tcPr>
            <w:tcW w:w="752" w:type="pct"/>
            <w:noWrap/>
            <w:vAlign w:val="bottom"/>
          </w:tcPr>
          <w:p w14:paraId="3659A6D5"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882</w:t>
            </w:r>
          </w:p>
        </w:tc>
        <w:tc>
          <w:tcPr>
            <w:tcW w:w="1177" w:type="pct"/>
            <w:noWrap/>
            <w:vAlign w:val="bottom"/>
          </w:tcPr>
          <w:p w14:paraId="28620309"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203</w:t>
            </w:r>
          </w:p>
        </w:tc>
      </w:tr>
      <w:tr w:rsidR="001F27D2" w:rsidRPr="00C62A5F" w14:paraId="1AF68BA7" w14:textId="77777777" w:rsidTr="001F27D2">
        <w:trPr>
          <w:trHeight w:val="300"/>
        </w:trPr>
        <w:tc>
          <w:tcPr>
            <w:tcW w:w="728" w:type="pct"/>
            <w:vMerge/>
            <w:noWrap/>
            <w:hideMark/>
          </w:tcPr>
          <w:p w14:paraId="5664A375" w14:textId="77777777" w:rsidR="001F27D2" w:rsidRPr="00C62A5F" w:rsidRDefault="001F27D2" w:rsidP="001F27D2">
            <w:pPr>
              <w:spacing w:before="0" w:after="0"/>
              <w:jc w:val="center"/>
              <w:rPr>
                <w:rFonts w:cs="Calibri"/>
                <w:b/>
                <w:color w:val="000000"/>
                <w:sz w:val="22"/>
                <w:szCs w:val="22"/>
              </w:rPr>
            </w:pPr>
          </w:p>
        </w:tc>
        <w:tc>
          <w:tcPr>
            <w:tcW w:w="1396" w:type="pct"/>
            <w:noWrap/>
            <w:hideMark/>
          </w:tcPr>
          <w:p w14:paraId="6DDFAFE5" w14:textId="77777777" w:rsidR="001F27D2" w:rsidRPr="00C62A5F" w:rsidRDefault="001F27D2" w:rsidP="001F27D2">
            <w:pPr>
              <w:spacing w:before="0" w:after="0"/>
              <w:rPr>
                <w:rFonts w:cs="Calibri"/>
                <w:color w:val="000000"/>
                <w:sz w:val="22"/>
                <w:szCs w:val="22"/>
              </w:rPr>
            </w:pPr>
            <w:r w:rsidRPr="00C62A5F">
              <w:rPr>
                <w:rFonts w:cs="Calibri"/>
                <w:color w:val="000000"/>
                <w:sz w:val="22"/>
                <w:szCs w:val="22"/>
              </w:rPr>
              <w:t>Couple only</w:t>
            </w:r>
          </w:p>
        </w:tc>
        <w:tc>
          <w:tcPr>
            <w:tcW w:w="947" w:type="pct"/>
            <w:noWrap/>
            <w:vAlign w:val="bottom"/>
          </w:tcPr>
          <w:p w14:paraId="396BCFB7"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340</w:t>
            </w:r>
          </w:p>
        </w:tc>
        <w:tc>
          <w:tcPr>
            <w:tcW w:w="752" w:type="pct"/>
            <w:noWrap/>
            <w:vAlign w:val="bottom"/>
          </w:tcPr>
          <w:p w14:paraId="780C6C21"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240</w:t>
            </w:r>
          </w:p>
        </w:tc>
        <w:tc>
          <w:tcPr>
            <w:tcW w:w="1177" w:type="pct"/>
            <w:noWrap/>
            <w:vAlign w:val="bottom"/>
          </w:tcPr>
          <w:p w14:paraId="0F9D273A"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-100</w:t>
            </w:r>
          </w:p>
        </w:tc>
      </w:tr>
      <w:tr w:rsidR="001F27D2" w:rsidRPr="00C62A5F" w14:paraId="37A07EFB" w14:textId="77777777" w:rsidTr="001F27D2">
        <w:trPr>
          <w:trHeight w:val="300"/>
        </w:trPr>
        <w:tc>
          <w:tcPr>
            <w:tcW w:w="728" w:type="pct"/>
            <w:vMerge/>
            <w:noWrap/>
            <w:hideMark/>
          </w:tcPr>
          <w:p w14:paraId="7F584641" w14:textId="77777777" w:rsidR="001F27D2" w:rsidRPr="00C62A5F" w:rsidRDefault="001F27D2" w:rsidP="001F27D2">
            <w:pPr>
              <w:spacing w:before="0" w:after="0"/>
              <w:jc w:val="center"/>
              <w:rPr>
                <w:rFonts w:cs="Calibri"/>
                <w:b/>
                <w:color w:val="000000"/>
                <w:sz w:val="22"/>
                <w:szCs w:val="22"/>
              </w:rPr>
            </w:pPr>
          </w:p>
        </w:tc>
        <w:tc>
          <w:tcPr>
            <w:tcW w:w="1396" w:type="pct"/>
            <w:noWrap/>
            <w:hideMark/>
          </w:tcPr>
          <w:p w14:paraId="788C1B7A" w14:textId="77777777" w:rsidR="001F27D2" w:rsidRPr="00C62A5F" w:rsidRDefault="001F27D2" w:rsidP="001F27D2">
            <w:pPr>
              <w:spacing w:before="0" w:after="0"/>
              <w:rPr>
                <w:rFonts w:cs="Calibri"/>
                <w:color w:val="000000"/>
                <w:sz w:val="22"/>
                <w:szCs w:val="22"/>
              </w:rPr>
            </w:pPr>
            <w:r w:rsidRPr="00C62A5F">
              <w:rPr>
                <w:rFonts w:cs="Calibri"/>
                <w:color w:val="000000"/>
                <w:sz w:val="22"/>
                <w:szCs w:val="22"/>
              </w:rPr>
              <w:t>HH with 1/2 children</w:t>
            </w:r>
          </w:p>
        </w:tc>
        <w:tc>
          <w:tcPr>
            <w:tcW w:w="947" w:type="pct"/>
            <w:noWrap/>
            <w:vAlign w:val="bottom"/>
          </w:tcPr>
          <w:p w14:paraId="32071EDE"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1,576</w:t>
            </w:r>
          </w:p>
        </w:tc>
        <w:tc>
          <w:tcPr>
            <w:tcW w:w="752" w:type="pct"/>
            <w:noWrap/>
            <w:vAlign w:val="bottom"/>
          </w:tcPr>
          <w:p w14:paraId="5637F4C0"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1,511</w:t>
            </w:r>
          </w:p>
        </w:tc>
        <w:tc>
          <w:tcPr>
            <w:tcW w:w="1177" w:type="pct"/>
            <w:noWrap/>
            <w:vAlign w:val="bottom"/>
          </w:tcPr>
          <w:p w14:paraId="3BB55C3E"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-65</w:t>
            </w:r>
          </w:p>
        </w:tc>
      </w:tr>
      <w:tr w:rsidR="001F27D2" w:rsidRPr="00C62A5F" w14:paraId="214F8D7F" w14:textId="77777777" w:rsidTr="001F27D2">
        <w:trPr>
          <w:trHeight w:val="300"/>
        </w:trPr>
        <w:tc>
          <w:tcPr>
            <w:tcW w:w="728" w:type="pct"/>
            <w:vMerge/>
            <w:noWrap/>
            <w:hideMark/>
          </w:tcPr>
          <w:p w14:paraId="23342F76" w14:textId="77777777" w:rsidR="001F27D2" w:rsidRPr="00C62A5F" w:rsidRDefault="001F27D2" w:rsidP="001F27D2">
            <w:pPr>
              <w:spacing w:before="0" w:after="0"/>
              <w:jc w:val="center"/>
              <w:rPr>
                <w:rFonts w:cs="Calibri"/>
                <w:b/>
                <w:color w:val="000000"/>
                <w:sz w:val="22"/>
                <w:szCs w:val="22"/>
              </w:rPr>
            </w:pPr>
          </w:p>
        </w:tc>
        <w:tc>
          <w:tcPr>
            <w:tcW w:w="1396" w:type="pct"/>
            <w:noWrap/>
            <w:hideMark/>
          </w:tcPr>
          <w:p w14:paraId="240D9843" w14:textId="77777777" w:rsidR="001F27D2" w:rsidRPr="00C62A5F" w:rsidRDefault="001F27D2" w:rsidP="001F27D2">
            <w:pPr>
              <w:spacing w:before="0" w:after="0"/>
              <w:rPr>
                <w:rFonts w:cs="Calibri"/>
                <w:color w:val="000000"/>
                <w:sz w:val="22"/>
                <w:szCs w:val="22"/>
              </w:rPr>
            </w:pPr>
            <w:r w:rsidRPr="00C62A5F">
              <w:rPr>
                <w:rFonts w:cs="Calibri"/>
                <w:color w:val="000000"/>
                <w:sz w:val="22"/>
                <w:szCs w:val="22"/>
              </w:rPr>
              <w:t>HH with 3 children</w:t>
            </w:r>
          </w:p>
        </w:tc>
        <w:tc>
          <w:tcPr>
            <w:tcW w:w="947" w:type="pct"/>
            <w:noWrap/>
            <w:vAlign w:val="bottom"/>
          </w:tcPr>
          <w:p w14:paraId="38970660"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369</w:t>
            </w:r>
          </w:p>
        </w:tc>
        <w:tc>
          <w:tcPr>
            <w:tcW w:w="752" w:type="pct"/>
            <w:noWrap/>
            <w:vAlign w:val="bottom"/>
          </w:tcPr>
          <w:p w14:paraId="14DC6805"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327</w:t>
            </w:r>
          </w:p>
        </w:tc>
        <w:tc>
          <w:tcPr>
            <w:tcW w:w="1177" w:type="pct"/>
            <w:noWrap/>
            <w:vAlign w:val="bottom"/>
          </w:tcPr>
          <w:p w14:paraId="668F44CE"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-42</w:t>
            </w:r>
          </w:p>
        </w:tc>
      </w:tr>
      <w:tr w:rsidR="001F27D2" w:rsidRPr="00C62A5F" w14:paraId="5C42F8CA" w14:textId="77777777" w:rsidTr="001F27D2">
        <w:trPr>
          <w:trHeight w:val="300"/>
        </w:trPr>
        <w:tc>
          <w:tcPr>
            <w:tcW w:w="728" w:type="pct"/>
            <w:vMerge/>
            <w:noWrap/>
            <w:hideMark/>
          </w:tcPr>
          <w:p w14:paraId="03F401E1" w14:textId="77777777" w:rsidR="001F27D2" w:rsidRPr="00C62A5F" w:rsidRDefault="001F27D2" w:rsidP="001F27D2">
            <w:pPr>
              <w:spacing w:before="0" w:after="0"/>
              <w:jc w:val="center"/>
              <w:rPr>
                <w:rFonts w:cs="Calibri"/>
                <w:b/>
                <w:color w:val="000000"/>
                <w:sz w:val="22"/>
                <w:szCs w:val="22"/>
              </w:rPr>
            </w:pPr>
          </w:p>
        </w:tc>
        <w:tc>
          <w:tcPr>
            <w:tcW w:w="1396" w:type="pct"/>
            <w:noWrap/>
            <w:hideMark/>
          </w:tcPr>
          <w:p w14:paraId="42F8C5D1" w14:textId="77777777" w:rsidR="001F27D2" w:rsidRPr="00C62A5F" w:rsidRDefault="001F27D2" w:rsidP="001F27D2">
            <w:pPr>
              <w:spacing w:before="0" w:after="0"/>
              <w:rPr>
                <w:rFonts w:cs="Calibri"/>
                <w:color w:val="000000"/>
                <w:sz w:val="22"/>
                <w:szCs w:val="22"/>
              </w:rPr>
            </w:pPr>
            <w:r w:rsidRPr="00C62A5F">
              <w:rPr>
                <w:rFonts w:cs="Calibri"/>
                <w:color w:val="000000"/>
                <w:sz w:val="22"/>
                <w:szCs w:val="22"/>
              </w:rPr>
              <w:t>Other Multi-person</w:t>
            </w:r>
          </w:p>
        </w:tc>
        <w:tc>
          <w:tcPr>
            <w:tcW w:w="947" w:type="pct"/>
            <w:noWrap/>
            <w:vAlign w:val="bottom"/>
          </w:tcPr>
          <w:p w14:paraId="5CC9BBCA"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143</w:t>
            </w:r>
          </w:p>
        </w:tc>
        <w:tc>
          <w:tcPr>
            <w:tcW w:w="752" w:type="pct"/>
            <w:noWrap/>
            <w:vAlign w:val="bottom"/>
          </w:tcPr>
          <w:p w14:paraId="42361E8E"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138</w:t>
            </w:r>
          </w:p>
        </w:tc>
        <w:tc>
          <w:tcPr>
            <w:tcW w:w="1177" w:type="pct"/>
            <w:noWrap/>
            <w:vAlign w:val="bottom"/>
          </w:tcPr>
          <w:p w14:paraId="313F1630"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-5</w:t>
            </w:r>
          </w:p>
        </w:tc>
      </w:tr>
      <w:tr w:rsidR="001F27D2" w:rsidRPr="00C62A5F" w14:paraId="45F67E33" w14:textId="77777777" w:rsidTr="001F27D2">
        <w:trPr>
          <w:trHeight w:val="300"/>
        </w:trPr>
        <w:tc>
          <w:tcPr>
            <w:tcW w:w="728" w:type="pct"/>
            <w:vMerge/>
            <w:noWrap/>
            <w:hideMark/>
          </w:tcPr>
          <w:p w14:paraId="104F56EB" w14:textId="77777777" w:rsidR="001F27D2" w:rsidRPr="00C62A5F" w:rsidRDefault="001F27D2" w:rsidP="001F27D2">
            <w:pPr>
              <w:spacing w:before="0" w:after="0"/>
              <w:jc w:val="center"/>
              <w:rPr>
                <w:rFonts w:cs="Calibri"/>
                <w:b/>
                <w:color w:val="000000"/>
                <w:sz w:val="22"/>
                <w:szCs w:val="22"/>
              </w:rPr>
            </w:pPr>
          </w:p>
        </w:tc>
        <w:tc>
          <w:tcPr>
            <w:tcW w:w="1396" w:type="pct"/>
            <w:noWrap/>
            <w:hideMark/>
          </w:tcPr>
          <w:p w14:paraId="4EC640AC" w14:textId="77777777" w:rsidR="001F27D2" w:rsidRPr="00C62A5F" w:rsidRDefault="001F27D2" w:rsidP="001F27D2">
            <w:pPr>
              <w:spacing w:before="0" w:after="0"/>
              <w:rPr>
                <w:rFonts w:cs="Calibri"/>
                <w:b/>
                <w:color w:val="000000"/>
                <w:sz w:val="22"/>
                <w:szCs w:val="22"/>
              </w:rPr>
            </w:pPr>
            <w:r w:rsidRPr="00C62A5F">
              <w:rPr>
                <w:rFonts w:cs="Calibri"/>
                <w:b/>
                <w:color w:val="000000"/>
                <w:sz w:val="22"/>
                <w:szCs w:val="22"/>
              </w:rPr>
              <w:t>Total</w:t>
            </w:r>
          </w:p>
        </w:tc>
        <w:tc>
          <w:tcPr>
            <w:tcW w:w="947" w:type="pct"/>
            <w:noWrap/>
            <w:vAlign w:val="bottom"/>
          </w:tcPr>
          <w:p w14:paraId="26ABF561"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3,107</w:t>
            </w:r>
          </w:p>
        </w:tc>
        <w:tc>
          <w:tcPr>
            <w:tcW w:w="752" w:type="pct"/>
            <w:noWrap/>
            <w:vAlign w:val="bottom"/>
          </w:tcPr>
          <w:p w14:paraId="2DF15D7C"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3,098</w:t>
            </w:r>
          </w:p>
        </w:tc>
        <w:tc>
          <w:tcPr>
            <w:tcW w:w="1177" w:type="pct"/>
            <w:noWrap/>
            <w:vAlign w:val="bottom"/>
          </w:tcPr>
          <w:p w14:paraId="1F9C3052"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-9</w:t>
            </w:r>
          </w:p>
        </w:tc>
      </w:tr>
      <w:tr w:rsidR="001F27D2" w:rsidRPr="00C62A5F" w14:paraId="565096CB" w14:textId="77777777" w:rsidTr="001F27D2">
        <w:trPr>
          <w:trHeight w:val="300"/>
        </w:trPr>
        <w:tc>
          <w:tcPr>
            <w:tcW w:w="728" w:type="pct"/>
            <w:vMerge w:val="restart"/>
            <w:noWrap/>
            <w:hideMark/>
          </w:tcPr>
          <w:p w14:paraId="1C543E26" w14:textId="77777777" w:rsidR="001F27D2" w:rsidRPr="00C62A5F" w:rsidRDefault="001F27D2" w:rsidP="001F27D2">
            <w:pPr>
              <w:spacing w:before="0" w:after="0"/>
              <w:jc w:val="center"/>
              <w:rPr>
                <w:rFonts w:cs="Calibri"/>
                <w:b/>
                <w:color w:val="000000"/>
                <w:sz w:val="22"/>
                <w:szCs w:val="22"/>
              </w:rPr>
            </w:pPr>
            <w:r w:rsidRPr="00C62A5F">
              <w:rPr>
                <w:rFonts w:cs="Calibri"/>
                <w:b/>
                <w:color w:val="000000"/>
                <w:sz w:val="22"/>
                <w:szCs w:val="22"/>
              </w:rPr>
              <w:t>45-59</w:t>
            </w:r>
          </w:p>
        </w:tc>
        <w:tc>
          <w:tcPr>
            <w:tcW w:w="1396" w:type="pct"/>
            <w:noWrap/>
            <w:hideMark/>
          </w:tcPr>
          <w:p w14:paraId="66E1068D" w14:textId="77777777" w:rsidR="001F27D2" w:rsidRPr="00C62A5F" w:rsidRDefault="001F27D2" w:rsidP="001F27D2">
            <w:pPr>
              <w:spacing w:before="0" w:after="0"/>
              <w:rPr>
                <w:rFonts w:cs="Calibri"/>
                <w:color w:val="000000"/>
                <w:sz w:val="22"/>
                <w:szCs w:val="22"/>
              </w:rPr>
            </w:pPr>
            <w:r w:rsidRPr="00C62A5F">
              <w:rPr>
                <w:rFonts w:cs="Calibri"/>
                <w:color w:val="000000"/>
                <w:sz w:val="22"/>
                <w:szCs w:val="22"/>
              </w:rPr>
              <w:t>One Person</w:t>
            </w:r>
          </w:p>
        </w:tc>
        <w:tc>
          <w:tcPr>
            <w:tcW w:w="947" w:type="pct"/>
            <w:noWrap/>
            <w:vAlign w:val="bottom"/>
          </w:tcPr>
          <w:p w14:paraId="61C54BC0"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1,485</w:t>
            </w:r>
          </w:p>
        </w:tc>
        <w:tc>
          <w:tcPr>
            <w:tcW w:w="752" w:type="pct"/>
            <w:noWrap/>
            <w:vAlign w:val="bottom"/>
          </w:tcPr>
          <w:p w14:paraId="68F8009B"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1,282</w:t>
            </w:r>
          </w:p>
        </w:tc>
        <w:tc>
          <w:tcPr>
            <w:tcW w:w="1177" w:type="pct"/>
            <w:noWrap/>
            <w:vAlign w:val="bottom"/>
          </w:tcPr>
          <w:p w14:paraId="0D3C1DD1"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-203</w:t>
            </w:r>
          </w:p>
        </w:tc>
      </w:tr>
      <w:tr w:rsidR="001F27D2" w:rsidRPr="00C62A5F" w14:paraId="794801CE" w14:textId="77777777" w:rsidTr="001F27D2">
        <w:trPr>
          <w:trHeight w:val="300"/>
        </w:trPr>
        <w:tc>
          <w:tcPr>
            <w:tcW w:w="728" w:type="pct"/>
            <w:vMerge/>
            <w:noWrap/>
            <w:hideMark/>
          </w:tcPr>
          <w:p w14:paraId="6CB5C89A" w14:textId="77777777" w:rsidR="001F27D2" w:rsidRPr="00C62A5F" w:rsidRDefault="001F27D2" w:rsidP="001F27D2">
            <w:pPr>
              <w:spacing w:before="0" w:after="0"/>
              <w:jc w:val="center"/>
              <w:rPr>
                <w:rFonts w:cs="Calibri"/>
                <w:b/>
                <w:color w:val="000000"/>
                <w:sz w:val="22"/>
                <w:szCs w:val="22"/>
              </w:rPr>
            </w:pPr>
          </w:p>
        </w:tc>
        <w:tc>
          <w:tcPr>
            <w:tcW w:w="1396" w:type="pct"/>
            <w:noWrap/>
            <w:hideMark/>
          </w:tcPr>
          <w:p w14:paraId="14DDBA81" w14:textId="77777777" w:rsidR="001F27D2" w:rsidRPr="00C62A5F" w:rsidRDefault="001F27D2" w:rsidP="001F27D2">
            <w:pPr>
              <w:spacing w:before="0" w:after="0"/>
              <w:rPr>
                <w:rFonts w:cs="Calibri"/>
                <w:color w:val="000000"/>
                <w:sz w:val="22"/>
                <w:szCs w:val="22"/>
              </w:rPr>
            </w:pPr>
            <w:r w:rsidRPr="00C62A5F">
              <w:rPr>
                <w:rFonts w:cs="Calibri"/>
                <w:color w:val="000000"/>
                <w:sz w:val="22"/>
                <w:szCs w:val="22"/>
              </w:rPr>
              <w:t>Couple only</w:t>
            </w:r>
          </w:p>
        </w:tc>
        <w:tc>
          <w:tcPr>
            <w:tcW w:w="947" w:type="pct"/>
            <w:noWrap/>
            <w:vAlign w:val="bottom"/>
          </w:tcPr>
          <w:p w14:paraId="19489266"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1,833</w:t>
            </w:r>
          </w:p>
        </w:tc>
        <w:tc>
          <w:tcPr>
            <w:tcW w:w="752" w:type="pct"/>
            <w:noWrap/>
            <w:vAlign w:val="bottom"/>
          </w:tcPr>
          <w:p w14:paraId="10251AFD"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1,001</w:t>
            </w:r>
          </w:p>
        </w:tc>
        <w:tc>
          <w:tcPr>
            <w:tcW w:w="1177" w:type="pct"/>
            <w:noWrap/>
            <w:vAlign w:val="bottom"/>
          </w:tcPr>
          <w:p w14:paraId="7A891DC5"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-832</w:t>
            </w:r>
          </w:p>
        </w:tc>
      </w:tr>
      <w:tr w:rsidR="001F27D2" w:rsidRPr="00C62A5F" w14:paraId="229D0BF2" w14:textId="77777777" w:rsidTr="001F27D2">
        <w:trPr>
          <w:trHeight w:val="300"/>
        </w:trPr>
        <w:tc>
          <w:tcPr>
            <w:tcW w:w="728" w:type="pct"/>
            <w:vMerge/>
            <w:noWrap/>
            <w:hideMark/>
          </w:tcPr>
          <w:p w14:paraId="5A7A23C3" w14:textId="77777777" w:rsidR="001F27D2" w:rsidRPr="00C62A5F" w:rsidRDefault="001F27D2" w:rsidP="001F27D2">
            <w:pPr>
              <w:spacing w:before="0" w:after="0"/>
              <w:jc w:val="center"/>
              <w:rPr>
                <w:rFonts w:cs="Calibri"/>
                <w:b/>
                <w:color w:val="000000"/>
                <w:sz w:val="22"/>
                <w:szCs w:val="22"/>
              </w:rPr>
            </w:pPr>
          </w:p>
        </w:tc>
        <w:tc>
          <w:tcPr>
            <w:tcW w:w="1396" w:type="pct"/>
            <w:noWrap/>
            <w:hideMark/>
          </w:tcPr>
          <w:p w14:paraId="1ABAC749" w14:textId="77777777" w:rsidR="001F27D2" w:rsidRPr="00C62A5F" w:rsidRDefault="001F27D2" w:rsidP="001F27D2">
            <w:pPr>
              <w:spacing w:before="0" w:after="0"/>
              <w:rPr>
                <w:rFonts w:cs="Calibri"/>
                <w:color w:val="000000"/>
                <w:sz w:val="22"/>
                <w:szCs w:val="22"/>
              </w:rPr>
            </w:pPr>
            <w:r w:rsidRPr="00C62A5F">
              <w:rPr>
                <w:rFonts w:cs="Calibri"/>
                <w:color w:val="000000"/>
                <w:sz w:val="22"/>
                <w:szCs w:val="22"/>
              </w:rPr>
              <w:t>HH with 1/2 children</w:t>
            </w:r>
          </w:p>
        </w:tc>
        <w:tc>
          <w:tcPr>
            <w:tcW w:w="947" w:type="pct"/>
            <w:noWrap/>
            <w:vAlign w:val="bottom"/>
          </w:tcPr>
          <w:p w14:paraId="0A7BEE06"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2,073</w:t>
            </w:r>
          </w:p>
        </w:tc>
        <w:tc>
          <w:tcPr>
            <w:tcW w:w="752" w:type="pct"/>
            <w:noWrap/>
            <w:vAlign w:val="bottom"/>
          </w:tcPr>
          <w:p w14:paraId="4F671FFD"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1,934</w:t>
            </w:r>
          </w:p>
        </w:tc>
        <w:tc>
          <w:tcPr>
            <w:tcW w:w="1177" w:type="pct"/>
            <w:noWrap/>
            <w:vAlign w:val="bottom"/>
          </w:tcPr>
          <w:p w14:paraId="42431583"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-139</w:t>
            </w:r>
          </w:p>
        </w:tc>
      </w:tr>
      <w:tr w:rsidR="001F27D2" w:rsidRPr="00C62A5F" w14:paraId="5EE17436" w14:textId="77777777" w:rsidTr="001F27D2">
        <w:trPr>
          <w:trHeight w:val="300"/>
        </w:trPr>
        <w:tc>
          <w:tcPr>
            <w:tcW w:w="728" w:type="pct"/>
            <w:vMerge/>
            <w:noWrap/>
            <w:hideMark/>
          </w:tcPr>
          <w:p w14:paraId="7DE01615" w14:textId="77777777" w:rsidR="001F27D2" w:rsidRPr="00C62A5F" w:rsidRDefault="001F27D2" w:rsidP="001F27D2">
            <w:pPr>
              <w:spacing w:before="0" w:after="0"/>
              <w:jc w:val="center"/>
              <w:rPr>
                <w:rFonts w:cs="Calibri"/>
                <w:b/>
                <w:color w:val="000000"/>
                <w:sz w:val="22"/>
                <w:szCs w:val="22"/>
              </w:rPr>
            </w:pPr>
          </w:p>
        </w:tc>
        <w:tc>
          <w:tcPr>
            <w:tcW w:w="1396" w:type="pct"/>
            <w:noWrap/>
            <w:hideMark/>
          </w:tcPr>
          <w:p w14:paraId="18BC154C" w14:textId="77777777" w:rsidR="001F27D2" w:rsidRPr="00C62A5F" w:rsidRDefault="001F27D2" w:rsidP="001F27D2">
            <w:pPr>
              <w:spacing w:before="0" w:after="0"/>
              <w:rPr>
                <w:rFonts w:cs="Calibri"/>
                <w:color w:val="000000"/>
                <w:sz w:val="22"/>
                <w:szCs w:val="22"/>
              </w:rPr>
            </w:pPr>
            <w:r w:rsidRPr="00C62A5F">
              <w:rPr>
                <w:rFonts w:cs="Calibri"/>
                <w:color w:val="000000"/>
                <w:sz w:val="22"/>
                <w:szCs w:val="22"/>
              </w:rPr>
              <w:t>HH with 3 children</w:t>
            </w:r>
          </w:p>
        </w:tc>
        <w:tc>
          <w:tcPr>
            <w:tcW w:w="947" w:type="pct"/>
            <w:noWrap/>
            <w:vAlign w:val="bottom"/>
          </w:tcPr>
          <w:p w14:paraId="0289CD38"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236</w:t>
            </w:r>
          </w:p>
        </w:tc>
        <w:tc>
          <w:tcPr>
            <w:tcW w:w="752" w:type="pct"/>
            <w:noWrap/>
            <w:vAlign w:val="bottom"/>
          </w:tcPr>
          <w:p w14:paraId="7B929131"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235</w:t>
            </w:r>
          </w:p>
        </w:tc>
        <w:tc>
          <w:tcPr>
            <w:tcW w:w="1177" w:type="pct"/>
            <w:noWrap/>
            <w:vAlign w:val="bottom"/>
          </w:tcPr>
          <w:p w14:paraId="40D8F951"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-1</w:t>
            </w:r>
          </w:p>
        </w:tc>
      </w:tr>
      <w:tr w:rsidR="001F27D2" w:rsidRPr="00C62A5F" w14:paraId="2A1DF4E7" w14:textId="77777777" w:rsidTr="001F27D2">
        <w:trPr>
          <w:trHeight w:val="300"/>
        </w:trPr>
        <w:tc>
          <w:tcPr>
            <w:tcW w:w="728" w:type="pct"/>
            <w:vMerge/>
            <w:noWrap/>
            <w:hideMark/>
          </w:tcPr>
          <w:p w14:paraId="0A342904" w14:textId="77777777" w:rsidR="001F27D2" w:rsidRPr="00C62A5F" w:rsidRDefault="001F27D2" w:rsidP="001F27D2">
            <w:pPr>
              <w:spacing w:before="0" w:after="0"/>
              <w:jc w:val="center"/>
              <w:rPr>
                <w:rFonts w:cs="Calibri"/>
                <w:b/>
                <w:color w:val="000000"/>
                <w:sz w:val="22"/>
                <w:szCs w:val="22"/>
              </w:rPr>
            </w:pPr>
          </w:p>
        </w:tc>
        <w:tc>
          <w:tcPr>
            <w:tcW w:w="1396" w:type="pct"/>
            <w:noWrap/>
            <w:hideMark/>
          </w:tcPr>
          <w:p w14:paraId="0E16396D" w14:textId="77777777" w:rsidR="001F27D2" w:rsidRPr="00C62A5F" w:rsidRDefault="001F27D2" w:rsidP="001F27D2">
            <w:pPr>
              <w:spacing w:before="0" w:after="0"/>
              <w:rPr>
                <w:rFonts w:cs="Calibri"/>
                <w:color w:val="000000"/>
                <w:sz w:val="22"/>
                <w:szCs w:val="22"/>
              </w:rPr>
            </w:pPr>
            <w:r w:rsidRPr="00C62A5F">
              <w:rPr>
                <w:rFonts w:cs="Calibri"/>
                <w:color w:val="000000"/>
                <w:sz w:val="22"/>
                <w:szCs w:val="22"/>
              </w:rPr>
              <w:t>Other Multi-person</w:t>
            </w:r>
          </w:p>
        </w:tc>
        <w:tc>
          <w:tcPr>
            <w:tcW w:w="947" w:type="pct"/>
            <w:noWrap/>
            <w:vAlign w:val="bottom"/>
          </w:tcPr>
          <w:p w14:paraId="05A5BC34"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1,204</w:t>
            </w:r>
          </w:p>
        </w:tc>
        <w:tc>
          <w:tcPr>
            <w:tcW w:w="752" w:type="pct"/>
            <w:noWrap/>
            <w:vAlign w:val="bottom"/>
          </w:tcPr>
          <w:p w14:paraId="4231D3CF"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689</w:t>
            </w:r>
          </w:p>
        </w:tc>
        <w:tc>
          <w:tcPr>
            <w:tcW w:w="1177" w:type="pct"/>
            <w:noWrap/>
            <w:vAlign w:val="bottom"/>
          </w:tcPr>
          <w:p w14:paraId="0C977987"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-515</w:t>
            </w:r>
          </w:p>
        </w:tc>
      </w:tr>
      <w:tr w:rsidR="001F27D2" w:rsidRPr="00C62A5F" w14:paraId="4C817411" w14:textId="77777777" w:rsidTr="001F27D2">
        <w:trPr>
          <w:trHeight w:val="300"/>
        </w:trPr>
        <w:tc>
          <w:tcPr>
            <w:tcW w:w="728" w:type="pct"/>
            <w:vMerge/>
            <w:noWrap/>
            <w:hideMark/>
          </w:tcPr>
          <w:p w14:paraId="5A4918FC" w14:textId="77777777" w:rsidR="001F27D2" w:rsidRPr="00C62A5F" w:rsidRDefault="001F27D2" w:rsidP="001F27D2">
            <w:pPr>
              <w:spacing w:before="0" w:after="0"/>
              <w:jc w:val="center"/>
              <w:rPr>
                <w:rFonts w:cs="Calibri"/>
                <w:b/>
                <w:color w:val="000000"/>
                <w:sz w:val="22"/>
                <w:szCs w:val="22"/>
              </w:rPr>
            </w:pPr>
          </w:p>
        </w:tc>
        <w:tc>
          <w:tcPr>
            <w:tcW w:w="1396" w:type="pct"/>
            <w:noWrap/>
            <w:hideMark/>
          </w:tcPr>
          <w:p w14:paraId="415057EF" w14:textId="77777777" w:rsidR="001F27D2" w:rsidRPr="00C62A5F" w:rsidRDefault="001F27D2" w:rsidP="001F27D2">
            <w:pPr>
              <w:spacing w:before="0" w:after="0"/>
              <w:rPr>
                <w:rFonts w:cs="Calibri"/>
                <w:b/>
                <w:color w:val="000000"/>
                <w:sz w:val="22"/>
                <w:szCs w:val="22"/>
              </w:rPr>
            </w:pPr>
            <w:r w:rsidRPr="00C62A5F">
              <w:rPr>
                <w:rFonts w:cs="Calibri"/>
                <w:b/>
                <w:color w:val="000000"/>
                <w:sz w:val="22"/>
                <w:szCs w:val="22"/>
              </w:rPr>
              <w:t>Total</w:t>
            </w:r>
          </w:p>
        </w:tc>
        <w:tc>
          <w:tcPr>
            <w:tcW w:w="947" w:type="pct"/>
            <w:noWrap/>
            <w:vAlign w:val="bottom"/>
          </w:tcPr>
          <w:p w14:paraId="424A443D"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6,831</w:t>
            </w:r>
          </w:p>
        </w:tc>
        <w:tc>
          <w:tcPr>
            <w:tcW w:w="752" w:type="pct"/>
            <w:noWrap/>
            <w:vAlign w:val="bottom"/>
          </w:tcPr>
          <w:p w14:paraId="3628BEE3"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5,141</w:t>
            </w:r>
          </w:p>
        </w:tc>
        <w:tc>
          <w:tcPr>
            <w:tcW w:w="1177" w:type="pct"/>
            <w:noWrap/>
            <w:vAlign w:val="bottom"/>
          </w:tcPr>
          <w:p w14:paraId="542FE56D"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-1,690</w:t>
            </w:r>
          </w:p>
        </w:tc>
      </w:tr>
      <w:tr w:rsidR="001F27D2" w:rsidRPr="00C62A5F" w14:paraId="70C9EF6E" w14:textId="77777777" w:rsidTr="001F27D2">
        <w:trPr>
          <w:trHeight w:val="300"/>
        </w:trPr>
        <w:tc>
          <w:tcPr>
            <w:tcW w:w="728" w:type="pct"/>
            <w:vMerge w:val="restart"/>
            <w:noWrap/>
            <w:hideMark/>
          </w:tcPr>
          <w:p w14:paraId="1D4E987A" w14:textId="77777777" w:rsidR="001F27D2" w:rsidRPr="00C62A5F" w:rsidRDefault="001F27D2" w:rsidP="001F27D2">
            <w:pPr>
              <w:spacing w:before="0" w:after="0"/>
              <w:jc w:val="center"/>
              <w:rPr>
                <w:rFonts w:cs="Calibri"/>
                <w:b/>
                <w:color w:val="000000"/>
                <w:sz w:val="22"/>
                <w:szCs w:val="22"/>
              </w:rPr>
            </w:pPr>
            <w:r w:rsidRPr="00C62A5F">
              <w:rPr>
                <w:rFonts w:cs="Calibri"/>
                <w:b/>
                <w:color w:val="000000"/>
                <w:sz w:val="22"/>
                <w:szCs w:val="22"/>
              </w:rPr>
              <w:t>60-84</w:t>
            </w:r>
          </w:p>
        </w:tc>
        <w:tc>
          <w:tcPr>
            <w:tcW w:w="1396" w:type="pct"/>
            <w:noWrap/>
            <w:hideMark/>
          </w:tcPr>
          <w:p w14:paraId="6B3C542A" w14:textId="77777777" w:rsidR="001F27D2" w:rsidRPr="00C62A5F" w:rsidRDefault="001F27D2" w:rsidP="001F27D2">
            <w:pPr>
              <w:spacing w:before="0" w:after="0"/>
              <w:rPr>
                <w:rFonts w:cs="Calibri"/>
                <w:color w:val="000000"/>
                <w:sz w:val="22"/>
                <w:szCs w:val="22"/>
              </w:rPr>
            </w:pPr>
            <w:r w:rsidRPr="00C62A5F">
              <w:rPr>
                <w:rFonts w:cs="Calibri"/>
                <w:color w:val="000000"/>
                <w:sz w:val="22"/>
                <w:szCs w:val="22"/>
              </w:rPr>
              <w:t>One Person</w:t>
            </w:r>
          </w:p>
        </w:tc>
        <w:tc>
          <w:tcPr>
            <w:tcW w:w="947" w:type="pct"/>
            <w:noWrap/>
            <w:vAlign w:val="bottom"/>
          </w:tcPr>
          <w:p w14:paraId="0475B2EB"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3,528</w:t>
            </w:r>
          </w:p>
        </w:tc>
        <w:tc>
          <w:tcPr>
            <w:tcW w:w="752" w:type="pct"/>
            <w:noWrap/>
            <w:vAlign w:val="bottom"/>
          </w:tcPr>
          <w:p w14:paraId="325D84F7"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3,708</w:t>
            </w:r>
          </w:p>
        </w:tc>
        <w:tc>
          <w:tcPr>
            <w:tcW w:w="1177" w:type="pct"/>
            <w:noWrap/>
            <w:vAlign w:val="bottom"/>
          </w:tcPr>
          <w:p w14:paraId="48C2B5EC"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180</w:t>
            </w:r>
          </w:p>
        </w:tc>
      </w:tr>
      <w:tr w:rsidR="001F27D2" w:rsidRPr="00C62A5F" w14:paraId="69FF2BC1" w14:textId="77777777" w:rsidTr="001F27D2">
        <w:trPr>
          <w:trHeight w:val="300"/>
        </w:trPr>
        <w:tc>
          <w:tcPr>
            <w:tcW w:w="728" w:type="pct"/>
            <w:vMerge/>
            <w:noWrap/>
            <w:hideMark/>
          </w:tcPr>
          <w:p w14:paraId="0DF340DB" w14:textId="77777777" w:rsidR="001F27D2" w:rsidRPr="00C62A5F" w:rsidRDefault="001F27D2" w:rsidP="001F27D2">
            <w:pPr>
              <w:spacing w:before="0" w:after="0"/>
              <w:jc w:val="center"/>
              <w:rPr>
                <w:rFonts w:cs="Calibri"/>
                <w:b/>
                <w:color w:val="000000"/>
                <w:sz w:val="22"/>
                <w:szCs w:val="22"/>
              </w:rPr>
            </w:pPr>
          </w:p>
        </w:tc>
        <w:tc>
          <w:tcPr>
            <w:tcW w:w="1396" w:type="pct"/>
            <w:noWrap/>
            <w:hideMark/>
          </w:tcPr>
          <w:p w14:paraId="480BC8A1" w14:textId="77777777" w:rsidR="001F27D2" w:rsidRPr="00C62A5F" w:rsidRDefault="001F27D2" w:rsidP="001F27D2">
            <w:pPr>
              <w:spacing w:before="0" w:after="0"/>
              <w:rPr>
                <w:rFonts w:cs="Calibri"/>
                <w:color w:val="000000"/>
                <w:sz w:val="22"/>
                <w:szCs w:val="22"/>
              </w:rPr>
            </w:pPr>
            <w:r w:rsidRPr="00C62A5F">
              <w:rPr>
                <w:rFonts w:cs="Calibri"/>
                <w:color w:val="000000"/>
                <w:sz w:val="22"/>
                <w:szCs w:val="22"/>
              </w:rPr>
              <w:t>Couple only</w:t>
            </w:r>
          </w:p>
        </w:tc>
        <w:tc>
          <w:tcPr>
            <w:tcW w:w="947" w:type="pct"/>
            <w:noWrap/>
            <w:vAlign w:val="bottom"/>
          </w:tcPr>
          <w:p w14:paraId="071CB5BD"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4,883</w:t>
            </w:r>
          </w:p>
        </w:tc>
        <w:tc>
          <w:tcPr>
            <w:tcW w:w="752" w:type="pct"/>
            <w:noWrap/>
            <w:vAlign w:val="bottom"/>
          </w:tcPr>
          <w:p w14:paraId="7374C0B0"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6,499</w:t>
            </w:r>
          </w:p>
        </w:tc>
        <w:tc>
          <w:tcPr>
            <w:tcW w:w="1177" w:type="pct"/>
            <w:noWrap/>
            <w:vAlign w:val="bottom"/>
          </w:tcPr>
          <w:p w14:paraId="61112682"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1,616</w:t>
            </w:r>
          </w:p>
        </w:tc>
      </w:tr>
      <w:tr w:rsidR="001F27D2" w:rsidRPr="00C62A5F" w14:paraId="5EC3A706" w14:textId="77777777" w:rsidTr="001F27D2">
        <w:trPr>
          <w:trHeight w:val="300"/>
        </w:trPr>
        <w:tc>
          <w:tcPr>
            <w:tcW w:w="728" w:type="pct"/>
            <w:vMerge/>
            <w:noWrap/>
            <w:hideMark/>
          </w:tcPr>
          <w:p w14:paraId="7D3E85D8" w14:textId="77777777" w:rsidR="001F27D2" w:rsidRPr="00C62A5F" w:rsidRDefault="001F27D2" w:rsidP="001F27D2">
            <w:pPr>
              <w:spacing w:before="0" w:after="0"/>
              <w:jc w:val="center"/>
              <w:rPr>
                <w:rFonts w:cs="Calibri"/>
                <w:b/>
                <w:color w:val="000000"/>
                <w:sz w:val="22"/>
                <w:szCs w:val="22"/>
              </w:rPr>
            </w:pPr>
          </w:p>
        </w:tc>
        <w:tc>
          <w:tcPr>
            <w:tcW w:w="1396" w:type="pct"/>
            <w:noWrap/>
            <w:hideMark/>
          </w:tcPr>
          <w:p w14:paraId="62A19D89" w14:textId="77777777" w:rsidR="001F27D2" w:rsidRPr="00C62A5F" w:rsidRDefault="001F27D2" w:rsidP="001F27D2">
            <w:pPr>
              <w:spacing w:before="0" w:after="0"/>
              <w:rPr>
                <w:rFonts w:cs="Calibri"/>
                <w:color w:val="000000"/>
                <w:sz w:val="22"/>
                <w:szCs w:val="22"/>
              </w:rPr>
            </w:pPr>
            <w:r w:rsidRPr="00C62A5F">
              <w:rPr>
                <w:rFonts w:cs="Calibri"/>
                <w:color w:val="000000"/>
                <w:sz w:val="22"/>
                <w:szCs w:val="22"/>
              </w:rPr>
              <w:t>HH with 1/2 children</w:t>
            </w:r>
          </w:p>
        </w:tc>
        <w:tc>
          <w:tcPr>
            <w:tcW w:w="947" w:type="pct"/>
            <w:noWrap/>
            <w:vAlign w:val="bottom"/>
          </w:tcPr>
          <w:p w14:paraId="6D258A87"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170</w:t>
            </w:r>
          </w:p>
        </w:tc>
        <w:tc>
          <w:tcPr>
            <w:tcW w:w="752" w:type="pct"/>
            <w:noWrap/>
            <w:vAlign w:val="bottom"/>
          </w:tcPr>
          <w:p w14:paraId="54403D40"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260</w:t>
            </w:r>
          </w:p>
        </w:tc>
        <w:tc>
          <w:tcPr>
            <w:tcW w:w="1177" w:type="pct"/>
            <w:noWrap/>
            <w:vAlign w:val="bottom"/>
          </w:tcPr>
          <w:p w14:paraId="3F7AA2C8"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90</w:t>
            </w:r>
          </w:p>
        </w:tc>
      </w:tr>
      <w:tr w:rsidR="001F27D2" w:rsidRPr="00C62A5F" w14:paraId="106CAF44" w14:textId="77777777" w:rsidTr="001F27D2">
        <w:trPr>
          <w:trHeight w:val="300"/>
        </w:trPr>
        <w:tc>
          <w:tcPr>
            <w:tcW w:w="728" w:type="pct"/>
            <w:vMerge/>
            <w:noWrap/>
            <w:hideMark/>
          </w:tcPr>
          <w:p w14:paraId="12EB7F41" w14:textId="77777777" w:rsidR="001F27D2" w:rsidRPr="00C62A5F" w:rsidRDefault="001F27D2" w:rsidP="001F27D2">
            <w:pPr>
              <w:spacing w:before="0" w:after="0"/>
              <w:jc w:val="center"/>
              <w:rPr>
                <w:rFonts w:cs="Calibri"/>
                <w:b/>
                <w:color w:val="000000"/>
                <w:sz w:val="22"/>
                <w:szCs w:val="22"/>
              </w:rPr>
            </w:pPr>
          </w:p>
        </w:tc>
        <w:tc>
          <w:tcPr>
            <w:tcW w:w="1396" w:type="pct"/>
            <w:noWrap/>
            <w:hideMark/>
          </w:tcPr>
          <w:p w14:paraId="6F7D8D91" w14:textId="77777777" w:rsidR="001F27D2" w:rsidRPr="00C62A5F" w:rsidRDefault="001F27D2" w:rsidP="001F27D2">
            <w:pPr>
              <w:spacing w:before="0" w:after="0"/>
              <w:rPr>
                <w:rFonts w:cs="Calibri"/>
                <w:color w:val="000000"/>
                <w:sz w:val="22"/>
                <w:szCs w:val="22"/>
              </w:rPr>
            </w:pPr>
            <w:r w:rsidRPr="00C62A5F">
              <w:rPr>
                <w:rFonts w:cs="Calibri"/>
                <w:color w:val="000000"/>
                <w:sz w:val="22"/>
                <w:szCs w:val="22"/>
              </w:rPr>
              <w:t>HH with 3 children</w:t>
            </w:r>
          </w:p>
        </w:tc>
        <w:tc>
          <w:tcPr>
            <w:tcW w:w="947" w:type="pct"/>
            <w:noWrap/>
            <w:vAlign w:val="bottom"/>
          </w:tcPr>
          <w:p w14:paraId="3EACF347"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7</w:t>
            </w:r>
          </w:p>
        </w:tc>
        <w:tc>
          <w:tcPr>
            <w:tcW w:w="752" w:type="pct"/>
            <w:noWrap/>
            <w:vAlign w:val="bottom"/>
          </w:tcPr>
          <w:p w14:paraId="0BFDD186"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6</w:t>
            </w:r>
          </w:p>
        </w:tc>
        <w:tc>
          <w:tcPr>
            <w:tcW w:w="1177" w:type="pct"/>
            <w:noWrap/>
            <w:vAlign w:val="bottom"/>
          </w:tcPr>
          <w:p w14:paraId="235BB648"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-1</w:t>
            </w:r>
          </w:p>
        </w:tc>
      </w:tr>
      <w:tr w:rsidR="001F27D2" w:rsidRPr="00C62A5F" w14:paraId="6F488388" w14:textId="77777777" w:rsidTr="001F27D2">
        <w:trPr>
          <w:trHeight w:val="300"/>
        </w:trPr>
        <w:tc>
          <w:tcPr>
            <w:tcW w:w="728" w:type="pct"/>
            <w:vMerge/>
            <w:noWrap/>
            <w:hideMark/>
          </w:tcPr>
          <w:p w14:paraId="348C85A4" w14:textId="77777777" w:rsidR="001F27D2" w:rsidRPr="00C62A5F" w:rsidRDefault="001F27D2" w:rsidP="001F27D2">
            <w:pPr>
              <w:spacing w:before="0" w:after="0"/>
              <w:jc w:val="center"/>
              <w:rPr>
                <w:rFonts w:cs="Calibri"/>
                <w:b/>
                <w:color w:val="000000"/>
                <w:sz w:val="22"/>
                <w:szCs w:val="22"/>
              </w:rPr>
            </w:pPr>
          </w:p>
        </w:tc>
        <w:tc>
          <w:tcPr>
            <w:tcW w:w="1396" w:type="pct"/>
            <w:noWrap/>
            <w:hideMark/>
          </w:tcPr>
          <w:p w14:paraId="0DEFB86D" w14:textId="77777777" w:rsidR="001F27D2" w:rsidRPr="00C62A5F" w:rsidRDefault="001F27D2" w:rsidP="001F27D2">
            <w:pPr>
              <w:spacing w:before="0" w:after="0"/>
              <w:rPr>
                <w:rFonts w:cs="Calibri"/>
                <w:color w:val="000000"/>
                <w:sz w:val="22"/>
                <w:szCs w:val="22"/>
              </w:rPr>
            </w:pPr>
            <w:r w:rsidRPr="00C62A5F">
              <w:rPr>
                <w:rFonts w:cs="Calibri"/>
                <w:color w:val="000000"/>
                <w:sz w:val="22"/>
                <w:szCs w:val="22"/>
              </w:rPr>
              <w:t>Other Multi-person</w:t>
            </w:r>
          </w:p>
        </w:tc>
        <w:tc>
          <w:tcPr>
            <w:tcW w:w="947" w:type="pct"/>
            <w:noWrap/>
            <w:vAlign w:val="bottom"/>
          </w:tcPr>
          <w:p w14:paraId="4082EAE4"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1,112</w:t>
            </w:r>
          </w:p>
        </w:tc>
        <w:tc>
          <w:tcPr>
            <w:tcW w:w="752" w:type="pct"/>
            <w:noWrap/>
            <w:vAlign w:val="bottom"/>
          </w:tcPr>
          <w:p w14:paraId="7979F6A1"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1,028</w:t>
            </w:r>
          </w:p>
        </w:tc>
        <w:tc>
          <w:tcPr>
            <w:tcW w:w="1177" w:type="pct"/>
            <w:noWrap/>
            <w:vAlign w:val="bottom"/>
          </w:tcPr>
          <w:p w14:paraId="56F77B78"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-84</w:t>
            </w:r>
          </w:p>
        </w:tc>
      </w:tr>
      <w:tr w:rsidR="001F27D2" w:rsidRPr="00C62A5F" w14:paraId="7F75D3F7" w14:textId="77777777" w:rsidTr="001F27D2">
        <w:trPr>
          <w:trHeight w:val="300"/>
        </w:trPr>
        <w:tc>
          <w:tcPr>
            <w:tcW w:w="728" w:type="pct"/>
            <w:vMerge/>
            <w:noWrap/>
            <w:hideMark/>
          </w:tcPr>
          <w:p w14:paraId="4BEAE98C" w14:textId="77777777" w:rsidR="001F27D2" w:rsidRPr="00C62A5F" w:rsidRDefault="001F27D2" w:rsidP="001F27D2">
            <w:pPr>
              <w:spacing w:before="0" w:after="0"/>
              <w:jc w:val="center"/>
              <w:rPr>
                <w:rFonts w:cs="Calibri"/>
                <w:b/>
                <w:color w:val="000000"/>
                <w:sz w:val="22"/>
                <w:szCs w:val="22"/>
              </w:rPr>
            </w:pPr>
          </w:p>
        </w:tc>
        <w:tc>
          <w:tcPr>
            <w:tcW w:w="1396" w:type="pct"/>
            <w:noWrap/>
            <w:hideMark/>
          </w:tcPr>
          <w:p w14:paraId="0E0E847E" w14:textId="77777777" w:rsidR="001F27D2" w:rsidRPr="00C62A5F" w:rsidRDefault="001F27D2" w:rsidP="001F27D2">
            <w:pPr>
              <w:spacing w:before="0" w:after="0"/>
              <w:rPr>
                <w:rFonts w:cs="Calibri"/>
                <w:b/>
                <w:color w:val="000000"/>
                <w:sz w:val="22"/>
                <w:szCs w:val="22"/>
              </w:rPr>
            </w:pPr>
            <w:r w:rsidRPr="00C62A5F">
              <w:rPr>
                <w:rFonts w:cs="Calibri"/>
                <w:b/>
                <w:color w:val="000000"/>
                <w:sz w:val="22"/>
                <w:szCs w:val="22"/>
              </w:rPr>
              <w:t>Total</w:t>
            </w:r>
          </w:p>
        </w:tc>
        <w:tc>
          <w:tcPr>
            <w:tcW w:w="947" w:type="pct"/>
            <w:noWrap/>
            <w:vAlign w:val="bottom"/>
          </w:tcPr>
          <w:p w14:paraId="5DFD8713"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9,700</w:t>
            </w:r>
          </w:p>
        </w:tc>
        <w:tc>
          <w:tcPr>
            <w:tcW w:w="752" w:type="pct"/>
            <w:noWrap/>
            <w:vAlign w:val="bottom"/>
          </w:tcPr>
          <w:p w14:paraId="6233D1AC"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11,501</w:t>
            </w:r>
          </w:p>
        </w:tc>
        <w:tc>
          <w:tcPr>
            <w:tcW w:w="1177" w:type="pct"/>
            <w:noWrap/>
            <w:vAlign w:val="bottom"/>
          </w:tcPr>
          <w:p w14:paraId="78FF914B"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1,801</w:t>
            </w:r>
          </w:p>
        </w:tc>
      </w:tr>
      <w:tr w:rsidR="001F27D2" w:rsidRPr="00C62A5F" w14:paraId="71494969" w14:textId="77777777" w:rsidTr="001F27D2">
        <w:trPr>
          <w:trHeight w:val="300"/>
        </w:trPr>
        <w:tc>
          <w:tcPr>
            <w:tcW w:w="728" w:type="pct"/>
            <w:vMerge w:val="restart"/>
            <w:noWrap/>
            <w:hideMark/>
          </w:tcPr>
          <w:p w14:paraId="6651B652" w14:textId="77777777" w:rsidR="001F27D2" w:rsidRPr="00C62A5F" w:rsidRDefault="001F27D2" w:rsidP="001F27D2">
            <w:pPr>
              <w:spacing w:before="0" w:after="0"/>
              <w:jc w:val="center"/>
              <w:rPr>
                <w:rFonts w:cs="Calibri"/>
                <w:b/>
                <w:color w:val="000000"/>
                <w:sz w:val="22"/>
                <w:szCs w:val="22"/>
              </w:rPr>
            </w:pPr>
            <w:r w:rsidRPr="00C62A5F">
              <w:rPr>
                <w:rFonts w:cs="Calibri"/>
                <w:b/>
                <w:color w:val="000000"/>
                <w:sz w:val="22"/>
                <w:szCs w:val="22"/>
              </w:rPr>
              <w:t>85+</w:t>
            </w:r>
          </w:p>
        </w:tc>
        <w:tc>
          <w:tcPr>
            <w:tcW w:w="1396" w:type="pct"/>
            <w:noWrap/>
            <w:hideMark/>
          </w:tcPr>
          <w:p w14:paraId="67CC50E9" w14:textId="77777777" w:rsidR="001F27D2" w:rsidRPr="00C62A5F" w:rsidRDefault="001F27D2" w:rsidP="001F27D2">
            <w:pPr>
              <w:spacing w:before="0" w:after="0"/>
              <w:rPr>
                <w:rFonts w:cs="Calibri"/>
                <w:color w:val="000000"/>
                <w:sz w:val="22"/>
                <w:szCs w:val="22"/>
              </w:rPr>
            </w:pPr>
            <w:r w:rsidRPr="00C62A5F">
              <w:rPr>
                <w:rFonts w:cs="Calibri"/>
                <w:color w:val="000000"/>
                <w:sz w:val="22"/>
                <w:szCs w:val="22"/>
              </w:rPr>
              <w:t>One Person</w:t>
            </w:r>
          </w:p>
        </w:tc>
        <w:tc>
          <w:tcPr>
            <w:tcW w:w="947" w:type="pct"/>
            <w:noWrap/>
            <w:vAlign w:val="bottom"/>
          </w:tcPr>
          <w:p w14:paraId="2448F4C8"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769</w:t>
            </w:r>
          </w:p>
        </w:tc>
        <w:tc>
          <w:tcPr>
            <w:tcW w:w="752" w:type="pct"/>
            <w:noWrap/>
            <w:vAlign w:val="bottom"/>
          </w:tcPr>
          <w:p w14:paraId="1DE352FB"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1,399</w:t>
            </w:r>
          </w:p>
        </w:tc>
        <w:tc>
          <w:tcPr>
            <w:tcW w:w="1177" w:type="pct"/>
            <w:noWrap/>
            <w:vAlign w:val="bottom"/>
          </w:tcPr>
          <w:p w14:paraId="34F3351C"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630</w:t>
            </w:r>
          </w:p>
        </w:tc>
      </w:tr>
      <w:tr w:rsidR="001F27D2" w:rsidRPr="00C62A5F" w14:paraId="2A7AA4DD" w14:textId="77777777" w:rsidTr="001F27D2">
        <w:trPr>
          <w:trHeight w:val="300"/>
        </w:trPr>
        <w:tc>
          <w:tcPr>
            <w:tcW w:w="728" w:type="pct"/>
            <w:vMerge/>
            <w:noWrap/>
            <w:hideMark/>
          </w:tcPr>
          <w:p w14:paraId="239243F9" w14:textId="77777777" w:rsidR="001F27D2" w:rsidRPr="00C62A5F" w:rsidRDefault="001F27D2" w:rsidP="001F27D2">
            <w:pPr>
              <w:spacing w:before="0" w:after="0"/>
              <w:jc w:val="center"/>
              <w:rPr>
                <w:rFonts w:cs="Calibri"/>
                <w:b/>
                <w:color w:val="000000"/>
                <w:sz w:val="22"/>
                <w:szCs w:val="22"/>
              </w:rPr>
            </w:pPr>
          </w:p>
        </w:tc>
        <w:tc>
          <w:tcPr>
            <w:tcW w:w="1396" w:type="pct"/>
            <w:noWrap/>
            <w:hideMark/>
          </w:tcPr>
          <w:p w14:paraId="3D4660A1" w14:textId="77777777" w:rsidR="001F27D2" w:rsidRPr="00C62A5F" w:rsidRDefault="001F27D2" w:rsidP="001F27D2">
            <w:pPr>
              <w:spacing w:before="0" w:after="0"/>
              <w:rPr>
                <w:rFonts w:cs="Calibri"/>
                <w:color w:val="000000"/>
                <w:sz w:val="22"/>
                <w:szCs w:val="22"/>
              </w:rPr>
            </w:pPr>
            <w:r w:rsidRPr="00C62A5F">
              <w:rPr>
                <w:rFonts w:cs="Calibri"/>
                <w:color w:val="000000"/>
                <w:sz w:val="22"/>
                <w:szCs w:val="22"/>
              </w:rPr>
              <w:t>Couple only</w:t>
            </w:r>
          </w:p>
        </w:tc>
        <w:tc>
          <w:tcPr>
            <w:tcW w:w="947" w:type="pct"/>
            <w:noWrap/>
            <w:vAlign w:val="bottom"/>
          </w:tcPr>
          <w:p w14:paraId="4FF5CAAB"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251</w:t>
            </w:r>
          </w:p>
        </w:tc>
        <w:tc>
          <w:tcPr>
            <w:tcW w:w="752" w:type="pct"/>
            <w:noWrap/>
            <w:vAlign w:val="bottom"/>
          </w:tcPr>
          <w:p w14:paraId="236CD538"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652</w:t>
            </w:r>
          </w:p>
        </w:tc>
        <w:tc>
          <w:tcPr>
            <w:tcW w:w="1177" w:type="pct"/>
            <w:noWrap/>
            <w:vAlign w:val="bottom"/>
          </w:tcPr>
          <w:p w14:paraId="213C89AE"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401</w:t>
            </w:r>
          </w:p>
        </w:tc>
      </w:tr>
      <w:tr w:rsidR="001F27D2" w:rsidRPr="00C62A5F" w14:paraId="40F5E055" w14:textId="77777777" w:rsidTr="001F27D2">
        <w:trPr>
          <w:trHeight w:val="300"/>
        </w:trPr>
        <w:tc>
          <w:tcPr>
            <w:tcW w:w="728" w:type="pct"/>
            <w:vMerge/>
            <w:noWrap/>
            <w:hideMark/>
          </w:tcPr>
          <w:p w14:paraId="3E138528" w14:textId="77777777" w:rsidR="001F27D2" w:rsidRPr="00C62A5F" w:rsidRDefault="001F27D2" w:rsidP="001F27D2">
            <w:pPr>
              <w:spacing w:before="0" w:after="0"/>
              <w:jc w:val="center"/>
              <w:rPr>
                <w:rFonts w:cs="Calibri"/>
                <w:b/>
                <w:color w:val="000000"/>
                <w:sz w:val="22"/>
                <w:szCs w:val="22"/>
              </w:rPr>
            </w:pPr>
          </w:p>
        </w:tc>
        <w:tc>
          <w:tcPr>
            <w:tcW w:w="1396" w:type="pct"/>
            <w:noWrap/>
            <w:hideMark/>
          </w:tcPr>
          <w:p w14:paraId="0DE82554" w14:textId="77777777" w:rsidR="001F27D2" w:rsidRPr="00C62A5F" w:rsidRDefault="001F27D2" w:rsidP="001F27D2">
            <w:pPr>
              <w:spacing w:before="0" w:after="0"/>
              <w:rPr>
                <w:rFonts w:cs="Calibri"/>
                <w:color w:val="000000"/>
                <w:sz w:val="22"/>
                <w:szCs w:val="22"/>
              </w:rPr>
            </w:pPr>
            <w:r w:rsidRPr="00C62A5F">
              <w:rPr>
                <w:rFonts w:cs="Calibri"/>
                <w:color w:val="000000"/>
                <w:sz w:val="22"/>
                <w:szCs w:val="22"/>
              </w:rPr>
              <w:t>HH with 1/2 children</w:t>
            </w:r>
          </w:p>
        </w:tc>
        <w:tc>
          <w:tcPr>
            <w:tcW w:w="947" w:type="pct"/>
            <w:noWrap/>
            <w:vAlign w:val="bottom"/>
          </w:tcPr>
          <w:p w14:paraId="1DECBA2B"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1</w:t>
            </w:r>
          </w:p>
        </w:tc>
        <w:tc>
          <w:tcPr>
            <w:tcW w:w="752" w:type="pct"/>
            <w:noWrap/>
            <w:vAlign w:val="bottom"/>
          </w:tcPr>
          <w:p w14:paraId="1DAED55F"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3</w:t>
            </w:r>
          </w:p>
        </w:tc>
        <w:tc>
          <w:tcPr>
            <w:tcW w:w="1177" w:type="pct"/>
            <w:noWrap/>
            <w:vAlign w:val="bottom"/>
          </w:tcPr>
          <w:p w14:paraId="573C5781"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2</w:t>
            </w:r>
          </w:p>
        </w:tc>
      </w:tr>
      <w:tr w:rsidR="001F27D2" w:rsidRPr="00C62A5F" w14:paraId="24B4A979" w14:textId="77777777" w:rsidTr="001F27D2">
        <w:trPr>
          <w:trHeight w:val="300"/>
        </w:trPr>
        <w:tc>
          <w:tcPr>
            <w:tcW w:w="728" w:type="pct"/>
            <w:vMerge/>
            <w:noWrap/>
            <w:hideMark/>
          </w:tcPr>
          <w:p w14:paraId="33ABE902" w14:textId="77777777" w:rsidR="001F27D2" w:rsidRPr="00C62A5F" w:rsidRDefault="001F27D2" w:rsidP="001F27D2">
            <w:pPr>
              <w:spacing w:before="0" w:after="0"/>
              <w:jc w:val="center"/>
              <w:rPr>
                <w:rFonts w:cs="Calibri"/>
                <w:b/>
                <w:color w:val="000000"/>
                <w:sz w:val="22"/>
                <w:szCs w:val="22"/>
              </w:rPr>
            </w:pPr>
          </w:p>
        </w:tc>
        <w:tc>
          <w:tcPr>
            <w:tcW w:w="1396" w:type="pct"/>
            <w:noWrap/>
            <w:hideMark/>
          </w:tcPr>
          <w:p w14:paraId="6516BA2E" w14:textId="77777777" w:rsidR="001F27D2" w:rsidRPr="00C62A5F" w:rsidRDefault="001F27D2" w:rsidP="001F27D2">
            <w:pPr>
              <w:spacing w:before="0" w:after="0"/>
              <w:rPr>
                <w:rFonts w:cs="Calibri"/>
                <w:color w:val="000000"/>
                <w:sz w:val="22"/>
                <w:szCs w:val="22"/>
              </w:rPr>
            </w:pPr>
            <w:r w:rsidRPr="00C62A5F">
              <w:rPr>
                <w:rFonts w:cs="Calibri"/>
                <w:color w:val="000000"/>
                <w:sz w:val="22"/>
                <w:szCs w:val="22"/>
              </w:rPr>
              <w:t>HH with 3 children</w:t>
            </w:r>
          </w:p>
        </w:tc>
        <w:tc>
          <w:tcPr>
            <w:tcW w:w="947" w:type="pct"/>
            <w:noWrap/>
            <w:vAlign w:val="bottom"/>
          </w:tcPr>
          <w:p w14:paraId="33F1695A"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0</w:t>
            </w:r>
          </w:p>
        </w:tc>
        <w:tc>
          <w:tcPr>
            <w:tcW w:w="752" w:type="pct"/>
            <w:noWrap/>
            <w:vAlign w:val="bottom"/>
          </w:tcPr>
          <w:p w14:paraId="4F637816"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0</w:t>
            </w:r>
          </w:p>
        </w:tc>
        <w:tc>
          <w:tcPr>
            <w:tcW w:w="1177" w:type="pct"/>
            <w:noWrap/>
            <w:vAlign w:val="bottom"/>
          </w:tcPr>
          <w:p w14:paraId="3602CE64"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0</w:t>
            </w:r>
          </w:p>
        </w:tc>
      </w:tr>
      <w:tr w:rsidR="001F27D2" w:rsidRPr="00C62A5F" w14:paraId="74C6C308" w14:textId="77777777" w:rsidTr="001F27D2">
        <w:trPr>
          <w:trHeight w:val="300"/>
        </w:trPr>
        <w:tc>
          <w:tcPr>
            <w:tcW w:w="728" w:type="pct"/>
            <w:vMerge/>
            <w:noWrap/>
            <w:hideMark/>
          </w:tcPr>
          <w:p w14:paraId="41D643F3" w14:textId="77777777" w:rsidR="001F27D2" w:rsidRPr="00C62A5F" w:rsidRDefault="001F27D2" w:rsidP="001F27D2">
            <w:pPr>
              <w:spacing w:before="0" w:after="0"/>
              <w:jc w:val="center"/>
              <w:rPr>
                <w:rFonts w:cs="Calibri"/>
                <w:b/>
                <w:color w:val="000000"/>
                <w:sz w:val="22"/>
                <w:szCs w:val="22"/>
              </w:rPr>
            </w:pPr>
          </w:p>
        </w:tc>
        <w:tc>
          <w:tcPr>
            <w:tcW w:w="1396" w:type="pct"/>
            <w:noWrap/>
            <w:hideMark/>
          </w:tcPr>
          <w:p w14:paraId="53F99592" w14:textId="77777777" w:rsidR="001F27D2" w:rsidRPr="00C62A5F" w:rsidRDefault="001F27D2" w:rsidP="001F27D2">
            <w:pPr>
              <w:spacing w:before="0" w:after="0"/>
              <w:rPr>
                <w:rFonts w:cs="Calibri"/>
                <w:color w:val="000000"/>
                <w:sz w:val="22"/>
                <w:szCs w:val="22"/>
              </w:rPr>
            </w:pPr>
            <w:r w:rsidRPr="00C62A5F">
              <w:rPr>
                <w:rFonts w:cs="Calibri"/>
                <w:color w:val="000000"/>
                <w:sz w:val="22"/>
                <w:szCs w:val="22"/>
              </w:rPr>
              <w:t>Other Multi-person</w:t>
            </w:r>
          </w:p>
        </w:tc>
        <w:tc>
          <w:tcPr>
            <w:tcW w:w="947" w:type="pct"/>
            <w:noWrap/>
            <w:vAlign w:val="bottom"/>
          </w:tcPr>
          <w:p w14:paraId="28EBE924"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150</w:t>
            </w:r>
          </w:p>
        </w:tc>
        <w:tc>
          <w:tcPr>
            <w:tcW w:w="752" w:type="pct"/>
            <w:noWrap/>
            <w:vAlign w:val="bottom"/>
          </w:tcPr>
          <w:p w14:paraId="7D5BE184"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457</w:t>
            </w:r>
          </w:p>
        </w:tc>
        <w:tc>
          <w:tcPr>
            <w:tcW w:w="1177" w:type="pct"/>
            <w:noWrap/>
            <w:vAlign w:val="bottom"/>
          </w:tcPr>
          <w:p w14:paraId="48E7842E"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307</w:t>
            </w:r>
          </w:p>
        </w:tc>
      </w:tr>
      <w:tr w:rsidR="001F27D2" w:rsidRPr="00C62A5F" w14:paraId="53348C63" w14:textId="77777777" w:rsidTr="001F27D2">
        <w:trPr>
          <w:trHeight w:val="300"/>
        </w:trPr>
        <w:tc>
          <w:tcPr>
            <w:tcW w:w="728" w:type="pct"/>
            <w:vMerge/>
            <w:noWrap/>
            <w:hideMark/>
          </w:tcPr>
          <w:p w14:paraId="08350072" w14:textId="77777777" w:rsidR="001F27D2" w:rsidRPr="00C62A5F" w:rsidRDefault="001F27D2" w:rsidP="001F27D2">
            <w:pPr>
              <w:spacing w:before="0" w:after="0"/>
              <w:jc w:val="center"/>
              <w:rPr>
                <w:rFonts w:cs="Calibri"/>
                <w:b/>
                <w:color w:val="000000"/>
                <w:sz w:val="22"/>
                <w:szCs w:val="22"/>
              </w:rPr>
            </w:pPr>
          </w:p>
        </w:tc>
        <w:tc>
          <w:tcPr>
            <w:tcW w:w="1396" w:type="pct"/>
            <w:noWrap/>
            <w:hideMark/>
          </w:tcPr>
          <w:p w14:paraId="745ED6AC" w14:textId="77777777" w:rsidR="001F27D2" w:rsidRPr="00C62A5F" w:rsidRDefault="001F27D2" w:rsidP="001F27D2">
            <w:pPr>
              <w:spacing w:before="0" w:after="0"/>
              <w:rPr>
                <w:rFonts w:cs="Calibri"/>
                <w:b/>
                <w:color w:val="000000"/>
                <w:sz w:val="22"/>
                <w:szCs w:val="22"/>
              </w:rPr>
            </w:pPr>
            <w:r w:rsidRPr="00C62A5F">
              <w:rPr>
                <w:rFonts w:cs="Calibri"/>
                <w:b/>
                <w:color w:val="000000"/>
                <w:sz w:val="22"/>
                <w:szCs w:val="22"/>
              </w:rPr>
              <w:t>Total</w:t>
            </w:r>
          </w:p>
        </w:tc>
        <w:tc>
          <w:tcPr>
            <w:tcW w:w="947" w:type="pct"/>
            <w:noWrap/>
            <w:vAlign w:val="bottom"/>
          </w:tcPr>
          <w:p w14:paraId="755E8CB3"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1,171</w:t>
            </w:r>
          </w:p>
        </w:tc>
        <w:tc>
          <w:tcPr>
            <w:tcW w:w="752" w:type="pct"/>
            <w:noWrap/>
            <w:vAlign w:val="bottom"/>
          </w:tcPr>
          <w:p w14:paraId="4748B7EC"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2,511</w:t>
            </w:r>
          </w:p>
        </w:tc>
        <w:tc>
          <w:tcPr>
            <w:tcW w:w="1177" w:type="pct"/>
            <w:noWrap/>
            <w:vAlign w:val="bottom"/>
          </w:tcPr>
          <w:p w14:paraId="4BC4AD2E" w14:textId="77777777" w:rsidR="001F27D2" w:rsidRPr="00C62A5F" w:rsidRDefault="001F27D2" w:rsidP="001F27D2">
            <w:pPr>
              <w:spacing w:before="0" w:after="0"/>
              <w:jc w:val="center"/>
              <w:rPr>
                <w:rFonts w:cs="Calibri"/>
                <w:color w:val="000000"/>
                <w:sz w:val="22"/>
                <w:szCs w:val="22"/>
              </w:rPr>
            </w:pPr>
            <w:r w:rsidRPr="00C62A5F">
              <w:rPr>
                <w:rFonts w:cs="Calibri"/>
                <w:color w:val="000000"/>
                <w:sz w:val="22"/>
                <w:szCs w:val="22"/>
              </w:rPr>
              <w:t>1,340</w:t>
            </w:r>
          </w:p>
        </w:tc>
      </w:tr>
    </w:tbl>
    <w:p w14:paraId="21FA812B" w14:textId="77777777" w:rsidR="001F27D2" w:rsidRPr="002B2A7F" w:rsidRDefault="001F27D2" w:rsidP="001F27D2">
      <w:pPr>
        <w:jc w:val="right"/>
        <w:rPr>
          <w:rFonts w:asciiTheme="minorHAnsi" w:hAnsiTheme="minorHAnsi"/>
        </w:rPr>
      </w:pPr>
      <w:r w:rsidRPr="002B2A7F">
        <w:rPr>
          <w:rFonts w:asciiTheme="minorHAnsi" w:hAnsiTheme="minorHAnsi"/>
        </w:rPr>
        <w:t>Continued overleaf/...</w:t>
      </w:r>
      <w:r w:rsidRPr="002B2A7F">
        <w:rPr>
          <w:rFonts w:asciiTheme="minorHAnsi" w:hAnsiTheme="minorHAnsi"/>
        </w:rPr>
        <w:br w:type="page"/>
      </w:r>
    </w:p>
    <w:tbl>
      <w:tblPr>
        <w:tblStyle w:val="arc4table"/>
        <w:tblW w:w="5000" w:type="pct"/>
        <w:tblLook w:val="04A0" w:firstRow="1" w:lastRow="0" w:firstColumn="1" w:lastColumn="0" w:noHBand="0" w:noVBand="1"/>
      </w:tblPr>
      <w:tblGrid>
        <w:gridCol w:w="1323"/>
        <w:gridCol w:w="2550"/>
        <w:gridCol w:w="1726"/>
        <w:gridCol w:w="1368"/>
        <w:gridCol w:w="2213"/>
      </w:tblGrid>
      <w:tr w:rsidR="001F27D2" w:rsidRPr="00C62A5F" w14:paraId="2666AB25" w14:textId="77777777" w:rsidTr="001F27D2">
        <w:trPr>
          <w:cnfStyle w:val="100000000000" w:firstRow="1" w:lastRow="0" w:firstColumn="0" w:lastColumn="0" w:oddVBand="0" w:evenVBand="0" w:oddHBand="0" w:evenHBand="0" w:firstRowFirstColumn="0" w:firstRowLastColumn="0" w:lastRowFirstColumn="0" w:lastRowLastColumn="0"/>
        </w:trPr>
        <w:tc>
          <w:tcPr>
            <w:tcW w:w="5000" w:type="pct"/>
            <w:gridSpan w:val="5"/>
            <w:noWrap/>
          </w:tcPr>
          <w:p w14:paraId="223A01E0" w14:textId="77777777" w:rsidR="001F27D2" w:rsidRPr="00C62A5F" w:rsidRDefault="001F27D2" w:rsidP="001F27D2">
            <w:pPr>
              <w:pStyle w:val="Tableheading1"/>
              <w:spacing w:before="0"/>
              <w:rPr>
                <w:rFonts w:asciiTheme="minorHAnsi" w:hAnsiTheme="minorHAnsi" w:cs="Calibri"/>
                <w:b/>
                <w:color w:val="000000"/>
                <w:szCs w:val="22"/>
              </w:rPr>
            </w:pPr>
            <w:bookmarkStart w:id="576" w:name="_Toc524935688"/>
            <w:bookmarkStart w:id="577" w:name="_Toc531122978"/>
            <w:bookmarkStart w:id="578" w:name="_Toc532812507"/>
            <w:r w:rsidRPr="00C62A5F">
              <w:rPr>
                <w:rFonts w:asciiTheme="minorHAnsi" w:hAnsiTheme="minorHAnsi" w:cs="Calibri"/>
                <w:b/>
                <w:szCs w:val="22"/>
              </w:rPr>
              <w:lastRenderedPageBreak/>
              <w:t>Table 7.2B</w:t>
            </w:r>
            <w:r w:rsidRPr="00C62A5F">
              <w:rPr>
                <w:rFonts w:asciiTheme="minorHAnsi" w:hAnsiTheme="minorHAnsi" w:cs="Calibri"/>
                <w:b/>
                <w:szCs w:val="22"/>
              </w:rPr>
              <w:tab/>
              <w:t>Change in number of households 2014-2032</w:t>
            </w:r>
            <w:bookmarkEnd w:id="576"/>
            <w:bookmarkEnd w:id="577"/>
            <w:bookmarkEnd w:id="578"/>
          </w:p>
        </w:tc>
      </w:tr>
      <w:tr w:rsidR="001F27D2" w:rsidRPr="00C62A5F" w14:paraId="3BABE98F" w14:textId="77777777" w:rsidTr="001F27D2">
        <w:tc>
          <w:tcPr>
            <w:tcW w:w="728" w:type="pct"/>
            <w:vMerge w:val="restart"/>
            <w:shd w:val="clear" w:color="auto" w:fill="009999"/>
            <w:noWrap/>
            <w:vAlign w:val="bottom"/>
            <w:hideMark/>
          </w:tcPr>
          <w:p w14:paraId="4BC069D5" w14:textId="77777777" w:rsidR="001F27D2" w:rsidRPr="00C62A5F" w:rsidRDefault="001F27D2" w:rsidP="00C62A5F">
            <w:pPr>
              <w:spacing w:before="0" w:after="0"/>
              <w:jc w:val="center"/>
              <w:rPr>
                <w:rFonts w:asciiTheme="minorHAnsi" w:hAnsiTheme="minorHAnsi" w:cs="Calibri"/>
                <w:b/>
                <w:bCs/>
                <w:color w:val="FFFFFF" w:themeColor="background1"/>
                <w:sz w:val="22"/>
                <w:szCs w:val="22"/>
              </w:rPr>
            </w:pPr>
            <w:r w:rsidRPr="00C62A5F">
              <w:rPr>
                <w:rFonts w:asciiTheme="minorHAnsi" w:hAnsiTheme="minorHAnsi" w:cs="Calibri"/>
                <w:b/>
                <w:bCs/>
                <w:color w:val="FFFFFF" w:themeColor="background1"/>
                <w:sz w:val="22"/>
                <w:szCs w:val="22"/>
              </w:rPr>
              <w:t>Age group</w:t>
            </w:r>
          </w:p>
        </w:tc>
        <w:tc>
          <w:tcPr>
            <w:tcW w:w="1396" w:type="pct"/>
            <w:vMerge w:val="restart"/>
            <w:shd w:val="clear" w:color="auto" w:fill="009999"/>
            <w:noWrap/>
            <w:vAlign w:val="bottom"/>
            <w:hideMark/>
          </w:tcPr>
          <w:p w14:paraId="2FA8DD7B" w14:textId="77777777" w:rsidR="001F27D2" w:rsidRPr="00C62A5F" w:rsidRDefault="001F27D2" w:rsidP="00C62A5F">
            <w:pPr>
              <w:spacing w:before="0" w:after="0"/>
              <w:jc w:val="center"/>
              <w:rPr>
                <w:rFonts w:asciiTheme="minorHAnsi" w:hAnsiTheme="minorHAnsi" w:cs="Calibri"/>
                <w:b/>
                <w:bCs/>
                <w:color w:val="FFFFFF" w:themeColor="background1"/>
                <w:sz w:val="22"/>
                <w:szCs w:val="22"/>
              </w:rPr>
            </w:pPr>
            <w:r w:rsidRPr="00C62A5F">
              <w:rPr>
                <w:rFonts w:asciiTheme="minorHAnsi" w:hAnsiTheme="minorHAnsi" w:cs="Calibri"/>
                <w:b/>
                <w:bCs/>
                <w:color w:val="FFFFFF" w:themeColor="background1"/>
                <w:sz w:val="22"/>
                <w:szCs w:val="22"/>
              </w:rPr>
              <w:t>Household Type</w:t>
            </w:r>
          </w:p>
        </w:tc>
        <w:tc>
          <w:tcPr>
            <w:tcW w:w="1699" w:type="pct"/>
            <w:gridSpan w:val="2"/>
            <w:shd w:val="clear" w:color="auto" w:fill="009999"/>
            <w:noWrap/>
            <w:vAlign w:val="bottom"/>
            <w:hideMark/>
          </w:tcPr>
          <w:p w14:paraId="7C458DFF" w14:textId="77777777" w:rsidR="001F27D2" w:rsidRPr="00C62A5F" w:rsidRDefault="001F27D2" w:rsidP="00C62A5F">
            <w:pPr>
              <w:spacing w:before="0" w:after="0"/>
              <w:jc w:val="center"/>
              <w:rPr>
                <w:rFonts w:asciiTheme="minorHAnsi" w:hAnsiTheme="minorHAnsi" w:cs="Calibri"/>
                <w:b/>
                <w:bCs/>
                <w:color w:val="FFFFFF" w:themeColor="background1"/>
                <w:sz w:val="22"/>
                <w:szCs w:val="22"/>
              </w:rPr>
            </w:pPr>
            <w:r w:rsidRPr="00C62A5F">
              <w:rPr>
                <w:rFonts w:asciiTheme="minorHAnsi" w:hAnsiTheme="minorHAnsi" w:cs="Calibri"/>
                <w:b/>
                <w:bCs/>
                <w:color w:val="FFFFFF" w:themeColor="background1"/>
                <w:sz w:val="22"/>
                <w:szCs w:val="22"/>
              </w:rPr>
              <w:t>Year</w:t>
            </w:r>
          </w:p>
        </w:tc>
        <w:tc>
          <w:tcPr>
            <w:tcW w:w="1177" w:type="pct"/>
            <w:vMerge w:val="restart"/>
            <w:shd w:val="clear" w:color="auto" w:fill="009999"/>
            <w:noWrap/>
            <w:vAlign w:val="bottom"/>
            <w:hideMark/>
          </w:tcPr>
          <w:p w14:paraId="1365796F" w14:textId="77777777" w:rsidR="001F27D2" w:rsidRPr="00C62A5F" w:rsidRDefault="001F27D2" w:rsidP="00C62A5F">
            <w:pPr>
              <w:spacing w:before="0" w:after="0"/>
              <w:jc w:val="center"/>
              <w:rPr>
                <w:rFonts w:asciiTheme="minorHAnsi" w:hAnsiTheme="minorHAnsi" w:cs="Calibri"/>
                <w:b/>
                <w:bCs/>
                <w:color w:val="FFFFFF" w:themeColor="background1"/>
                <w:sz w:val="22"/>
                <w:szCs w:val="22"/>
              </w:rPr>
            </w:pPr>
            <w:r w:rsidRPr="00C62A5F">
              <w:rPr>
                <w:rFonts w:asciiTheme="minorHAnsi" w:hAnsiTheme="minorHAnsi" w:cs="Calibri"/>
                <w:b/>
                <w:bCs/>
                <w:color w:val="FFFFFF" w:themeColor="background1"/>
                <w:sz w:val="22"/>
                <w:szCs w:val="22"/>
              </w:rPr>
              <w:t>Change in households</w:t>
            </w:r>
          </w:p>
          <w:p w14:paraId="36F04C4D" w14:textId="77777777" w:rsidR="001F27D2" w:rsidRPr="00C62A5F" w:rsidRDefault="001F27D2" w:rsidP="00C62A5F">
            <w:pPr>
              <w:spacing w:before="0" w:after="0"/>
              <w:jc w:val="center"/>
              <w:rPr>
                <w:rFonts w:asciiTheme="minorHAnsi" w:hAnsiTheme="minorHAnsi" w:cs="Calibri"/>
                <w:b/>
                <w:bCs/>
                <w:color w:val="FFFFFF" w:themeColor="background1"/>
                <w:sz w:val="22"/>
                <w:szCs w:val="22"/>
              </w:rPr>
            </w:pPr>
            <w:r w:rsidRPr="00C62A5F">
              <w:rPr>
                <w:rFonts w:asciiTheme="minorHAnsi" w:hAnsiTheme="minorHAnsi" w:cs="Calibri"/>
                <w:b/>
                <w:bCs/>
                <w:color w:val="FFFFFF" w:themeColor="background1"/>
                <w:sz w:val="22"/>
                <w:szCs w:val="22"/>
              </w:rPr>
              <w:t>2014-2032</w:t>
            </w:r>
          </w:p>
        </w:tc>
      </w:tr>
      <w:tr w:rsidR="001F27D2" w:rsidRPr="00C62A5F" w14:paraId="1B7515B0" w14:textId="77777777" w:rsidTr="001F27D2">
        <w:tc>
          <w:tcPr>
            <w:tcW w:w="728" w:type="pct"/>
            <w:vMerge/>
            <w:noWrap/>
            <w:hideMark/>
          </w:tcPr>
          <w:p w14:paraId="4D2BE6A5" w14:textId="77777777" w:rsidR="001F27D2" w:rsidRPr="00C62A5F" w:rsidRDefault="001F27D2" w:rsidP="00C62A5F">
            <w:pPr>
              <w:spacing w:before="0" w:after="0"/>
              <w:rPr>
                <w:rFonts w:asciiTheme="minorHAnsi" w:hAnsiTheme="minorHAnsi" w:cs="Calibri"/>
                <w:b/>
                <w:bCs/>
                <w:color w:val="000000"/>
                <w:sz w:val="22"/>
                <w:szCs w:val="22"/>
              </w:rPr>
            </w:pPr>
          </w:p>
        </w:tc>
        <w:tc>
          <w:tcPr>
            <w:tcW w:w="1396" w:type="pct"/>
            <w:vMerge/>
            <w:noWrap/>
            <w:hideMark/>
          </w:tcPr>
          <w:p w14:paraId="283C1DA9" w14:textId="77777777" w:rsidR="001F27D2" w:rsidRPr="00C62A5F" w:rsidRDefault="001F27D2" w:rsidP="00C62A5F">
            <w:pPr>
              <w:spacing w:before="0" w:after="0"/>
              <w:rPr>
                <w:rFonts w:asciiTheme="minorHAnsi" w:hAnsiTheme="minorHAnsi" w:cs="Calibri"/>
                <w:b/>
                <w:bCs/>
                <w:color w:val="000000"/>
                <w:sz w:val="22"/>
                <w:szCs w:val="22"/>
              </w:rPr>
            </w:pPr>
          </w:p>
        </w:tc>
        <w:tc>
          <w:tcPr>
            <w:tcW w:w="947" w:type="pct"/>
            <w:shd w:val="clear" w:color="auto" w:fill="009999"/>
            <w:noWrap/>
            <w:hideMark/>
          </w:tcPr>
          <w:p w14:paraId="254AAE71" w14:textId="77777777" w:rsidR="001F27D2" w:rsidRPr="00C62A5F" w:rsidRDefault="001F27D2" w:rsidP="00C62A5F">
            <w:pPr>
              <w:spacing w:before="0" w:after="0"/>
              <w:jc w:val="center"/>
              <w:rPr>
                <w:rFonts w:asciiTheme="minorHAnsi" w:hAnsiTheme="minorHAnsi" w:cs="Calibri"/>
                <w:bCs/>
                <w:color w:val="FFFFFF" w:themeColor="background1"/>
                <w:sz w:val="22"/>
                <w:szCs w:val="22"/>
              </w:rPr>
            </w:pPr>
            <w:r w:rsidRPr="00C62A5F">
              <w:rPr>
                <w:rFonts w:asciiTheme="minorHAnsi" w:hAnsiTheme="minorHAnsi" w:cs="Calibri"/>
                <w:bCs/>
                <w:color w:val="FFFFFF" w:themeColor="background1"/>
                <w:sz w:val="22"/>
                <w:szCs w:val="22"/>
              </w:rPr>
              <w:t>2014</w:t>
            </w:r>
          </w:p>
        </w:tc>
        <w:tc>
          <w:tcPr>
            <w:tcW w:w="752" w:type="pct"/>
            <w:shd w:val="clear" w:color="auto" w:fill="009999"/>
            <w:noWrap/>
            <w:hideMark/>
          </w:tcPr>
          <w:p w14:paraId="3D12FAEB" w14:textId="77777777" w:rsidR="001F27D2" w:rsidRPr="00C62A5F" w:rsidRDefault="001F27D2" w:rsidP="00C62A5F">
            <w:pPr>
              <w:spacing w:before="0" w:after="0"/>
              <w:jc w:val="center"/>
              <w:rPr>
                <w:rFonts w:asciiTheme="minorHAnsi" w:hAnsiTheme="minorHAnsi" w:cs="Calibri"/>
                <w:bCs/>
                <w:color w:val="FFFFFF" w:themeColor="background1"/>
                <w:sz w:val="22"/>
                <w:szCs w:val="22"/>
              </w:rPr>
            </w:pPr>
            <w:r w:rsidRPr="00C62A5F">
              <w:rPr>
                <w:rFonts w:asciiTheme="minorHAnsi" w:hAnsiTheme="minorHAnsi" w:cs="Calibri"/>
                <w:bCs/>
                <w:color w:val="FFFFFF" w:themeColor="background1"/>
                <w:sz w:val="22"/>
                <w:szCs w:val="22"/>
              </w:rPr>
              <w:t>2032</w:t>
            </w:r>
          </w:p>
        </w:tc>
        <w:tc>
          <w:tcPr>
            <w:tcW w:w="1177" w:type="pct"/>
            <w:vMerge/>
            <w:hideMark/>
          </w:tcPr>
          <w:p w14:paraId="1C30E95B" w14:textId="77777777" w:rsidR="001F27D2" w:rsidRPr="00C62A5F" w:rsidRDefault="001F27D2" w:rsidP="00C62A5F">
            <w:pPr>
              <w:spacing w:before="0" w:after="0"/>
              <w:jc w:val="center"/>
              <w:rPr>
                <w:rFonts w:asciiTheme="minorHAnsi" w:hAnsiTheme="minorHAnsi" w:cs="Calibri"/>
                <w:b/>
                <w:bCs/>
                <w:color w:val="000000"/>
                <w:sz w:val="22"/>
                <w:szCs w:val="22"/>
              </w:rPr>
            </w:pPr>
          </w:p>
        </w:tc>
      </w:tr>
      <w:tr w:rsidR="001F27D2" w:rsidRPr="00C62A5F" w14:paraId="00F4F455" w14:textId="77777777" w:rsidTr="001F27D2">
        <w:tc>
          <w:tcPr>
            <w:tcW w:w="728" w:type="pct"/>
            <w:vMerge w:val="restart"/>
            <w:noWrap/>
            <w:hideMark/>
          </w:tcPr>
          <w:p w14:paraId="75CDBB4E" w14:textId="77777777" w:rsidR="001F27D2" w:rsidRPr="00C62A5F" w:rsidRDefault="001F27D2" w:rsidP="001F27D2">
            <w:pPr>
              <w:spacing w:before="0" w:after="0"/>
              <w:jc w:val="center"/>
              <w:rPr>
                <w:rFonts w:asciiTheme="minorHAnsi" w:hAnsiTheme="minorHAnsi" w:cs="Calibri"/>
                <w:b/>
                <w:color w:val="000000"/>
                <w:sz w:val="22"/>
                <w:szCs w:val="22"/>
              </w:rPr>
            </w:pPr>
            <w:r w:rsidRPr="00C62A5F">
              <w:rPr>
                <w:rFonts w:asciiTheme="minorHAnsi" w:hAnsiTheme="minorHAnsi" w:cs="Calibri"/>
                <w:b/>
                <w:color w:val="000000"/>
                <w:sz w:val="22"/>
                <w:szCs w:val="22"/>
              </w:rPr>
              <w:t>ALL</w:t>
            </w:r>
          </w:p>
        </w:tc>
        <w:tc>
          <w:tcPr>
            <w:tcW w:w="1396" w:type="pct"/>
            <w:noWrap/>
            <w:hideMark/>
          </w:tcPr>
          <w:p w14:paraId="70978C47" w14:textId="77777777" w:rsidR="001F27D2" w:rsidRPr="00C62A5F" w:rsidRDefault="001F27D2" w:rsidP="001F27D2">
            <w:pPr>
              <w:spacing w:before="0" w:after="0"/>
              <w:rPr>
                <w:rFonts w:asciiTheme="minorHAnsi" w:hAnsiTheme="minorHAnsi" w:cs="Calibri"/>
                <w:color w:val="000000"/>
                <w:sz w:val="22"/>
                <w:szCs w:val="22"/>
              </w:rPr>
            </w:pPr>
            <w:r w:rsidRPr="00C62A5F">
              <w:rPr>
                <w:rFonts w:asciiTheme="minorHAnsi" w:hAnsiTheme="minorHAnsi" w:cs="Calibri"/>
                <w:color w:val="000000"/>
                <w:sz w:val="22"/>
                <w:szCs w:val="22"/>
              </w:rPr>
              <w:t>One Person</w:t>
            </w:r>
          </w:p>
        </w:tc>
        <w:tc>
          <w:tcPr>
            <w:tcW w:w="947" w:type="pct"/>
            <w:noWrap/>
            <w:vAlign w:val="bottom"/>
          </w:tcPr>
          <w:p w14:paraId="00ED8432" w14:textId="77777777" w:rsidR="001F27D2" w:rsidRPr="00C62A5F" w:rsidRDefault="001F27D2" w:rsidP="001F27D2">
            <w:pPr>
              <w:spacing w:before="0" w:after="0"/>
              <w:jc w:val="center"/>
              <w:rPr>
                <w:rFonts w:asciiTheme="minorHAnsi" w:hAnsiTheme="minorHAnsi" w:cs="Calibri"/>
                <w:color w:val="000000"/>
                <w:sz w:val="22"/>
                <w:szCs w:val="22"/>
              </w:rPr>
            </w:pPr>
            <w:r w:rsidRPr="00C62A5F">
              <w:rPr>
                <w:rFonts w:asciiTheme="minorHAnsi" w:hAnsiTheme="minorHAnsi"/>
                <w:color w:val="000000"/>
                <w:sz w:val="22"/>
                <w:szCs w:val="22"/>
              </w:rPr>
              <w:t>7,179</w:t>
            </w:r>
          </w:p>
        </w:tc>
        <w:tc>
          <w:tcPr>
            <w:tcW w:w="752" w:type="pct"/>
            <w:noWrap/>
            <w:vAlign w:val="bottom"/>
          </w:tcPr>
          <w:p w14:paraId="32F52424" w14:textId="77777777" w:rsidR="001F27D2" w:rsidRPr="00C62A5F" w:rsidRDefault="001F27D2" w:rsidP="001F27D2">
            <w:pPr>
              <w:spacing w:before="0" w:after="0"/>
              <w:jc w:val="center"/>
              <w:rPr>
                <w:rFonts w:asciiTheme="minorHAnsi" w:hAnsiTheme="minorHAnsi" w:cs="Calibri"/>
                <w:color w:val="000000"/>
                <w:sz w:val="22"/>
                <w:szCs w:val="22"/>
              </w:rPr>
            </w:pPr>
            <w:r w:rsidRPr="00C62A5F">
              <w:rPr>
                <w:rFonts w:asciiTheme="minorHAnsi" w:hAnsiTheme="minorHAnsi"/>
                <w:color w:val="000000"/>
                <w:sz w:val="22"/>
                <w:szCs w:val="22"/>
              </w:rPr>
              <w:t>8,043</w:t>
            </w:r>
          </w:p>
        </w:tc>
        <w:tc>
          <w:tcPr>
            <w:tcW w:w="1177" w:type="pct"/>
            <w:noWrap/>
            <w:vAlign w:val="bottom"/>
          </w:tcPr>
          <w:p w14:paraId="017858D7" w14:textId="77777777" w:rsidR="001F27D2" w:rsidRPr="00C62A5F" w:rsidRDefault="001F27D2" w:rsidP="001F27D2">
            <w:pPr>
              <w:spacing w:before="0" w:after="0"/>
              <w:jc w:val="center"/>
              <w:rPr>
                <w:rFonts w:asciiTheme="minorHAnsi" w:hAnsiTheme="minorHAnsi" w:cs="Calibri"/>
                <w:color w:val="000000"/>
                <w:sz w:val="22"/>
                <w:szCs w:val="22"/>
              </w:rPr>
            </w:pPr>
            <w:r w:rsidRPr="00C62A5F">
              <w:rPr>
                <w:rFonts w:asciiTheme="minorHAnsi" w:hAnsiTheme="minorHAnsi"/>
                <w:color w:val="000000"/>
                <w:sz w:val="22"/>
                <w:szCs w:val="22"/>
              </w:rPr>
              <w:t>864</w:t>
            </w:r>
          </w:p>
        </w:tc>
      </w:tr>
      <w:tr w:rsidR="001F27D2" w:rsidRPr="00C62A5F" w14:paraId="2E9A0936" w14:textId="77777777" w:rsidTr="001F27D2">
        <w:tc>
          <w:tcPr>
            <w:tcW w:w="728" w:type="pct"/>
            <w:vMerge/>
            <w:noWrap/>
            <w:hideMark/>
          </w:tcPr>
          <w:p w14:paraId="504E0FE6" w14:textId="77777777" w:rsidR="001F27D2" w:rsidRPr="00C62A5F" w:rsidRDefault="001F27D2" w:rsidP="001F27D2">
            <w:pPr>
              <w:spacing w:before="0" w:after="0"/>
              <w:jc w:val="center"/>
              <w:rPr>
                <w:rFonts w:asciiTheme="minorHAnsi" w:hAnsiTheme="minorHAnsi" w:cs="Calibri"/>
                <w:b/>
                <w:color w:val="000000"/>
                <w:sz w:val="22"/>
                <w:szCs w:val="22"/>
              </w:rPr>
            </w:pPr>
          </w:p>
        </w:tc>
        <w:tc>
          <w:tcPr>
            <w:tcW w:w="1396" w:type="pct"/>
            <w:noWrap/>
            <w:hideMark/>
          </w:tcPr>
          <w:p w14:paraId="5DC4BBEC" w14:textId="77777777" w:rsidR="001F27D2" w:rsidRPr="00C62A5F" w:rsidRDefault="001F27D2" w:rsidP="001F27D2">
            <w:pPr>
              <w:spacing w:before="0" w:after="0"/>
              <w:rPr>
                <w:rFonts w:asciiTheme="minorHAnsi" w:hAnsiTheme="minorHAnsi" w:cs="Calibri"/>
                <w:color w:val="000000"/>
                <w:sz w:val="22"/>
                <w:szCs w:val="22"/>
              </w:rPr>
            </w:pPr>
            <w:r w:rsidRPr="00C62A5F">
              <w:rPr>
                <w:rFonts w:asciiTheme="minorHAnsi" w:hAnsiTheme="minorHAnsi" w:cs="Calibri"/>
                <w:color w:val="000000"/>
                <w:sz w:val="22"/>
                <w:szCs w:val="22"/>
              </w:rPr>
              <w:t>Couple only</w:t>
            </w:r>
          </w:p>
        </w:tc>
        <w:tc>
          <w:tcPr>
            <w:tcW w:w="947" w:type="pct"/>
            <w:noWrap/>
            <w:vAlign w:val="bottom"/>
          </w:tcPr>
          <w:p w14:paraId="5F6A3FF9" w14:textId="77777777" w:rsidR="001F27D2" w:rsidRPr="00C62A5F" w:rsidRDefault="001F27D2" w:rsidP="001F27D2">
            <w:pPr>
              <w:spacing w:before="0" w:after="0"/>
              <w:jc w:val="center"/>
              <w:rPr>
                <w:rFonts w:asciiTheme="minorHAnsi" w:hAnsiTheme="minorHAnsi" w:cs="Calibri"/>
                <w:color w:val="000000"/>
                <w:sz w:val="22"/>
                <w:szCs w:val="22"/>
              </w:rPr>
            </w:pPr>
            <w:r w:rsidRPr="00C62A5F">
              <w:rPr>
                <w:rFonts w:asciiTheme="minorHAnsi" w:hAnsiTheme="minorHAnsi"/>
                <w:color w:val="000000"/>
                <w:sz w:val="22"/>
                <w:szCs w:val="22"/>
              </w:rPr>
              <w:t>7,822</w:t>
            </w:r>
          </w:p>
        </w:tc>
        <w:tc>
          <w:tcPr>
            <w:tcW w:w="752" w:type="pct"/>
            <w:noWrap/>
            <w:vAlign w:val="bottom"/>
          </w:tcPr>
          <w:p w14:paraId="0A251B3C" w14:textId="77777777" w:rsidR="001F27D2" w:rsidRPr="00C62A5F" w:rsidRDefault="001F27D2" w:rsidP="001F27D2">
            <w:pPr>
              <w:spacing w:before="0" w:after="0"/>
              <w:jc w:val="center"/>
              <w:rPr>
                <w:rFonts w:asciiTheme="minorHAnsi" w:hAnsiTheme="minorHAnsi" w:cs="Calibri"/>
                <w:color w:val="000000"/>
                <w:sz w:val="22"/>
                <w:szCs w:val="22"/>
              </w:rPr>
            </w:pPr>
            <w:r w:rsidRPr="00C62A5F">
              <w:rPr>
                <w:rFonts w:asciiTheme="minorHAnsi" w:hAnsiTheme="minorHAnsi"/>
                <w:color w:val="000000"/>
                <w:sz w:val="22"/>
                <w:szCs w:val="22"/>
              </w:rPr>
              <w:t>8,802</w:t>
            </w:r>
          </w:p>
        </w:tc>
        <w:tc>
          <w:tcPr>
            <w:tcW w:w="1177" w:type="pct"/>
            <w:noWrap/>
            <w:vAlign w:val="bottom"/>
          </w:tcPr>
          <w:p w14:paraId="4C92963A" w14:textId="77777777" w:rsidR="001F27D2" w:rsidRPr="00C62A5F" w:rsidRDefault="001F27D2" w:rsidP="001F27D2">
            <w:pPr>
              <w:spacing w:before="0" w:after="0"/>
              <w:jc w:val="center"/>
              <w:rPr>
                <w:rFonts w:asciiTheme="minorHAnsi" w:hAnsiTheme="minorHAnsi" w:cs="Calibri"/>
                <w:color w:val="000000"/>
                <w:sz w:val="22"/>
                <w:szCs w:val="22"/>
              </w:rPr>
            </w:pPr>
            <w:r w:rsidRPr="00C62A5F">
              <w:rPr>
                <w:rFonts w:asciiTheme="minorHAnsi" w:hAnsiTheme="minorHAnsi"/>
                <w:color w:val="000000"/>
                <w:sz w:val="22"/>
                <w:szCs w:val="22"/>
              </w:rPr>
              <w:t>980</w:t>
            </w:r>
          </w:p>
        </w:tc>
      </w:tr>
      <w:tr w:rsidR="001F27D2" w:rsidRPr="00C62A5F" w14:paraId="197B379F" w14:textId="77777777" w:rsidTr="001F27D2">
        <w:tc>
          <w:tcPr>
            <w:tcW w:w="728" w:type="pct"/>
            <w:vMerge/>
            <w:noWrap/>
            <w:hideMark/>
          </w:tcPr>
          <w:p w14:paraId="666023CC" w14:textId="77777777" w:rsidR="001F27D2" w:rsidRPr="00C62A5F" w:rsidRDefault="001F27D2" w:rsidP="001F27D2">
            <w:pPr>
              <w:spacing w:before="0" w:after="0"/>
              <w:jc w:val="center"/>
              <w:rPr>
                <w:rFonts w:asciiTheme="minorHAnsi" w:hAnsiTheme="minorHAnsi" w:cs="Calibri"/>
                <w:b/>
                <w:color w:val="000000"/>
                <w:sz w:val="22"/>
                <w:szCs w:val="22"/>
              </w:rPr>
            </w:pPr>
          </w:p>
        </w:tc>
        <w:tc>
          <w:tcPr>
            <w:tcW w:w="1396" w:type="pct"/>
            <w:noWrap/>
            <w:hideMark/>
          </w:tcPr>
          <w:p w14:paraId="114A3862" w14:textId="77777777" w:rsidR="001F27D2" w:rsidRPr="00C62A5F" w:rsidRDefault="001F27D2" w:rsidP="001F27D2">
            <w:pPr>
              <w:spacing w:before="0" w:after="0"/>
              <w:rPr>
                <w:rFonts w:asciiTheme="minorHAnsi" w:hAnsiTheme="minorHAnsi" w:cs="Calibri"/>
                <w:color w:val="000000"/>
                <w:sz w:val="22"/>
                <w:szCs w:val="22"/>
              </w:rPr>
            </w:pPr>
            <w:r w:rsidRPr="00C62A5F">
              <w:rPr>
                <w:rFonts w:asciiTheme="minorHAnsi" w:hAnsiTheme="minorHAnsi" w:cs="Calibri"/>
                <w:color w:val="000000"/>
                <w:sz w:val="22"/>
                <w:szCs w:val="22"/>
              </w:rPr>
              <w:t>HH with 1/2 children</w:t>
            </w:r>
          </w:p>
        </w:tc>
        <w:tc>
          <w:tcPr>
            <w:tcW w:w="947" w:type="pct"/>
            <w:noWrap/>
            <w:vAlign w:val="bottom"/>
          </w:tcPr>
          <w:p w14:paraId="6761B0F6" w14:textId="77777777" w:rsidR="001F27D2" w:rsidRPr="00C62A5F" w:rsidRDefault="001F27D2" w:rsidP="001F27D2">
            <w:pPr>
              <w:spacing w:before="0" w:after="0"/>
              <w:jc w:val="center"/>
              <w:rPr>
                <w:rFonts w:asciiTheme="minorHAnsi" w:hAnsiTheme="minorHAnsi" w:cs="Calibri"/>
                <w:color w:val="000000"/>
                <w:sz w:val="22"/>
                <w:szCs w:val="22"/>
              </w:rPr>
            </w:pPr>
            <w:r w:rsidRPr="00C62A5F">
              <w:rPr>
                <w:rFonts w:asciiTheme="minorHAnsi" w:hAnsiTheme="minorHAnsi"/>
                <w:color w:val="000000"/>
                <w:sz w:val="22"/>
                <w:szCs w:val="22"/>
              </w:rPr>
              <w:t>4,650</w:t>
            </w:r>
          </w:p>
        </w:tc>
        <w:tc>
          <w:tcPr>
            <w:tcW w:w="752" w:type="pct"/>
            <w:noWrap/>
            <w:vAlign w:val="bottom"/>
          </w:tcPr>
          <w:p w14:paraId="29CEB166" w14:textId="77777777" w:rsidR="001F27D2" w:rsidRPr="00C62A5F" w:rsidRDefault="001F27D2" w:rsidP="001F27D2">
            <w:pPr>
              <w:spacing w:before="0" w:after="0"/>
              <w:jc w:val="center"/>
              <w:rPr>
                <w:rFonts w:asciiTheme="minorHAnsi" w:hAnsiTheme="minorHAnsi" w:cs="Calibri"/>
                <w:color w:val="000000"/>
                <w:sz w:val="22"/>
                <w:szCs w:val="22"/>
              </w:rPr>
            </w:pPr>
            <w:r w:rsidRPr="00C62A5F">
              <w:rPr>
                <w:rFonts w:asciiTheme="minorHAnsi" w:hAnsiTheme="minorHAnsi"/>
                <w:color w:val="000000"/>
                <w:sz w:val="22"/>
                <w:szCs w:val="22"/>
              </w:rPr>
              <w:t>4,351</w:t>
            </w:r>
          </w:p>
        </w:tc>
        <w:tc>
          <w:tcPr>
            <w:tcW w:w="1177" w:type="pct"/>
            <w:noWrap/>
            <w:vAlign w:val="bottom"/>
          </w:tcPr>
          <w:p w14:paraId="79785C56" w14:textId="77777777" w:rsidR="001F27D2" w:rsidRPr="00C62A5F" w:rsidRDefault="001F27D2" w:rsidP="001F27D2">
            <w:pPr>
              <w:spacing w:before="0" w:after="0"/>
              <w:jc w:val="center"/>
              <w:rPr>
                <w:rFonts w:asciiTheme="minorHAnsi" w:hAnsiTheme="minorHAnsi" w:cs="Calibri"/>
                <w:color w:val="000000"/>
                <w:sz w:val="22"/>
                <w:szCs w:val="22"/>
              </w:rPr>
            </w:pPr>
            <w:r w:rsidRPr="00C62A5F">
              <w:rPr>
                <w:rFonts w:asciiTheme="minorHAnsi" w:hAnsiTheme="minorHAnsi"/>
                <w:color w:val="000000"/>
                <w:sz w:val="22"/>
                <w:szCs w:val="22"/>
              </w:rPr>
              <w:t>-299</w:t>
            </w:r>
          </w:p>
        </w:tc>
      </w:tr>
      <w:tr w:rsidR="001F27D2" w:rsidRPr="00C62A5F" w14:paraId="5C43FC2B" w14:textId="77777777" w:rsidTr="001F27D2">
        <w:tc>
          <w:tcPr>
            <w:tcW w:w="728" w:type="pct"/>
            <w:vMerge/>
            <w:noWrap/>
            <w:hideMark/>
          </w:tcPr>
          <w:p w14:paraId="2711834A" w14:textId="77777777" w:rsidR="001F27D2" w:rsidRPr="00C62A5F" w:rsidRDefault="001F27D2" w:rsidP="001F27D2">
            <w:pPr>
              <w:spacing w:before="0" w:after="0"/>
              <w:jc w:val="center"/>
              <w:rPr>
                <w:rFonts w:asciiTheme="minorHAnsi" w:hAnsiTheme="minorHAnsi" w:cs="Calibri"/>
                <w:b/>
                <w:color w:val="000000"/>
                <w:sz w:val="22"/>
                <w:szCs w:val="22"/>
              </w:rPr>
            </w:pPr>
          </w:p>
        </w:tc>
        <w:tc>
          <w:tcPr>
            <w:tcW w:w="1396" w:type="pct"/>
            <w:noWrap/>
            <w:hideMark/>
          </w:tcPr>
          <w:p w14:paraId="65E66E05" w14:textId="77777777" w:rsidR="001F27D2" w:rsidRPr="00C62A5F" w:rsidRDefault="001F27D2" w:rsidP="001F27D2">
            <w:pPr>
              <w:spacing w:before="0" w:after="0"/>
              <w:rPr>
                <w:rFonts w:asciiTheme="minorHAnsi" w:hAnsiTheme="minorHAnsi" w:cs="Calibri"/>
                <w:color w:val="000000"/>
                <w:sz w:val="22"/>
                <w:szCs w:val="22"/>
              </w:rPr>
            </w:pPr>
            <w:r w:rsidRPr="00C62A5F">
              <w:rPr>
                <w:rFonts w:asciiTheme="minorHAnsi" w:hAnsiTheme="minorHAnsi" w:cs="Calibri"/>
                <w:color w:val="000000"/>
                <w:sz w:val="22"/>
                <w:szCs w:val="22"/>
              </w:rPr>
              <w:t>HH with 3 children</w:t>
            </w:r>
          </w:p>
        </w:tc>
        <w:tc>
          <w:tcPr>
            <w:tcW w:w="947" w:type="pct"/>
            <w:noWrap/>
            <w:vAlign w:val="bottom"/>
          </w:tcPr>
          <w:p w14:paraId="5417A23D" w14:textId="77777777" w:rsidR="001F27D2" w:rsidRPr="00C62A5F" w:rsidRDefault="001F27D2" w:rsidP="001F27D2">
            <w:pPr>
              <w:spacing w:before="0" w:after="0"/>
              <w:jc w:val="center"/>
              <w:rPr>
                <w:rFonts w:asciiTheme="minorHAnsi" w:hAnsiTheme="minorHAnsi" w:cs="Calibri"/>
                <w:color w:val="000000"/>
                <w:sz w:val="22"/>
                <w:szCs w:val="22"/>
              </w:rPr>
            </w:pPr>
            <w:r w:rsidRPr="00C62A5F">
              <w:rPr>
                <w:rFonts w:asciiTheme="minorHAnsi" w:hAnsiTheme="minorHAnsi"/>
                <w:color w:val="000000"/>
                <w:sz w:val="22"/>
                <w:szCs w:val="22"/>
              </w:rPr>
              <w:t>744</w:t>
            </w:r>
          </w:p>
        </w:tc>
        <w:tc>
          <w:tcPr>
            <w:tcW w:w="752" w:type="pct"/>
            <w:noWrap/>
            <w:vAlign w:val="bottom"/>
          </w:tcPr>
          <w:p w14:paraId="29B7D1A2" w14:textId="77777777" w:rsidR="001F27D2" w:rsidRPr="00C62A5F" w:rsidRDefault="001F27D2" w:rsidP="001F27D2">
            <w:pPr>
              <w:spacing w:before="0" w:after="0"/>
              <w:jc w:val="center"/>
              <w:rPr>
                <w:rFonts w:asciiTheme="minorHAnsi" w:hAnsiTheme="minorHAnsi" w:cs="Calibri"/>
                <w:color w:val="000000"/>
                <w:sz w:val="22"/>
                <w:szCs w:val="22"/>
              </w:rPr>
            </w:pPr>
            <w:r w:rsidRPr="00C62A5F">
              <w:rPr>
                <w:rFonts w:asciiTheme="minorHAnsi" w:hAnsiTheme="minorHAnsi"/>
                <w:color w:val="000000"/>
                <w:sz w:val="22"/>
                <w:szCs w:val="22"/>
              </w:rPr>
              <w:t>681</w:t>
            </w:r>
          </w:p>
        </w:tc>
        <w:tc>
          <w:tcPr>
            <w:tcW w:w="1177" w:type="pct"/>
            <w:noWrap/>
            <w:vAlign w:val="bottom"/>
          </w:tcPr>
          <w:p w14:paraId="0BF1F4AB" w14:textId="77777777" w:rsidR="001F27D2" w:rsidRPr="00C62A5F" w:rsidRDefault="001F27D2" w:rsidP="001F27D2">
            <w:pPr>
              <w:spacing w:before="0" w:after="0"/>
              <w:jc w:val="center"/>
              <w:rPr>
                <w:rFonts w:asciiTheme="minorHAnsi" w:hAnsiTheme="minorHAnsi" w:cs="Calibri"/>
                <w:color w:val="000000"/>
                <w:sz w:val="22"/>
                <w:szCs w:val="22"/>
              </w:rPr>
            </w:pPr>
            <w:r w:rsidRPr="00C62A5F">
              <w:rPr>
                <w:rFonts w:asciiTheme="minorHAnsi" w:hAnsiTheme="minorHAnsi"/>
                <w:color w:val="000000"/>
                <w:sz w:val="22"/>
                <w:szCs w:val="22"/>
              </w:rPr>
              <w:t>-63</w:t>
            </w:r>
          </w:p>
        </w:tc>
      </w:tr>
      <w:tr w:rsidR="001F27D2" w:rsidRPr="00C62A5F" w14:paraId="3857B980" w14:textId="77777777" w:rsidTr="001F27D2">
        <w:tc>
          <w:tcPr>
            <w:tcW w:w="728" w:type="pct"/>
            <w:vMerge/>
            <w:noWrap/>
            <w:hideMark/>
          </w:tcPr>
          <w:p w14:paraId="372DD25E" w14:textId="77777777" w:rsidR="001F27D2" w:rsidRPr="00C62A5F" w:rsidRDefault="001F27D2" w:rsidP="001F27D2">
            <w:pPr>
              <w:spacing w:before="0" w:after="0"/>
              <w:jc w:val="center"/>
              <w:rPr>
                <w:rFonts w:asciiTheme="minorHAnsi" w:hAnsiTheme="minorHAnsi" w:cs="Calibri"/>
                <w:b/>
                <w:color w:val="000000"/>
                <w:sz w:val="22"/>
                <w:szCs w:val="22"/>
              </w:rPr>
            </w:pPr>
          </w:p>
        </w:tc>
        <w:tc>
          <w:tcPr>
            <w:tcW w:w="1396" w:type="pct"/>
            <w:noWrap/>
            <w:hideMark/>
          </w:tcPr>
          <w:p w14:paraId="73EC2455" w14:textId="77777777" w:rsidR="001F27D2" w:rsidRPr="00C62A5F" w:rsidRDefault="001F27D2" w:rsidP="001F27D2">
            <w:pPr>
              <w:spacing w:before="0" w:after="0"/>
              <w:rPr>
                <w:rFonts w:asciiTheme="minorHAnsi" w:hAnsiTheme="minorHAnsi" w:cs="Calibri"/>
                <w:color w:val="000000"/>
                <w:sz w:val="22"/>
                <w:szCs w:val="22"/>
              </w:rPr>
            </w:pPr>
            <w:r w:rsidRPr="00C62A5F">
              <w:rPr>
                <w:rFonts w:asciiTheme="minorHAnsi" w:hAnsiTheme="minorHAnsi" w:cs="Calibri"/>
                <w:color w:val="000000"/>
                <w:sz w:val="22"/>
                <w:szCs w:val="22"/>
              </w:rPr>
              <w:t>Other Multi-person</w:t>
            </w:r>
          </w:p>
        </w:tc>
        <w:tc>
          <w:tcPr>
            <w:tcW w:w="947" w:type="pct"/>
            <w:noWrap/>
            <w:vAlign w:val="bottom"/>
          </w:tcPr>
          <w:p w14:paraId="453AB5F5" w14:textId="77777777" w:rsidR="001F27D2" w:rsidRPr="00C62A5F" w:rsidRDefault="001F27D2" w:rsidP="001F27D2">
            <w:pPr>
              <w:spacing w:before="0" w:after="0"/>
              <w:jc w:val="center"/>
              <w:rPr>
                <w:rFonts w:asciiTheme="minorHAnsi" w:hAnsiTheme="minorHAnsi" w:cs="Calibri"/>
                <w:color w:val="000000"/>
                <w:sz w:val="22"/>
                <w:szCs w:val="22"/>
              </w:rPr>
            </w:pPr>
            <w:r w:rsidRPr="00C62A5F">
              <w:rPr>
                <w:rFonts w:asciiTheme="minorHAnsi" w:hAnsiTheme="minorHAnsi"/>
                <w:color w:val="000000"/>
                <w:sz w:val="22"/>
                <w:szCs w:val="22"/>
              </w:rPr>
              <w:t>2,897</w:t>
            </w:r>
          </w:p>
        </w:tc>
        <w:tc>
          <w:tcPr>
            <w:tcW w:w="752" w:type="pct"/>
            <w:noWrap/>
            <w:vAlign w:val="bottom"/>
          </w:tcPr>
          <w:p w14:paraId="78635330" w14:textId="77777777" w:rsidR="001F27D2" w:rsidRPr="00C62A5F" w:rsidRDefault="001F27D2" w:rsidP="001F27D2">
            <w:pPr>
              <w:spacing w:before="0" w:after="0"/>
              <w:jc w:val="center"/>
              <w:rPr>
                <w:rFonts w:asciiTheme="minorHAnsi" w:hAnsiTheme="minorHAnsi" w:cs="Calibri"/>
                <w:color w:val="000000"/>
                <w:sz w:val="22"/>
                <w:szCs w:val="22"/>
              </w:rPr>
            </w:pPr>
            <w:r w:rsidRPr="00C62A5F">
              <w:rPr>
                <w:rFonts w:asciiTheme="minorHAnsi" w:hAnsiTheme="minorHAnsi"/>
                <w:color w:val="000000"/>
                <w:sz w:val="22"/>
                <w:szCs w:val="22"/>
              </w:rPr>
              <w:t>2,809</w:t>
            </w:r>
          </w:p>
        </w:tc>
        <w:tc>
          <w:tcPr>
            <w:tcW w:w="1177" w:type="pct"/>
            <w:noWrap/>
            <w:vAlign w:val="bottom"/>
          </w:tcPr>
          <w:p w14:paraId="157B5AD1" w14:textId="77777777" w:rsidR="001F27D2" w:rsidRPr="00C62A5F" w:rsidRDefault="001F27D2" w:rsidP="001F27D2">
            <w:pPr>
              <w:spacing w:before="0" w:after="0"/>
              <w:jc w:val="center"/>
              <w:rPr>
                <w:rFonts w:asciiTheme="minorHAnsi" w:hAnsiTheme="minorHAnsi" w:cs="Calibri"/>
                <w:color w:val="000000"/>
                <w:sz w:val="22"/>
                <w:szCs w:val="22"/>
              </w:rPr>
            </w:pPr>
            <w:r w:rsidRPr="00C62A5F">
              <w:rPr>
                <w:rFonts w:asciiTheme="minorHAnsi" w:hAnsiTheme="minorHAnsi"/>
                <w:color w:val="000000"/>
                <w:sz w:val="22"/>
                <w:szCs w:val="22"/>
              </w:rPr>
              <w:t>-88</w:t>
            </w:r>
          </w:p>
        </w:tc>
      </w:tr>
      <w:tr w:rsidR="001F27D2" w:rsidRPr="00C62A5F" w14:paraId="442FA5C7" w14:textId="77777777" w:rsidTr="001F27D2">
        <w:tc>
          <w:tcPr>
            <w:tcW w:w="728" w:type="pct"/>
            <w:vMerge/>
            <w:noWrap/>
            <w:hideMark/>
          </w:tcPr>
          <w:p w14:paraId="18743879" w14:textId="77777777" w:rsidR="001F27D2" w:rsidRPr="00C62A5F" w:rsidRDefault="001F27D2" w:rsidP="001F27D2">
            <w:pPr>
              <w:spacing w:before="0" w:after="0"/>
              <w:jc w:val="center"/>
              <w:rPr>
                <w:rFonts w:asciiTheme="minorHAnsi" w:hAnsiTheme="minorHAnsi" w:cs="Calibri"/>
                <w:b/>
                <w:color w:val="000000"/>
                <w:sz w:val="22"/>
                <w:szCs w:val="22"/>
              </w:rPr>
            </w:pPr>
          </w:p>
        </w:tc>
        <w:tc>
          <w:tcPr>
            <w:tcW w:w="1396" w:type="pct"/>
            <w:noWrap/>
            <w:hideMark/>
          </w:tcPr>
          <w:p w14:paraId="3DA72CAF" w14:textId="77777777" w:rsidR="001F27D2" w:rsidRPr="00C62A5F" w:rsidRDefault="001F27D2" w:rsidP="001F27D2">
            <w:pPr>
              <w:spacing w:before="0" w:after="0"/>
              <w:rPr>
                <w:rFonts w:asciiTheme="minorHAnsi" w:hAnsiTheme="minorHAnsi" w:cs="Calibri"/>
                <w:b/>
                <w:color w:val="000000"/>
                <w:sz w:val="22"/>
                <w:szCs w:val="22"/>
              </w:rPr>
            </w:pPr>
            <w:r w:rsidRPr="00C62A5F">
              <w:rPr>
                <w:rFonts w:asciiTheme="minorHAnsi" w:hAnsiTheme="minorHAnsi" w:cs="Calibri"/>
                <w:b/>
                <w:color w:val="000000"/>
                <w:sz w:val="22"/>
                <w:szCs w:val="22"/>
              </w:rPr>
              <w:t>Total</w:t>
            </w:r>
          </w:p>
        </w:tc>
        <w:tc>
          <w:tcPr>
            <w:tcW w:w="947" w:type="pct"/>
            <w:noWrap/>
            <w:vAlign w:val="bottom"/>
          </w:tcPr>
          <w:p w14:paraId="516A0E4A" w14:textId="77777777" w:rsidR="001F27D2" w:rsidRPr="00C62A5F" w:rsidRDefault="001F27D2" w:rsidP="001F27D2">
            <w:pPr>
              <w:spacing w:before="0" w:after="0"/>
              <w:jc w:val="center"/>
              <w:rPr>
                <w:rFonts w:asciiTheme="minorHAnsi" w:hAnsiTheme="minorHAnsi" w:cs="Calibri"/>
                <w:color w:val="000000"/>
                <w:sz w:val="22"/>
                <w:szCs w:val="22"/>
              </w:rPr>
            </w:pPr>
            <w:r w:rsidRPr="00C62A5F">
              <w:rPr>
                <w:rFonts w:asciiTheme="minorHAnsi" w:hAnsiTheme="minorHAnsi"/>
                <w:color w:val="000000"/>
                <w:sz w:val="22"/>
                <w:szCs w:val="22"/>
              </w:rPr>
              <w:t>23,292</w:t>
            </w:r>
          </w:p>
        </w:tc>
        <w:tc>
          <w:tcPr>
            <w:tcW w:w="752" w:type="pct"/>
            <w:noWrap/>
            <w:vAlign w:val="bottom"/>
          </w:tcPr>
          <w:p w14:paraId="6CB3091E" w14:textId="77777777" w:rsidR="001F27D2" w:rsidRPr="00C62A5F" w:rsidRDefault="001F27D2" w:rsidP="001F27D2">
            <w:pPr>
              <w:spacing w:before="0" w:after="0"/>
              <w:jc w:val="center"/>
              <w:rPr>
                <w:rFonts w:asciiTheme="minorHAnsi" w:hAnsiTheme="minorHAnsi" w:cs="Calibri"/>
                <w:color w:val="000000"/>
                <w:sz w:val="22"/>
                <w:szCs w:val="22"/>
              </w:rPr>
            </w:pPr>
            <w:r w:rsidRPr="00C62A5F">
              <w:rPr>
                <w:rFonts w:asciiTheme="minorHAnsi" w:hAnsiTheme="minorHAnsi"/>
                <w:color w:val="000000"/>
                <w:sz w:val="22"/>
                <w:szCs w:val="22"/>
              </w:rPr>
              <w:t>24,686</w:t>
            </w:r>
          </w:p>
        </w:tc>
        <w:tc>
          <w:tcPr>
            <w:tcW w:w="1177" w:type="pct"/>
            <w:noWrap/>
            <w:vAlign w:val="bottom"/>
          </w:tcPr>
          <w:p w14:paraId="2B71B4BE" w14:textId="77777777" w:rsidR="001F27D2" w:rsidRPr="00C62A5F" w:rsidRDefault="001F27D2" w:rsidP="001F27D2">
            <w:pPr>
              <w:spacing w:before="0" w:after="0"/>
              <w:jc w:val="center"/>
              <w:rPr>
                <w:rFonts w:asciiTheme="minorHAnsi" w:hAnsiTheme="minorHAnsi" w:cs="Calibri"/>
                <w:color w:val="000000"/>
                <w:sz w:val="22"/>
                <w:szCs w:val="22"/>
              </w:rPr>
            </w:pPr>
            <w:r w:rsidRPr="00C62A5F">
              <w:rPr>
                <w:rFonts w:asciiTheme="minorHAnsi" w:hAnsiTheme="minorHAnsi"/>
                <w:color w:val="000000"/>
                <w:sz w:val="22"/>
                <w:szCs w:val="22"/>
              </w:rPr>
              <w:t>1,394</w:t>
            </w:r>
          </w:p>
        </w:tc>
      </w:tr>
    </w:tbl>
    <w:p w14:paraId="72F7AB71" w14:textId="77777777" w:rsidR="001F27D2" w:rsidRPr="00C62A5F" w:rsidRDefault="001F27D2" w:rsidP="001F27D2">
      <w:pPr>
        <w:pStyle w:val="Reporttext"/>
        <w:numPr>
          <w:ilvl w:val="0"/>
          <w:numId w:val="0"/>
        </w:numPr>
        <w:rPr>
          <w:sz w:val="20"/>
        </w:rPr>
      </w:pPr>
      <w:r w:rsidRPr="00C62A5F">
        <w:rPr>
          <w:sz w:val="20"/>
        </w:rPr>
        <w:t xml:space="preserve">Source: DCLG 2014-based household projections (subject to rounding) </w:t>
      </w:r>
    </w:p>
    <w:p w14:paraId="2278FA53" w14:textId="77777777" w:rsidR="001F27D2" w:rsidRPr="00C62A5F" w:rsidRDefault="001F27D2" w:rsidP="001F27D2">
      <w:pPr>
        <w:rPr>
          <w:rFonts w:asciiTheme="minorHAnsi" w:hAnsiTheme="minorHAnsi"/>
          <w:sz w:val="16"/>
        </w:rPr>
      </w:pPr>
    </w:p>
    <w:p w14:paraId="162807C3" w14:textId="77777777" w:rsidR="001F27D2" w:rsidRPr="002B2A7F" w:rsidRDefault="001F27D2" w:rsidP="001F27D2">
      <w:pPr>
        <w:pStyle w:val="Reporttext"/>
      </w:pPr>
      <w:r w:rsidRPr="002B2A7F">
        <w:t xml:space="preserve">Table </w:t>
      </w:r>
      <w:r>
        <w:t>7</w:t>
      </w:r>
      <w:r w:rsidRPr="002B2A7F">
        <w:t>.</w:t>
      </w:r>
      <w:r>
        <w:t>3</w:t>
      </w:r>
      <w:r w:rsidRPr="002B2A7F">
        <w:t xml:space="preserve"> applies the household survey data on dwelling occupancy to the demographic trends in Eden District. This summarises the likely change in demand for dwelling types and sizes and how this translates to an overall percentage change in dwelling requirement. Analysis indicates that the majority of need will be for 3-bedroom (42.2%) and 1-bedroom dwellings (32.8%) followed by 2-bedroom (23.4%) and 4 or more bedroom dwellings (1.6%). Regarding dwelling type, analysis suggests a broad split of 34.5% houses, 40.4% bungalows (or level-access accommodation), 22.7% flats and 2.4% other (for instance self/custom build and specialist accommodation). </w:t>
      </w:r>
    </w:p>
    <w:p w14:paraId="18BE93DE" w14:textId="77777777" w:rsidR="001F27D2" w:rsidRPr="00C62A5F" w:rsidRDefault="001F27D2" w:rsidP="001F27D2">
      <w:pPr>
        <w:rPr>
          <w:rFonts w:asciiTheme="minorHAnsi" w:hAnsiTheme="minorHAnsi"/>
          <w:sz w:val="10"/>
        </w:rPr>
      </w:pPr>
    </w:p>
    <w:tbl>
      <w:tblPr>
        <w:tblStyle w:val="arc4table"/>
        <w:tblW w:w="5000" w:type="pct"/>
        <w:tblLook w:val="04A0" w:firstRow="1" w:lastRow="0" w:firstColumn="1" w:lastColumn="0" w:noHBand="0" w:noVBand="1"/>
      </w:tblPr>
      <w:tblGrid>
        <w:gridCol w:w="2106"/>
        <w:gridCol w:w="795"/>
        <w:gridCol w:w="814"/>
        <w:gridCol w:w="950"/>
        <w:gridCol w:w="810"/>
        <w:gridCol w:w="951"/>
        <w:gridCol w:w="976"/>
        <w:gridCol w:w="739"/>
        <w:gridCol w:w="1039"/>
      </w:tblGrid>
      <w:tr w:rsidR="001F27D2" w:rsidRPr="00C62A5F" w14:paraId="1AB1A0D1" w14:textId="77777777" w:rsidTr="001F27D2">
        <w:trPr>
          <w:cnfStyle w:val="100000000000" w:firstRow="1" w:lastRow="0" w:firstColumn="0" w:lastColumn="0" w:oddVBand="0" w:evenVBand="0" w:oddHBand="0" w:evenHBand="0" w:firstRowFirstColumn="0" w:firstRowLastColumn="0" w:lastRowFirstColumn="0" w:lastRowLastColumn="0"/>
        </w:trPr>
        <w:tc>
          <w:tcPr>
            <w:tcW w:w="5000" w:type="pct"/>
            <w:gridSpan w:val="9"/>
            <w:noWrap/>
          </w:tcPr>
          <w:p w14:paraId="623B5ED3" w14:textId="77777777" w:rsidR="001F27D2" w:rsidRPr="00C62A5F" w:rsidRDefault="001F27D2" w:rsidP="00C62A5F">
            <w:pPr>
              <w:pStyle w:val="Tableheading1"/>
              <w:rPr>
                <w:b/>
                <w:color w:val="000000"/>
              </w:rPr>
            </w:pPr>
            <w:bookmarkStart w:id="579" w:name="_Toc391751397"/>
            <w:bookmarkStart w:id="580" w:name="_Toc524935689"/>
            <w:bookmarkStart w:id="581" w:name="_Toc531122979"/>
            <w:bookmarkStart w:id="582" w:name="_Toc532812508"/>
            <w:r w:rsidRPr="00C62A5F">
              <w:rPr>
                <w:b/>
              </w:rPr>
              <w:t>Table 7.3</w:t>
            </w:r>
            <w:r w:rsidRPr="00C62A5F">
              <w:rPr>
                <w:b/>
              </w:rPr>
              <w:tab/>
              <w:t>Impact of change in households by age group on dwellings occupied</w:t>
            </w:r>
            <w:bookmarkEnd w:id="579"/>
            <w:bookmarkEnd w:id="580"/>
            <w:bookmarkEnd w:id="581"/>
            <w:bookmarkEnd w:id="582"/>
          </w:p>
        </w:tc>
      </w:tr>
      <w:tr w:rsidR="001F27D2" w:rsidRPr="00C62A5F" w14:paraId="003931A1" w14:textId="77777777" w:rsidTr="00C62A5F">
        <w:tc>
          <w:tcPr>
            <w:tcW w:w="1119" w:type="pct"/>
            <w:vMerge w:val="restart"/>
            <w:shd w:val="clear" w:color="auto" w:fill="009999"/>
            <w:noWrap/>
            <w:vAlign w:val="bottom"/>
            <w:hideMark/>
          </w:tcPr>
          <w:p w14:paraId="2B733570" w14:textId="77777777" w:rsidR="001F27D2" w:rsidRPr="00C62A5F" w:rsidRDefault="001F27D2" w:rsidP="00C62A5F">
            <w:pPr>
              <w:spacing w:before="0" w:after="0"/>
              <w:jc w:val="left"/>
              <w:rPr>
                <w:rFonts w:cs="Calibri"/>
                <w:b/>
                <w:bCs/>
                <w:color w:val="FFFFFF" w:themeColor="background1"/>
                <w:sz w:val="22"/>
                <w:szCs w:val="22"/>
              </w:rPr>
            </w:pPr>
            <w:r w:rsidRPr="00C62A5F">
              <w:rPr>
                <w:rFonts w:cs="Calibri"/>
                <w:b/>
                <w:bCs/>
                <w:color w:val="FFFFFF" w:themeColor="background1"/>
                <w:sz w:val="22"/>
                <w:szCs w:val="22"/>
              </w:rPr>
              <w:t>Dwelling type/size</w:t>
            </w:r>
          </w:p>
        </w:tc>
        <w:tc>
          <w:tcPr>
            <w:tcW w:w="2906" w:type="pct"/>
            <w:gridSpan w:val="6"/>
            <w:shd w:val="clear" w:color="auto" w:fill="009999"/>
            <w:noWrap/>
            <w:vAlign w:val="bottom"/>
            <w:hideMark/>
          </w:tcPr>
          <w:p w14:paraId="7DD5D669" w14:textId="77777777" w:rsidR="001F27D2" w:rsidRPr="00C62A5F" w:rsidRDefault="001F27D2" w:rsidP="00C62A5F">
            <w:pPr>
              <w:spacing w:before="0" w:after="0"/>
              <w:jc w:val="center"/>
              <w:rPr>
                <w:rFonts w:cs="Calibri"/>
                <w:b/>
                <w:bCs/>
                <w:color w:val="FFFFFF" w:themeColor="background1"/>
                <w:sz w:val="22"/>
                <w:szCs w:val="22"/>
              </w:rPr>
            </w:pPr>
            <w:r w:rsidRPr="00C62A5F">
              <w:rPr>
                <w:rFonts w:cs="Calibri"/>
                <w:b/>
                <w:bCs/>
                <w:color w:val="FFFFFF" w:themeColor="background1"/>
                <w:sz w:val="22"/>
                <w:szCs w:val="22"/>
              </w:rPr>
              <w:t>Age group of Household Reference Person</w:t>
            </w:r>
          </w:p>
        </w:tc>
        <w:tc>
          <w:tcPr>
            <w:tcW w:w="406" w:type="pct"/>
            <w:vMerge w:val="restart"/>
            <w:shd w:val="clear" w:color="auto" w:fill="009999"/>
            <w:vAlign w:val="bottom"/>
          </w:tcPr>
          <w:p w14:paraId="0F8F7A5A" w14:textId="77777777" w:rsidR="001F27D2" w:rsidRPr="00C62A5F" w:rsidRDefault="001F27D2" w:rsidP="00C62A5F">
            <w:pPr>
              <w:spacing w:before="0" w:after="0"/>
              <w:jc w:val="center"/>
              <w:rPr>
                <w:rFonts w:cs="Calibri"/>
                <w:b/>
                <w:bCs/>
                <w:color w:val="FFFFFF" w:themeColor="background1"/>
                <w:sz w:val="22"/>
                <w:szCs w:val="22"/>
              </w:rPr>
            </w:pPr>
            <w:r w:rsidRPr="00C62A5F">
              <w:rPr>
                <w:rFonts w:cs="Calibri"/>
                <w:b/>
                <w:bCs/>
                <w:color w:val="FFFFFF" w:themeColor="background1"/>
                <w:sz w:val="22"/>
                <w:szCs w:val="22"/>
              </w:rPr>
              <w:t>Total</w:t>
            </w:r>
          </w:p>
        </w:tc>
        <w:tc>
          <w:tcPr>
            <w:tcW w:w="569" w:type="pct"/>
            <w:vMerge w:val="restart"/>
            <w:shd w:val="clear" w:color="auto" w:fill="009999"/>
            <w:vAlign w:val="bottom"/>
          </w:tcPr>
          <w:p w14:paraId="0E557A15" w14:textId="77777777" w:rsidR="001F27D2" w:rsidRPr="00C62A5F" w:rsidRDefault="001F27D2" w:rsidP="00C62A5F">
            <w:pPr>
              <w:spacing w:before="0" w:after="0"/>
              <w:jc w:val="center"/>
              <w:rPr>
                <w:rFonts w:cs="Calibri"/>
                <w:b/>
                <w:bCs/>
                <w:color w:val="FFFFFF" w:themeColor="background1"/>
                <w:sz w:val="22"/>
                <w:szCs w:val="22"/>
              </w:rPr>
            </w:pPr>
            <w:r w:rsidRPr="00C62A5F">
              <w:rPr>
                <w:rFonts w:cs="Calibri"/>
                <w:b/>
                <w:bCs/>
                <w:color w:val="FFFFFF" w:themeColor="background1"/>
                <w:sz w:val="22"/>
                <w:szCs w:val="22"/>
              </w:rPr>
              <w:t>% change</w:t>
            </w:r>
          </w:p>
        </w:tc>
      </w:tr>
      <w:tr w:rsidR="001F27D2" w:rsidRPr="00C62A5F" w14:paraId="4C0A107E" w14:textId="77777777" w:rsidTr="00C62A5F">
        <w:tc>
          <w:tcPr>
            <w:tcW w:w="1119" w:type="pct"/>
            <w:vMerge/>
            <w:shd w:val="clear" w:color="auto" w:fill="009999"/>
            <w:noWrap/>
            <w:vAlign w:val="bottom"/>
            <w:hideMark/>
          </w:tcPr>
          <w:p w14:paraId="2D31913B" w14:textId="77777777" w:rsidR="001F27D2" w:rsidRPr="00C62A5F" w:rsidRDefault="001F27D2" w:rsidP="00C62A5F">
            <w:pPr>
              <w:spacing w:before="0" w:after="0"/>
              <w:jc w:val="center"/>
              <w:rPr>
                <w:rFonts w:cs="Calibri"/>
                <w:bCs/>
                <w:color w:val="FFFFFF" w:themeColor="background1"/>
                <w:sz w:val="22"/>
                <w:szCs w:val="22"/>
              </w:rPr>
            </w:pPr>
          </w:p>
        </w:tc>
        <w:tc>
          <w:tcPr>
            <w:tcW w:w="437" w:type="pct"/>
            <w:shd w:val="clear" w:color="auto" w:fill="009999"/>
            <w:noWrap/>
            <w:vAlign w:val="bottom"/>
            <w:hideMark/>
          </w:tcPr>
          <w:p w14:paraId="619D508F" w14:textId="77777777" w:rsidR="001F27D2" w:rsidRPr="00C62A5F" w:rsidRDefault="001F27D2" w:rsidP="00C62A5F">
            <w:pPr>
              <w:spacing w:before="0" w:after="0"/>
              <w:jc w:val="center"/>
              <w:rPr>
                <w:rFonts w:cs="Calibri"/>
                <w:bCs/>
                <w:color w:val="FFFFFF" w:themeColor="background1"/>
                <w:sz w:val="22"/>
                <w:szCs w:val="22"/>
              </w:rPr>
            </w:pPr>
            <w:r w:rsidRPr="00C62A5F">
              <w:rPr>
                <w:rFonts w:cs="Calibri"/>
                <w:bCs/>
                <w:color w:val="FFFFFF" w:themeColor="background1"/>
                <w:sz w:val="22"/>
                <w:szCs w:val="22"/>
              </w:rPr>
              <w:t>15-24</w:t>
            </w:r>
          </w:p>
        </w:tc>
        <w:tc>
          <w:tcPr>
            <w:tcW w:w="447" w:type="pct"/>
            <w:shd w:val="clear" w:color="auto" w:fill="009999"/>
            <w:noWrap/>
            <w:vAlign w:val="bottom"/>
            <w:hideMark/>
          </w:tcPr>
          <w:p w14:paraId="6B287B27" w14:textId="77777777" w:rsidR="001F27D2" w:rsidRPr="00C62A5F" w:rsidRDefault="001F27D2" w:rsidP="00C62A5F">
            <w:pPr>
              <w:spacing w:before="0" w:after="0"/>
              <w:jc w:val="center"/>
              <w:rPr>
                <w:rFonts w:cs="Calibri"/>
                <w:bCs/>
                <w:color w:val="FFFFFF" w:themeColor="background1"/>
                <w:sz w:val="22"/>
                <w:szCs w:val="22"/>
              </w:rPr>
            </w:pPr>
            <w:r w:rsidRPr="00C62A5F">
              <w:rPr>
                <w:rFonts w:cs="Calibri"/>
                <w:bCs/>
                <w:color w:val="FFFFFF" w:themeColor="background1"/>
                <w:sz w:val="22"/>
                <w:szCs w:val="22"/>
              </w:rPr>
              <w:t>25-34</w:t>
            </w:r>
          </w:p>
        </w:tc>
        <w:tc>
          <w:tcPr>
            <w:tcW w:w="521" w:type="pct"/>
            <w:shd w:val="clear" w:color="auto" w:fill="009999"/>
            <w:noWrap/>
            <w:vAlign w:val="bottom"/>
            <w:hideMark/>
          </w:tcPr>
          <w:p w14:paraId="0B097504" w14:textId="77777777" w:rsidR="001F27D2" w:rsidRPr="00C62A5F" w:rsidRDefault="001F27D2" w:rsidP="00C62A5F">
            <w:pPr>
              <w:spacing w:before="0" w:after="0"/>
              <w:jc w:val="center"/>
              <w:rPr>
                <w:rFonts w:cs="Calibri"/>
                <w:bCs/>
                <w:color w:val="FFFFFF" w:themeColor="background1"/>
                <w:sz w:val="22"/>
                <w:szCs w:val="22"/>
              </w:rPr>
            </w:pPr>
            <w:r w:rsidRPr="00C62A5F">
              <w:rPr>
                <w:rFonts w:cs="Calibri"/>
                <w:bCs/>
                <w:color w:val="FFFFFF" w:themeColor="background1"/>
                <w:sz w:val="22"/>
                <w:szCs w:val="22"/>
              </w:rPr>
              <w:t>35-44</w:t>
            </w:r>
          </w:p>
        </w:tc>
        <w:tc>
          <w:tcPr>
            <w:tcW w:w="445" w:type="pct"/>
            <w:shd w:val="clear" w:color="auto" w:fill="009999"/>
            <w:noWrap/>
            <w:vAlign w:val="bottom"/>
            <w:hideMark/>
          </w:tcPr>
          <w:p w14:paraId="04DAD906" w14:textId="77777777" w:rsidR="001F27D2" w:rsidRPr="00C62A5F" w:rsidRDefault="001F27D2" w:rsidP="00C62A5F">
            <w:pPr>
              <w:spacing w:before="0" w:after="0"/>
              <w:jc w:val="center"/>
              <w:rPr>
                <w:rFonts w:cs="Calibri"/>
                <w:bCs/>
                <w:color w:val="FFFFFF" w:themeColor="background1"/>
                <w:sz w:val="22"/>
                <w:szCs w:val="22"/>
              </w:rPr>
            </w:pPr>
            <w:r w:rsidRPr="00C62A5F">
              <w:rPr>
                <w:rFonts w:cs="Calibri"/>
                <w:bCs/>
                <w:color w:val="FFFFFF" w:themeColor="background1"/>
                <w:sz w:val="22"/>
                <w:szCs w:val="22"/>
              </w:rPr>
              <w:t>45-59</w:t>
            </w:r>
          </w:p>
        </w:tc>
        <w:tc>
          <w:tcPr>
            <w:tcW w:w="521" w:type="pct"/>
            <w:shd w:val="clear" w:color="auto" w:fill="009999"/>
            <w:noWrap/>
            <w:vAlign w:val="bottom"/>
            <w:hideMark/>
          </w:tcPr>
          <w:p w14:paraId="5AC461FE" w14:textId="77777777" w:rsidR="001F27D2" w:rsidRPr="00C62A5F" w:rsidRDefault="001F27D2" w:rsidP="00C62A5F">
            <w:pPr>
              <w:spacing w:before="0" w:after="0"/>
              <w:jc w:val="center"/>
              <w:rPr>
                <w:rFonts w:cs="Calibri"/>
                <w:bCs/>
                <w:color w:val="FFFFFF" w:themeColor="background1"/>
                <w:sz w:val="22"/>
                <w:szCs w:val="22"/>
              </w:rPr>
            </w:pPr>
            <w:r w:rsidRPr="00C62A5F">
              <w:rPr>
                <w:rFonts w:cs="Calibri"/>
                <w:bCs/>
                <w:color w:val="FFFFFF" w:themeColor="background1"/>
                <w:sz w:val="22"/>
                <w:szCs w:val="22"/>
              </w:rPr>
              <w:t>60-84</w:t>
            </w:r>
          </w:p>
        </w:tc>
        <w:tc>
          <w:tcPr>
            <w:tcW w:w="535" w:type="pct"/>
            <w:shd w:val="clear" w:color="auto" w:fill="009999"/>
            <w:noWrap/>
            <w:vAlign w:val="bottom"/>
            <w:hideMark/>
          </w:tcPr>
          <w:p w14:paraId="3AF02A8F" w14:textId="77777777" w:rsidR="001F27D2" w:rsidRPr="00C62A5F" w:rsidRDefault="001F27D2" w:rsidP="00C62A5F">
            <w:pPr>
              <w:spacing w:before="0" w:after="0"/>
              <w:jc w:val="center"/>
              <w:rPr>
                <w:rFonts w:cs="Calibri"/>
                <w:bCs/>
                <w:color w:val="FFFFFF" w:themeColor="background1"/>
                <w:sz w:val="22"/>
                <w:szCs w:val="22"/>
              </w:rPr>
            </w:pPr>
            <w:r w:rsidRPr="00C62A5F">
              <w:rPr>
                <w:rFonts w:cs="Calibri"/>
                <w:bCs/>
                <w:color w:val="FFFFFF" w:themeColor="background1"/>
                <w:sz w:val="22"/>
                <w:szCs w:val="22"/>
              </w:rPr>
              <w:t>85+</w:t>
            </w:r>
          </w:p>
        </w:tc>
        <w:tc>
          <w:tcPr>
            <w:tcW w:w="406" w:type="pct"/>
            <w:vMerge/>
            <w:shd w:val="clear" w:color="auto" w:fill="009999"/>
            <w:noWrap/>
            <w:vAlign w:val="bottom"/>
            <w:hideMark/>
          </w:tcPr>
          <w:p w14:paraId="2A9D8F42" w14:textId="77777777" w:rsidR="001F27D2" w:rsidRPr="00C62A5F" w:rsidRDefault="001F27D2" w:rsidP="00C62A5F">
            <w:pPr>
              <w:spacing w:before="0" w:after="0"/>
              <w:jc w:val="center"/>
              <w:rPr>
                <w:rFonts w:cs="Calibri"/>
                <w:bCs/>
                <w:color w:val="FFFFFF" w:themeColor="background1"/>
                <w:sz w:val="22"/>
                <w:szCs w:val="22"/>
              </w:rPr>
            </w:pPr>
          </w:p>
        </w:tc>
        <w:tc>
          <w:tcPr>
            <w:tcW w:w="569" w:type="pct"/>
            <w:vMerge/>
            <w:shd w:val="clear" w:color="auto" w:fill="009999"/>
            <w:noWrap/>
            <w:vAlign w:val="bottom"/>
            <w:hideMark/>
          </w:tcPr>
          <w:p w14:paraId="798DB29C" w14:textId="77777777" w:rsidR="001F27D2" w:rsidRPr="00C62A5F" w:rsidRDefault="001F27D2" w:rsidP="00C62A5F">
            <w:pPr>
              <w:spacing w:before="0" w:after="0"/>
              <w:jc w:val="center"/>
              <w:rPr>
                <w:rFonts w:cs="Calibri"/>
                <w:bCs/>
                <w:color w:val="FFFFFF" w:themeColor="background1"/>
                <w:sz w:val="22"/>
                <w:szCs w:val="22"/>
              </w:rPr>
            </w:pPr>
          </w:p>
        </w:tc>
      </w:tr>
      <w:tr w:rsidR="001F27D2" w:rsidRPr="00C62A5F" w14:paraId="625E1B3E" w14:textId="77777777" w:rsidTr="001F27D2">
        <w:tc>
          <w:tcPr>
            <w:tcW w:w="1119" w:type="pct"/>
            <w:noWrap/>
            <w:hideMark/>
          </w:tcPr>
          <w:p w14:paraId="39279B7F" w14:textId="77777777" w:rsidR="001F27D2" w:rsidRPr="00C62A5F" w:rsidRDefault="001F27D2" w:rsidP="00C62A5F">
            <w:pPr>
              <w:spacing w:before="0" w:after="0"/>
              <w:rPr>
                <w:rFonts w:cs="Calibri"/>
                <w:color w:val="000000"/>
                <w:sz w:val="22"/>
                <w:szCs w:val="22"/>
              </w:rPr>
            </w:pPr>
            <w:r w:rsidRPr="00C62A5F">
              <w:rPr>
                <w:rFonts w:cs="Calibri"/>
                <w:color w:val="000000"/>
                <w:sz w:val="22"/>
                <w:szCs w:val="22"/>
              </w:rPr>
              <w:t>1 Bed House‎</w:t>
            </w:r>
          </w:p>
        </w:tc>
        <w:tc>
          <w:tcPr>
            <w:tcW w:w="437" w:type="pct"/>
            <w:noWrap/>
            <w:vAlign w:val="bottom"/>
          </w:tcPr>
          <w:p w14:paraId="3F853C4A"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0</w:t>
            </w:r>
          </w:p>
        </w:tc>
        <w:tc>
          <w:tcPr>
            <w:tcW w:w="447" w:type="pct"/>
            <w:noWrap/>
            <w:vAlign w:val="bottom"/>
          </w:tcPr>
          <w:p w14:paraId="7566C4F6"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-1</w:t>
            </w:r>
          </w:p>
        </w:tc>
        <w:tc>
          <w:tcPr>
            <w:tcW w:w="521" w:type="pct"/>
            <w:noWrap/>
            <w:vAlign w:val="bottom"/>
          </w:tcPr>
          <w:p w14:paraId="029F08A8"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0</w:t>
            </w:r>
          </w:p>
        </w:tc>
        <w:tc>
          <w:tcPr>
            <w:tcW w:w="445" w:type="pct"/>
            <w:noWrap/>
            <w:vAlign w:val="bottom"/>
          </w:tcPr>
          <w:p w14:paraId="2A1BCF1A"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-63</w:t>
            </w:r>
          </w:p>
        </w:tc>
        <w:tc>
          <w:tcPr>
            <w:tcW w:w="521" w:type="pct"/>
            <w:noWrap/>
            <w:vAlign w:val="bottom"/>
          </w:tcPr>
          <w:p w14:paraId="07E4E986"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11</w:t>
            </w:r>
          </w:p>
        </w:tc>
        <w:tc>
          <w:tcPr>
            <w:tcW w:w="535" w:type="pct"/>
            <w:noWrap/>
            <w:vAlign w:val="bottom"/>
          </w:tcPr>
          <w:p w14:paraId="73DF7253"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6</w:t>
            </w:r>
          </w:p>
        </w:tc>
        <w:tc>
          <w:tcPr>
            <w:tcW w:w="406" w:type="pct"/>
            <w:noWrap/>
            <w:vAlign w:val="bottom"/>
          </w:tcPr>
          <w:p w14:paraId="5E31C047"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-47</w:t>
            </w:r>
          </w:p>
        </w:tc>
        <w:tc>
          <w:tcPr>
            <w:tcW w:w="569" w:type="pct"/>
            <w:noWrap/>
            <w:vAlign w:val="bottom"/>
          </w:tcPr>
          <w:p w14:paraId="35AA53D0"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-3.4</w:t>
            </w:r>
          </w:p>
        </w:tc>
      </w:tr>
      <w:tr w:rsidR="001F27D2" w:rsidRPr="00C62A5F" w14:paraId="06A2A7AE" w14:textId="77777777" w:rsidTr="001F27D2">
        <w:tc>
          <w:tcPr>
            <w:tcW w:w="1119" w:type="pct"/>
            <w:noWrap/>
            <w:hideMark/>
          </w:tcPr>
          <w:p w14:paraId="4F47FAB4" w14:textId="77777777" w:rsidR="001F27D2" w:rsidRPr="00C62A5F" w:rsidRDefault="001F27D2" w:rsidP="00C62A5F">
            <w:pPr>
              <w:spacing w:before="0" w:after="0"/>
              <w:rPr>
                <w:rFonts w:cs="Calibri"/>
                <w:color w:val="000000"/>
                <w:sz w:val="22"/>
                <w:szCs w:val="22"/>
              </w:rPr>
            </w:pPr>
            <w:r w:rsidRPr="00C62A5F">
              <w:rPr>
                <w:rFonts w:cs="Calibri"/>
                <w:color w:val="000000"/>
                <w:sz w:val="22"/>
                <w:szCs w:val="22"/>
              </w:rPr>
              <w:t>2 Bed House‎</w:t>
            </w:r>
          </w:p>
        </w:tc>
        <w:tc>
          <w:tcPr>
            <w:tcW w:w="437" w:type="pct"/>
            <w:noWrap/>
            <w:vAlign w:val="bottom"/>
          </w:tcPr>
          <w:p w14:paraId="1769BBC9"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5</w:t>
            </w:r>
          </w:p>
        </w:tc>
        <w:tc>
          <w:tcPr>
            <w:tcW w:w="447" w:type="pct"/>
            <w:noWrap/>
            <w:vAlign w:val="bottom"/>
          </w:tcPr>
          <w:p w14:paraId="4E55D32E"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-19</w:t>
            </w:r>
          </w:p>
        </w:tc>
        <w:tc>
          <w:tcPr>
            <w:tcW w:w="521" w:type="pct"/>
            <w:noWrap/>
            <w:vAlign w:val="bottom"/>
          </w:tcPr>
          <w:p w14:paraId="4D93584A"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-1</w:t>
            </w:r>
          </w:p>
        </w:tc>
        <w:tc>
          <w:tcPr>
            <w:tcW w:w="445" w:type="pct"/>
            <w:noWrap/>
            <w:vAlign w:val="bottom"/>
          </w:tcPr>
          <w:p w14:paraId="28AEDAC9"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-236</w:t>
            </w:r>
          </w:p>
        </w:tc>
        <w:tc>
          <w:tcPr>
            <w:tcW w:w="521" w:type="pct"/>
            <w:noWrap/>
            <w:vAlign w:val="bottom"/>
          </w:tcPr>
          <w:p w14:paraId="570C2AEF"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193</w:t>
            </w:r>
          </w:p>
        </w:tc>
        <w:tc>
          <w:tcPr>
            <w:tcW w:w="535" w:type="pct"/>
            <w:noWrap/>
            <w:vAlign w:val="bottom"/>
          </w:tcPr>
          <w:p w14:paraId="08D7EB78"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164</w:t>
            </w:r>
          </w:p>
        </w:tc>
        <w:tc>
          <w:tcPr>
            <w:tcW w:w="406" w:type="pct"/>
            <w:noWrap/>
            <w:vAlign w:val="bottom"/>
          </w:tcPr>
          <w:p w14:paraId="5E71097F"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107</w:t>
            </w:r>
          </w:p>
        </w:tc>
        <w:tc>
          <w:tcPr>
            <w:tcW w:w="569" w:type="pct"/>
            <w:noWrap/>
            <w:vAlign w:val="bottom"/>
          </w:tcPr>
          <w:p w14:paraId="3186421A"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7.7</w:t>
            </w:r>
          </w:p>
        </w:tc>
      </w:tr>
      <w:tr w:rsidR="001F27D2" w:rsidRPr="00C62A5F" w14:paraId="2FBD4A3A" w14:textId="77777777" w:rsidTr="001F27D2">
        <w:tc>
          <w:tcPr>
            <w:tcW w:w="1119" w:type="pct"/>
            <w:noWrap/>
            <w:hideMark/>
          </w:tcPr>
          <w:p w14:paraId="29077596" w14:textId="77777777" w:rsidR="001F27D2" w:rsidRPr="00C62A5F" w:rsidRDefault="001F27D2" w:rsidP="00C62A5F">
            <w:pPr>
              <w:spacing w:before="0" w:after="0"/>
              <w:rPr>
                <w:rFonts w:cs="Calibri"/>
                <w:color w:val="000000"/>
                <w:sz w:val="22"/>
                <w:szCs w:val="22"/>
              </w:rPr>
            </w:pPr>
            <w:r w:rsidRPr="00C62A5F">
              <w:rPr>
                <w:rFonts w:cs="Calibri"/>
                <w:color w:val="000000"/>
                <w:sz w:val="22"/>
                <w:szCs w:val="22"/>
              </w:rPr>
              <w:t>3 Bed House</w:t>
            </w:r>
          </w:p>
        </w:tc>
        <w:tc>
          <w:tcPr>
            <w:tcW w:w="437" w:type="pct"/>
            <w:noWrap/>
            <w:vAlign w:val="bottom"/>
          </w:tcPr>
          <w:p w14:paraId="1E36B7E3"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2</w:t>
            </w:r>
          </w:p>
        </w:tc>
        <w:tc>
          <w:tcPr>
            <w:tcW w:w="447" w:type="pct"/>
            <w:noWrap/>
            <w:vAlign w:val="bottom"/>
          </w:tcPr>
          <w:p w14:paraId="34394260"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-28</w:t>
            </w:r>
          </w:p>
        </w:tc>
        <w:tc>
          <w:tcPr>
            <w:tcW w:w="521" w:type="pct"/>
            <w:noWrap/>
            <w:vAlign w:val="bottom"/>
          </w:tcPr>
          <w:p w14:paraId="13B43E96"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-4</w:t>
            </w:r>
          </w:p>
        </w:tc>
        <w:tc>
          <w:tcPr>
            <w:tcW w:w="445" w:type="pct"/>
            <w:noWrap/>
            <w:vAlign w:val="bottom"/>
          </w:tcPr>
          <w:p w14:paraId="04D1AE94"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-541</w:t>
            </w:r>
          </w:p>
        </w:tc>
        <w:tc>
          <w:tcPr>
            <w:tcW w:w="521" w:type="pct"/>
            <w:noWrap/>
            <w:vAlign w:val="bottom"/>
          </w:tcPr>
          <w:p w14:paraId="7B230C13"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591</w:t>
            </w:r>
          </w:p>
        </w:tc>
        <w:tc>
          <w:tcPr>
            <w:tcW w:w="535" w:type="pct"/>
            <w:noWrap/>
            <w:vAlign w:val="bottom"/>
          </w:tcPr>
          <w:p w14:paraId="0A932A78"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376</w:t>
            </w:r>
          </w:p>
        </w:tc>
        <w:tc>
          <w:tcPr>
            <w:tcW w:w="406" w:type="pct"/>
            <w:noWrap/>
            <w:vAlign w:val="bottom"/>
          </w:tcPr>
          <w:p w14:paraId="4AD0F0EB"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396</w:t>
            </w:r>
          </w:p>
        </w:tc>
        <w:tc>
          <w:tcPr>
            <w:tcW w:w="569" w:type="pct"/>
            <w:noWrap/>
            <w:vAlign w:val="bottom"/>
          </w:tcPr>
          <w:p w14:paraId="4CB75178"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28.6</w:t>
            </w:r>
          </w:p>
        </w:tc>
      </w:tr>
      <w:tr w:rsidR="001F27D2" w:rsidRPr="00C62A5F" w14:paraId="177D52E9" w14:textId="77777777" w:rsidTr="001F27D2">
        <w:tc>
          <w:tcPr>
            <w:tcW w:w="1119" w:type="pct"/>
            <w:noWrap/>
            <w:hideMark/>
          </w:tcPr>
          <w:p w14:paraId="0BD5608D" w14:textId="77777777" w:rsidR="001F27D2" w:rsidRPr="00C62A5F" w:rsidRDefault="001F27D2" w:rsidP="00C62A5F">
            <w:pPr>
              <w:spacing w:before="0" w:after="0"/>
              <w:rPr>
                <w:rFonts w:cs="Calibri"/>
                <w:color w:val="000000"/>
                <w:sz w:val="22"/>
                <w:szCs w:val="22"/>
              </w:rPr>
            </w:pPr>
            <w:r w:rsidRPr="00C62A5F">
              <w:rPr>
                <w:rFonts w:cs="Calibri"/>
                <w:color w:val="000000"/>
                <w:sz w:val="22"/>
                <w:szCs w:val="22"/>
              </w:rPr>
              <w:t>4 or more Bed House</w:t>
            </w:r>
          </w:p>
        </w:tc>
        <w:tc>
          <w:tcPr>
            <w:tcW w:w="437" w:type="pct"/>
            <w:noWrap/>
            <w:vAlign w:val="bottom"/>
          </w:tcPr>
          <w:p w14:paraId="13E5ADA8"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1</w:t>
            </w:r>
          </w:p>
        </w:tc>
        <w:tc>
          <w:tcPr>
            <w:tcW w:w="447" w:type="pct"/>
            <w:noWrap/>
            <w:vAlign w:val="bottom"/>
          </w:tcPr>
          <w:p w14:paraId="6D43D4DA"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-7</w:t>
            </w:r>
          </w:p>
        </w:tc>
        <w:tc>
          <w:tcPr>
            <w:tcW w:w="521" w:type="pct"/>
            <w:noWrap/>
            <w:vAlign w:val="bottom"/>
          </w:tcPr>
          <w:p w14:paraId="5E49B2B1"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-3</w:t>
            </w:r>
          </w:p>
        </w:tc>
        <w:tc>
          <w:tcPr>
            <w:tcW w:w="445" w:type="pct"/>
            <w:noWrap/>
            <w:vAlign w:val="bottom"/>
          </w:tcPr>
          <w:p w14:paraId="4C59281C"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-527</w:t>
            </w:r>
          </w:p>
        </w:tc>
        <w:tc>
          <w:tcPr>
            <w:tcW w:w="521" w:type="pct"/>
            <w:noWrap/>
            <w:vAlign w:val="bottom"/>
          </w:tcPr>
          <w:p w14:paraId="1364A506"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469</w:t>
            </w:r>
          </w:p>
        </w:tc>
        <w:tc>
          <w:tcPr>
            <w:tcW w:w="535" w:type="pct"/>
            <w:noWrap/>
            <w:vAlign w:val="bottom"/>
          </w:tcPr>
          <w:p w14:paraId="171B8B68"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89</w:t>
            </w:r>
          </w:p>
        </w:tc>
        <w:tc>
          <w:tcPr>
            <w:tcW w:w="406" w:type="pct"/>
            <w:noWrap/>
            <w:vAlign w:val="bottom"/>
          </w:tcPr>
          <w:p w14:paraId="16BFDF6A"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22</w:t>
            </w:r>
          </w:p>
        </w:tc>
        <w:tc>
          <w:tcPr>
            <w:tcW w:w="569" w:type="pct"/>
            <w:noWrap/>
            <w:vAlign w:val="bottom"/>
          </w:tcPr>
          <w:p w14:paraId="59EA95AF"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1.6</w:t>
            </w:r>
          </w:p>
        </w:tc>
      </w:tr>
      <w:tr w:rsidR="001F27D2" w:rsidRPr="00C62A5F" w14:paraId="0F56A98F" w14:textId="77777777" w:rsidTr="001F27D2">
        <w:tc>
          <w:tcPr>
            <w:tcW w:w="1119" w:type="pct"/>
            <w:noWrap/>
            <w:hideMark/>
          </w:tcPr>
          <w:p w14:paraId="3DE2838B" w14:textId="77777777" w:rsidR="001F27D2" w:rsidRPr="00C62A5F" w:rsidRDefault="001F27D2" w:rsidP="00C62A5F">
            <w:pPr>
              <w:spacing w:before="0" w:after="0"/>
              <w:rPr>
                <w:rFonts w:cs="Calibri"/>
                <w:color w:val="000000"/>
                <w:sz w:val="22"/>
                <w:szCs w:val="22"/>
              </w:rPr>
            </w:pPr>
            <w:r w:rsidRPr="00C62A5F">
              <w:rPr>
                <w:rFonts w:cs="Calibri"/>
                <w:color w:val="000000"/>
                <w:sz w:val="22"/>
                <w:szCs w:val="22"/>
              </w:rPr>
              <w:t>1 Bed Flat</w:t>
            </w:r>
          </w:p>
        </w:tc>
        <w:tc>
          <w:tcPr>
            <w:tcW w:w="437" w:type="pct"/>
            <w:noWrap/>
            <w:vAlign w:val="bottom"/>
          </w:tcPr>
          <w:p w14:paraId="35DD4F9A"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4</w:t>
            </w:r>
          </w:p>
        </w:tc>
        <w:tc>
          <w:tcPr>
            <w:tcW w:w="447" w:type="pct"/>
            <w:noWrap/>
            <w:vAlign w:val="bottom"/>
          </w:tcPr>
          <w:p w14:paraId="06439433"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-7</w:t>
            </w:r>
          </w:p>
        </w:tc>
        <w:tc>
          <w:tcPr>
            <w:tcW w:w="521" w:type="pct"/>
            <w:noWrap/>
            <w:vAlign w:val="bottom"/>
          </w:tcPr>
          <w:p w14:paraId="6999266A"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0</w:t>
            </w:r>
          </w:p>
        </w:tc>
        <w:tc>
          <w:tcPr>
            <w:tcW w:w="445" w:type="pct"/>
            <w:noWrap/>
            <w:vAlign w:val="bottom"/>
          </w:tcPr>
          <w:p w14:paraId="3363B20F"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-33</w:t>
            </w:r>
          </w:p>
        </w:tc>
        <w:tc>
          <w:tcPr>
            <w:tcW w:w="521" w:type="pct"/>
            <w:noWrap/>
            <w:vAlign w:val="bottom"/>
          </w:tcPr>
          <w:p w14:paraId="12B2C577"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73</w:t>
            </w:r>
          </w:p>
        </w:tc>
        <w:tc>
          <w:tcPr>
            <w:tcW w:w="535" w:type="pct"/>
            <w:noWrap/>
            <w:vAlign w:val="bottom"/>
          </w:tcPr>
          <w:p w14:paraId="6F4E1BCD"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158</w:t>
            </w:r>
          </w:p>
        </w:tc>
        <w:tc>
          <w:tcPr>
            <w:tcW w:w="406" w:type="pct"/>
            <w:noWrap/>
            <w:vAlign w:val="bottom"/>
          </w:tcPr>
          <w:p w14:paraId="228D82CF"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194</w:t>
            </w:r>
          </w:p>
        </w:tc>
        <w:tc>
          <w:tcPr>
            <w:tcW w:w="569" w:type="pct"/>
            <w:noWrap/>
            <w:vAlign w:val="bottom"/>
          </w:tcPr>
          <w:p w14:paraId="29DFF214"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14.0</w:t>
            </w:r>
          </w:p>
        </w:tc>
      </w:tr>
      <w:tr w:rsidR="001F27D2" w:rsidRPr="00C62A5F" w14:paraId="700E62E4" w14:textId="77777777" w:rsidTr="001F27D2">
        <w:tc>
          <w:tcPr>
            <w:tcW w:w="1119" w:type="pct"/>
            <w:noWrap/>
            <w:hideMark/>
          </w:tcPr>
          <w:p w14:paraId="0AB38096" w14:textId="77777777" w:rsidR="001F27D2" w:rsidRPr="00C62A5F" w:rsidRDefault="001F27D2" w:rsidP="00C62A5F">
            <w:pPr>
              <w:spacing w:before="0" w:after="0"/>
              <w:rPr>
                <w:rFonts w:cs="Calibri"/>
                <w:color w:val="000000"/>
                <w:sz w:val="22"/>
                <w:szCs w:val="22"/>
              </w:rPr>
            </w:pPr>
            <w:r w:rsidRPr="00C62A5F">
              <w:rPr>
                <w:rFonts w:cs="Calibri"/>
                <w:color w:val="000000"/>
                <w:sz w:val="22"/>
                <w:szCs w:val="22"/>
              </w:rPr>
              <w:t>2 Bed Flat</w:t>
            </w:r>
          </w:p>
        </w:tc>
        <w:tc>
          <w:tcPr>
            <w:tcW w:w="437" w:type="pct"/>
            <w:noWrap/>
            <w:vAlign w:val="bottom"/>
          </w:tcPr>
          <w:p w14:paraId="23589F5C"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1</w:t>
            </w:r>
          </w:p>
        </w:tc>
        <w:tc>
          <w:tcPr>
            <w:tcW w:w="447" w:type="pct"/>
            <w:noWrap/>
            <w:vAlign w:val="bottom"/>
          </w:tcPr>
          <w:p w14:paraId="19E64DFD"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-8</w:t>
            </w:r>
          </w:p>
        </w:tc>
        <w:tc>
          <w:tcPr>
            <w:tcW w:w="521" w:type="pct"/>
            <w:noWrap/>
            <w:vAlign w:val="bottom"/>
          </w:tcPr>
          <w:p w14:paraId="334A93EA"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0</w:t>
            </w:r>
          </w:p>
        </w:tc>
        <w:tc>
          <w:tcPr>
            <w:tcW w:w="445" w:type="pct"/>
            <w:noWrap/>
            <w:vAlign w:val="bottom"/>
          </w:tcPr>
          <w:p w14:paraId="4F1949E7"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-117</w:t>
            </w:r>
          </w:p>
        </w:tc>
        <w:tc>
          <w:tcPr>
            <w:tcW w:w="521" w:type="pct"/>
            <w:noWrap/>
            <w:vAlign w:val="bottom"/>
          </w:tcPr>
          <w:p w14:paraId="18351137"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80</w:t>
            </w:r>
          </w:p>
        </w:tc>
        <w:tc>
          <w:tcPr>
            <w:tcW w:w="535" w:type="pct"/>
            <w:noWrap/>
            <w:vAlign w:val="bottom"/>
          </w:tcPr>
          <w:p w14:paraId="46E22CD8"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145</w:t>
            </w:r>
          </w:p>
        </w:tc>
        <w:tc>
          <w:tcPr>
            <w:tcW w:w="406" w:type="pct"/>
            <w:noWrap/>
            <w:vAlign w:val="bottom"/>
          </w:tcPr>
          <w:p w14:paraId="6DDF2758"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100</w:t>
            </w:r>
          </w:p>
        </w:tc>
        <w:tc>
          <w:tcPr>
            <w:tcW w:w="569" w:type="pct"/>
            <w:noWrap/>
            <w:vAlign w:val="bottom"/>
          </w:tcPr>
          <w:p w14:paraId="24F542BF"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7.2</w:t>
            </w:r>
          </w:p>
        </w:tc>
      </w:tr>
      <w:tr w:rsidR="001F27D2" w:rsidRPr="00C62A5F" w14:paraId="53B69436" w14:textId="77777777" w:rsidTr="001F27D2">
        <w:tc>
          <w:tcPr>
            <w:tcW w:w="1119" w:type="pct"/>
            <w:noWrap/>
            <w:hideMark/>
          </w:tcPr>
          <w:p w14:paraId="72F4A5EF" w14:textId="77777777" w:rsidR="001F27D2" w:rsidRPr="00C62A5F" w:rsidRDefault="001F27D2" w:rsidP="00C62A5F">
            <w:pPr>
              <w:spacing w:before="0" w:after="0"/>
              <w:rPr>
                <w:rFonts w:cs="Calibri"/>
                <w:color w:val="000000"/>
                <w:sz w:val="22"/>
                <w:szCs w:val="22"/>
              </w:rPr>
            </w:pPr>
            <w:r w:rsidRPr="00C62A5F">
              <w:rPr>
                <w:rFonts w:cs="Calibri"/>
                <w:color w:val="000000"/>
                <w:sz w:val="22"/>
                <w:szCs w:val="22"/>
              </w:rPr>
              <w:t>3+ Bed Flat</w:t>
            </w:r>
          </w:p>
        </w:tc>
        <w:tc>
          <w:tcPr>
            <w:tcW w:w="437" w:type="pct"/>
            <w:noWrap/>
            <w:vAlign w:val="bottom"/>
          </w:tcPr>
          <w:p w14:paraId="2E8EAB40"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0</w:t>
            </w:r>
          </w:p>
        </w:tc>
        <w:tc>
          <w:tcPr>
            <w:tcW w:w="447" w:type="pct"/>
            <w:noWrap/>
            <w:vAlign w:val="bottom"/>
          </w:tcPr>
          <w:p w14:paraId="324C7F9B"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-1</w:t>
            </w:r>
          </w:p>
        </w:tc>
        <w:tc>
          <w:tcPr>
            <w:tcW w:w="521" w:type="pct"/>
            <w:noWrap/>
            <w:vAlign w:val="bottom"/>
          </w:tcPr>
          <w:p w14:paraId="3BC8307B"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0</w:t>
            </w:r>
          </w:p>
        </w:tc>
        <w:tc>
          <w:tcPr>
            <w:tcW w:w="445" w:type="pct"/>
            <w:noWrap/>
            <w:vAlign w:val="bottom"/>
          </w:tcPr>
          <w:p w14:paraId="09F8A9FD"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0</w:t>
            </w:r>
          </w:p>
        </w:tc>
        <w:tc>
          <w:tcPr>
            <w:tcW w:w="521" w:type="pct"/>
            <w:noWrap/>
            <w:vAlign w:val="bottom"/>
          </w:tcPr>
          <w:p w14:paraId="239E1771"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9</w:t>
            </w:r>
          </w:p>
        </w:tc>
        <w:tc>
          <w:tcPr>
            <w:tcW w:w="535" w:type="pct"/>
            <w:noWrap/>
            <w:vAlign w:val="bottom"/>
          </w:tcPr>
          <w:p w14:paraId="02F61D4D"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12</w:t>
            </w:r>
          </w:p>
        </w:tc>
        <w:tc>
          <w:tcPr>
            <w:tcW w:w="406" w:type="pct"/>
            <w:noWrap/>
            <w:vAlign w:val="bottom"/>
          </w:tcPr>
          <w:p w14:paraId="36CEBEE2"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20</w:t>
            </w:r>
          </w:p>
        </w:tc>
        <w:tc>
          <w:tcPr>
            <w:tcW w:w="569" w:type="pct"/>
            <w:noWrap/>
            <w:vAlign w:val="bottom"/>
          </w:tcPr>
          <w:p w14:paraId="347DA884"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1.5</w:t>
            </w:r>
          </w:p>
        </w:tc>
      </w:tr>
      <w:tr w:rsidR="001F27D2" w:rsidRPr="00C62A5F" w14:paraId="7A91B709" w14:textId="77777777" w:rsidTr="001F27D2">
        <w:tc>
          <w:tcPr>
            <w:tcW w:w="1119" w:type="pct"/>
            <w:noWrap/>
            <w:hideMark/>
          </w:tcPr>
          <w:p w14:paraId="1E60C7AB" w14:textId="77777777" w:rsidR="001F27D2" w:rsidRPr="00C62A5F" w:rsidRDefault="001F27D2" w:rsidP="00C62A5F">
            <w:pPr>
              <w:spacing w:before="0" w:after="0"/>
              <w:rPr>
                <w:rFonts w:cs="Calibri"/>
                <w:color w:val="000000"/>
                <w:sz w:val="22"/>
                <w:szCs w:val="22"/>
              </w:rPr>
            </w:pPr>
            <w:r w:rsidRPr="00C62A5F">
              <w:rPr>
                <w:rFonts w:cs="Calibri"/>
                <w:color w:val="000000"/>
                <w:sz w:val="22"/>
                <w:szCs w:val="22"/>
              </w:rPr>
              <w:t>1 Bed Bungalow</w:t>
            </w:r>
          </w:p>
        </w:tc>
        <w:tc>
          <w:tcPr>
            <w:tcW w:w="437" w:type="pct"/>
            <w:noWrap/>
            <w:vAlign w:val="bottom"/>
          </w:tcPr>
          <w:p w14:paraId="01D89BC1"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0</w:t>
            </w:r>
          </w:p>
        </w:tc>
        <w:tc>
          <w:tcPr>
            <w:tcW w:w="447" w:type="pct"/>
            <w:noWrap/>
            <w:vAlign w:val="bottom"/>
          </w:tcPr>
          <w:p w14:paraId="6DDBEA2A"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-1</w:t>
            </w:r>
          </w:p>
        </w:tc>
        <w:tc>
          <w:tcPr>
            <w:tcW w:w="521" w:type="pct"/>
            <w:noWrap/>
            <w:vAlign w:val="bottom"/>
          </w:tcPr>
          <w:p w14:paraId="28B35029"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0</w:t>
            </w:r>
          </w:p>
        </w:tc>
        <w:tc>
          <w:tcPr>
            <w:tcW w:w="445" w:type="pct"/>
            <w:noWrap/>
            <w:vAlign w:val="bottom"/>
          </w:tcPr>
          <w:p w14:paraId="02170BE4"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-24</w:t>
            </w:r>
          </w:p>
        </w:tc>
        <w:tc>
          <w:tcPr>
            <w:tcW w:w="521" w:type="pct"/>
            <w:noWrap/>
            <w:vAlign w:val="bottom"/>
          </w:tcPr>
          <w:p w14:paraId="492FD8E2"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28</w:t>
            </w:r>
          </w:p>
        </w:tc>
        <w:tc>
          <w:tcPr>
            <w:tcW w:w="535" w:type="pct"/>
            <w:noWrap/>
            <w:vAlign w:val="bottom"/>
          </w:tcPr>
          <w:p w14:paraId="4BA032A4"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300</w:t>
            </w:r>
          </w:p>
        </w:tc>
        <w:tc>
          <w:tcPr>
            <w:tcW w:w="406" w:type="pct"/>
            <w:noWrap/>
            <w:vAlign w:val="bottom"/>
          </w:tcPr>
          <w:p w14:paraId="5BC39492"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303</w:t>
            </w:r>
          </w:p>
        </w:tc>
        <w:tc>
          <w:tcPr>
            <w:tcW w:w="569" w:type="pct"/>
            <w:noWrap/>
            <w:vAlign w:val="bottom"/>
          </w:tcPr>
          <w:p w14:paraId="79277A74"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21.9</w:t>
            </w:r>
          </w:p>
        </w:tc>
      </w:tr>
      <w:tr w:rsidR="001F27D2" w:rsidRPr="00C62A5F" w14:paraId="25BCD1F0" w14:textId="77777777" w:rsidTr="001F27D2">
        <w:tc>
          <w:tcPr>
            <w:tcW w:w="1119" w:type="pct"/>
            <w:noWrap/>
          </w:tcPr>
          <w:p w14:paraId="4327E10F" w14:textId="77777777" w:rsidR="001F27D2" w:rsidRPr="00C62A5F" w:rsidRDefault="001F27D2" w:rsidP="00C62A5F">
            <w:pPr>
              <w:spacing w:before="0" w:after="0"/>
              <w:rPr>
                <w:rFonts w:cs="Calibri"/>
                <w:color w:val="000000"/>
                <w:sz w:val="22"/>
                <w:szCs w:val="22"/>
              </w:rPr>
            </w:pPr>
            <w:r w:rsidRPr="00C62A5F">
              <w:rPr>
                <w:rFonts w:cs="Calibri"/>
                <w:color w:val="000000"/>
                <w:sz w:val="22"/>
                <w:szCs w:val="22"/>
              </w:rPr>
              <w:t>2 Bed Bungalow</w:t>
            </w:r>
          </w:p>
        </w:tc>
        <w:tc>
          <w:tcPr>
            <w:tcW w:w="437" w:type="pct"/>
            <w:noWrap/>
            <w:vAlign w:val="bottom"/>
          </w:tcPr>
          <w:p w14:paraId="6BF1E1FA"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4</w:t>
            </w:r>
          </w:p>
        </w:tc>
        <w:tc>
          <w:tcPr>
            <w:tcW w:w="447" w:type="pct"/>
            <w:noWrap/>
            <w:vAlign w:val="bottom"/>
          </w:tcPr>
          <w:p w14:paraId="39771261"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0</w:t>
            </w:r>
          </w:p>
        </w:tc>
        <w:tc>
          <w:tcPr>
            <w:tcW w:w="521" w:type="pct"/>
            <w:noWrap/>
            <w:vAlign w:val="bottom"/>
          </w:tcPr>
          <w:p w14:paraId="2808F612"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0</w:t>
            </w:r>
          </w:p>
        </w:tc>
        <w:tc>
          <w:tcPr>
            <w:tcW w:w="445" w:type="pct"/>
            <w:noWrap/>
            <w:vAlign w:val="bottom"/>
          </w:tcPr>
          <w:p w14:paraId="7AD4DA6A"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-39</w:t>
            </w:r>
          </w:p>
        </w:tc>
        <w:tc>
          <w:tcPr>
            <w:tcW w:w="521" w:type="pct"/>
            <w:noWrap/>
            <w:vAlign w:val="bottom"/>
          </w:tcPr>
          <w:p w14:paraId="52CC1875"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126</w:t>
            </w:r>
          </w:p>
        </w:tc>
        <w:tc>
          <w:tcPr>
            <w:tcW w:w="535" w:type="pct"/>
            <w:noWrap/>
            <w:vAlign w:val="bottom"/>
          </w:tcPr>
          <w:p w14:paraId="7AD31565"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0</w:t>
            </w:r>
          </w:p>
        </w:tc>
        <w:tc>
          <w:tcPr>
            <w:tcW w:w="406" w:type="pct"/>
            <w:noWrap/>
            <w:vAlign w:val="bottom"/>
          </w:tcPr>
          <w:p w14:paraId="0EE8BC2E"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92</w:t>
            </w:r>
          </w:p>
        </w:tc>
        <w:tc>
          <w:tcPr>
            <w:tcW w:w="569" w:type="pct"/>
            <w:noWrap/>
            <w:vAlign w:val="bottom"/>
          </w:tcPr>
          <w:p w14:paraId="1187E730"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6.6</w:t>
            </w:r>
          </w:p>
        </w:tc>
      </w:tr>
      <w:tr w:rsidR="001F27D2" w:rsidRPr="00C62A5F" w14:paraId="726AEA58" w14:textId="77777777" w:rsidTr="001F27D2">
        <w:tc>
          <w:tcPr>
            <w:tcW w:w="1119" w:type="pct"/>
            <w:noWrap/>
            <w:hideMark/>
          </w:tcPr>
          <w:p w14:paraId="57CEB230" w14:textId="77777777" w:rsidR="001F27D2" w:rsidRPr="00C62A5F" w:rsidRDefault="001F27D2" w:rsidP="00C62A5F">
            <w:pPr>
              <w:spacing w:before="0" w:after="0"/>
              <w:rPr>
                <w:rFonts w:cs="Calibri"/>
                <w:color w:val="000000"/>
                <w:sz w:val="22"/>
                <w:szCs w:val="22"/>
              </w:rPr>
            </w:pPr>
            <w:r w:rsidRPr="00C62A5F">
              <w:rPr>
                <w:rFonts w:cs="Calibri"/>
                <w:color w:val="000000"/>
                <w:sz w:val="22"/>
                <w:szCs w:val="22"/>
              </w:rPr>
              <w:t>3+ Bed Bungalow</w:t>
            </w:r>
          </w:p>
        </w:tc>
        <w:tc>
          <w:tcPr>
            <w:tcW w:w="437" w:type="pct"/>
            <w:noWrap/>
            <w:vAlign w:val="bottom"/>
          </w:tcPr>
          <w:p w14:paraId="2F96B8A6"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0</w:t>
            </w:r>
          </w:p>
        </w:tc>
        <w:tc>
          <w:tcPr>
            <w:tcW w:w="447" w:type="pct"/>
            <w:noWrap/>
            <w:vAlign w:val="bottom"/>
          </w:tcPr>
          <w:p w14:paraId="443690A5"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0</w:t>
            </w:r>
          </w:p>
        </w:tc>
        <w:tc>
          <w:tcPr>
            <w:tcW w:w="521" w:type="pct"/>
            <w:noWrap/>
            <w:vAlign w:val="bottom"/>
          </w:tcPr>
          <w:p w14:paraId="7C57E9B2"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0</w:t>
            </w:r>
          </w:p>
        </w:tc>
        <w:tc>
          <w:tcPr>
            <w:tcW w:w="445" w:type="pct"/>
            <w:noWrap/>
            <w:vAlign w:val="bottom"/>
          </w:tcPr>
          <w:p w14:paraId="53AD571C"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-96</w:t>
            </w:r>
          </w:p>
        </w:tc>
        <w:tc>
          <w:tcPr>
            <w:tcW w:w="521" w:type="pct"/>
            <w:noWrap/>
            <w:vAlign w:val="bottom"/>
          </w:tcPr>
          <w:p w14:paraId="3BF3BA58"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186</w:t>
            </w:r>
          </w:p>
        </w:tc>
        <w:tc>
          <w:tcPr>
            <w:tcW w:w="535" w:type="pct"/>
            <w:noWrap/>
            <w:vAlign w:val="bottom"/>
          </w:tcPr>
          <w:p w14:paraId="10408E66"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75</w:t>
            </w:r>
          </w:p>
        </w:tc>
        <w:tc>
          <w:tcPr>
            <w:tcW w:w="406" w:type="pct"/>
            <w:noWrap/>
            <w:vAlign w:val="bottom"/>
          </w:tcPr>
          <w:p w14:paraId="17A39D06"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165</w:t>
            </w:r>
          </w:p>
        </w:tc>
        <w:tc>
          <w:tcPr>
            <w:tcW w:w="569" w:type="pct"/>
            <w:noWrap/>
            <w:vAlign w:val="bottom"/>
          </w:tcPr>
          <w:p w14:paraId="7ACBAAF8"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11.9</w:t>
            </w:r>
          </w:p>
        </w:tc>
      </w:tr>
      <w:tr w:rsidR="001F27D2" w:rsidRPr="00C62A5F" w14:paraId="2AEC0220" w14:textId="77777777" w:rsidTr="001F27D2">
        <w:tc>
          <w:tcPr>
            <w:tcW w:w="1119" w:type="pct"/>
            <w:noWrap/>
            <w:hideMark/>
          </w:tcPr>
          <w:p w14:paraId="0AAD34B9" w14:textId="77777777" w:rsidR="001F27D2" w:rsidRPr="00C62A5F" w:rsidRDefault="001F27D2" w:rsidP="00C62A5F">
            <w:pPr>
              <w:spacing w:before="0" w:after="0"/>
              <w:rPr>
                <w:rFonts w:cs="Calibri"/>
                <w:color w:val="000000"/>
                <w:sz w:val="22"/>
                <w:szCs w:val="22"/>
              </w:rPr>
            </w:pPr>
            <w:r w:rsidRPr="00C62A5F">
              <w:rPr>
                <w:rFonts w:cs="Calibri"/>
                <w:color w:val="000000"/>
                <w:sz w:val="22"/>
                <w:szCs w:val="22"/>
              </w:rPr>
              <w:t>1 Bed Other</w:t>
            </w:r>
          </w:p>
        </w:tc>
        <w:tc>
          <w:tcPr>
            <w:tcW w:w="437" w:type="pct"/>
            <w:noWrap/>
            <w:vAlign w:val="bottom"/>
          </w:tcPr>
          <w:p w14:paraId="31CC4F56"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0</w:t>
            </w:r>
          </w:p>
        </w:tc>
        <w:tc>
          <w:tcPr>
            <w:tcW w:w="447" w:type="pct"/>
            <w:noWrap/>
            <w:vAlign w:val="bottom"/>
          </w:tcPr>
          <w:p w14:paraId="060C5D94"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0</w:t>
            </w:r>
          </w:p>
        </w:tc>
        <w:tc>
          <w:tcPr>
            <w:tcW w:w="521" w:type="pct"/>
            <w:noWrap/>
            <w:vAlign w:val="bottom"/>
          </w:tcPr>
          <w:p w14:paraId="236EA73F"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0</w:t>
            </w:r>
          </w:p>
        </w:tc>
        <w:tc>
          <w:tcPr>
            <w:tcW w:w="445" w:type="pct"/>
            <w:noWrap/>
            <w:vAlign w:val="bottom"/>
          </w:tcPr>
          <w:p w14:paraId="6712E35E"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0</w:t>
            </w:r>
          </w:p>
        </w:tc>
        <w:tc>
          <w:tcPr>
            <w:tcW w:w="521" w:type="pct"/>
            <w:noWrap/>
            <w:vAlign w:val="bottom"/>
          </w:tcPr>
          <w:p w14:paraId="5AA971ED"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0</w:t>
            </w:r>
          </w:p>
        </w:tc>
        <w:tc>
          <w:tcPr>
            <w:tcW w:w="535" w:type="pct"/>
            <w:noWrap/>
            <w:vAlign w:val="bottom"/>
          </w:tcPr>
          <w:p w14:paraId="318476B4"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6</w:t>
            </w:r>
          </w:p>
        </w:tc>
        <w:tc>
          <w:tcPr>
            <w:tcW w:w="406" w:type="pct"/>
            <w:noWrap/>
            <w:vAlign w:val="bottom"/>
          </w:tcPr>
          <w:p w14:paraId="41CA968E"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5</w:t>
            </w:r>
          </w:p>
        </w:tc>
        <w:tc>
          <w:tcPr>
            <w:tcW w:w="569" w:type="pct"/>
            <w:noWrap/>
            <w:vAlign w:val="bottom"/>
          </w:tcPr>
          <w:p w14:paraId="13FEA426"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0.4</w:t>
            </w:r>
          </w:p>
        </w:tc>
      </w:tr>
      <w:tr w:rsidR="001F27D2" w:rsidRPr="00C62A5F" w14:paraId="7AECB89A" w14:textId="77777777" w:rsidTr="001F27D2">
        <w:tc>
          <w:tcPr>
            <w:tcW w:w="1119" w:type="pct"/>
            <w:noWrap/>
            <w:hideMark/>
          </w:tcPr>
          <w:p w14:paraId="3B1A4191" w14:textId="77777777" w:rsidR="001F27D2" w:rsidRPr="00C62A5F" w:rsidRDefault="001F27D2" w:rsidP="00C62A5F">
            <w:pPr>
              <w:spacing w:before="0" w:after="0"/>
              <w:rPr>
                <w:rFonts w:cs="Calibri"/>
                <w:color w:val="000000"/>
                <w:sz w:val="22"/>
                <w:szCs w:val="22"/>
              </w:rPr>
            </w:pPr>
            <w:r w:rsidRPr="00C62A5F">
              <w:rPr>
                <w:rFonts w:cs="Calibri"/>
                <w:color w:val="000000"/>
                <w:sz w:val="22"/>
                <w:szCs w:val="22"/>
              </w:rPr>
              <w:t>2 Bed Other</w:t>
            </w:r>
          </w:p>
        </w:tc>
        <w:tc>
          <w:tcPr>
            <w:tcW w:w="437" w:type="pct"/>
            <w:noWrap/>
            <w:vAlign w:val="bottom"/>
          </w:tcPr>
          <w:p w14:paraId="79523D80"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0</w:t>
            </w:r>
          </w:p>
        </w:tc>
        <w:tc>
          <w:tcPr>
            <w:tcW w:w="447" w:type="pct"/>
            <w:noWrap/>
            <w:vAlign w:val="bottom"/>
          </w:tcPr>
          <w:p w14:paraId="630E51EE"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0</w:t>
            </w:r>
          </w:p>
        </w:tc>
        <w:tc>
          <w:tcPr>
            <w:tcW w:w="521" w:type="pct"/>
            <w:noWrap/>
            <w:vAlign w:val="bottom"/>
          </w:tcPr>
          <w:p w14:paraId="376A102C"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0</w:t>
            </w:r>
          </w:p>
        </w:tc>
        <w:tc>
          <w:tcPr>
            <w:tcW w:w="445" w:type="pct"/>
            <w:noWrap/>
            <w:vAlign w:val="bottom"/>
          </w:tcPr>
          <w:p w14:paraId="7AFB335C"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0</w:t>
            </w:r>
          </w:p>
        </w:tc>
        <w:tc>
          <w:tcPr>
            <w:tcW w:w="521" w:type="pct"/>
            <w:noWrap/>
            <w:vAlign w:val="bottom"/>
          </w:tcPr>
          <w:p w14:paraId="11EE464A"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18</w:t>
            </w:r>
          </w:p>
        </w:tc>
        <w:tc>
          <w:tcPr>
            <w:tcW w:w="535" w:type="pct"/>
            <w:noWrap/>
            <w:vAlign w:val="bottom"/>
          </w:tcPr>
          <w:p w14:paraId="7D0B2DB7"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7</w:t>
            </w:r>
          </w:p>
        </w:tc>
        <w:tc>
          <w:tcPr>
            <w:tcW w:w="406" w:type="pct"/>
            <w:noWrap/>
            <w:vAlign w:val="bottom"/>
          </w:tcPr>
          <w:p w14:paraId="30E5C576"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26</w:t>
            </w:r>
          </w:p>
        </w:tc>
        <w:tc>
          <w:tcPr>
            <w:tcW w:w="569" w:type="pct"/>
            <w:noWrap/>
            <w:vAlign w:val="bottom"/>
          </w:tcPr>
          <w:p w14:paraId="79D4FCA1"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1.8</w:t>
            </w:r>
          </w:p>
        </w:tc>
      </w:tr>
      <w:tr w:rsidR="001F27D2" w:rsidRPr="00C62A5F" w14:paraId="38B2E929" w14:textId="77777777" w:rsidTr="001F27D2">
        <w:tc>
          <w:tcPr>
            <w:tcW w:w="1119" w:type="pct"/>
            <w:noWrap/>
            <w:hideMark/>
          </w:tcPr>
          <w:p w14:paraId="6672DF8F" w14:textId="77777777" w:rsidR="001F27D2" w:rsidRPr="00C62A5F" w:rsidRDefault="001F27D2" w:rsidP="00C62A5F">
            <w:pPr>
              <w:spacing w:before="0" w:after="0"/>
              <w:rPr>
                <w:rFonts w:cs="Calibri"/>
                <w:color w:val="000000"/>
                <w:sz w:val="22"/>
                <w:szCs w:val="22"/>
              </w:rPr>
            </w:pPr>
            <w:r w:rsidRPr="00C62A5F">
              <w:rPr>
                <w:rFonts w:cs="Calibri"/>
                <w:color w:val="000000"/>
                <w:sz w:val="22"/>
                <w:szCs w:val="22"/>
              </w:rPr>
              <w:t>3+ Bed Other</w:t>
            </w:r>
          </w:p>
        </w:tc>
        <w:tc>
          <w:tcPr>
            <w:tcW w:w="437" w:type="pct"/>
            <w:noWrap/>
            <w:vAlign w:val="bottom"/>
          </w:tcPr>
          <w:p w14:paraId="5FF75547"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0</w:t>
            </w:r>
          </w:p>
        </w:tc>
        <w:tc>
          <w:tcPr>
            <w:tcW w:w="447" w:type="pct"/>
            <w:noWrap/>
            <w:vAlign w:val="bottom"/>
          </w:tcPr>
          <w:p w14:paraId="2E8F66F3"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0</w:t>
            </w:r>
          </w:p>
        </w:tc>
        <w:tc>
          <w:tcPr>
            <w:tcW w:w="521" w:type="pct"/>
            <w:noWrap/>
            <w:vAlign w:val="bottom"/>
          </w:tcPr>
          <w:p w14:paraId="4E6D502B"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0</w:t>
            </w:r>
          </w:p>
        </w:tc>
        <w:tc>
          <w:tcPr>
            <w:tcW w:w="445" w:type="pct"/>
            <w:noWrap/>
            <w:vAlign w:val="bottom"/>
          </w:tcPr>
          <w:p w14:paraId="52A95DEF"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-15</w:t>
            </w:r>
          </w:p>
        </w:tc>
        <w:tc>
          <w:tcPr>
            <w:tcW w:w="521" w:type="pct"/>
            <w:noWrap/>
            <w:vAlign w:val="bottom"/>
          </w:tcPr>
          <w:p w14:paraId="46856B45"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16</w:t>
            </w:r>
          </w:p>
        </w:tc>
        <w:tc>
          <w:tcPr>
            <w:tcW w:w="535" w:type="pct"/>
            <w:noWrap/>
            <w:vAlign w:val="bottom"/>
          </w:tcPr>
          <w:p w14:paraId="077120EB"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2</w:t>
            </w:r>
          </w:p>
        </w:tc>
        <w:tc>
          <w:tcPr>
            <w:tcW w:w="406" w:type="pct"/>
            <w:noWrap/>
            <w:vAlign w:val="bottom"/>
          </w:tcPr>
          <w:p w14:paraId="1A088B99"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3</w:t>
            </w:r>
          </w:p>
        </w:tc>
        <w:tc>
          <w:tcPr>
            <w:tcW w:w="569" w:type="pct"/>
            <w:noWrap/>
            <w:vAlign w:val="bottom"/>
          </w:tcPr>
          <w:p w14:paraId="54E03736"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0.2</w:t>
            </w:r>
          </w:p>
        </w:tc>
      </w:tr>
      <w:tr w:rsidR="001F27D2" w:rsidRPr="00C62A5F" w14:paraId="439081DA" w14:textId="77777777" w:rsidTr="001F27D2">
        <w:tc>
          <w:tcPr>
            <w:tcW w:w="1119" w:type="pct"/>
            <w:noWrap/>
            <w:hideMark/>
          </w:tcPr>
          <w:p w14:paraId="42A79BDE" w14:textId="77777777" w:rsidR="001F27D2" w:rsidRPr="00C62A5F" w:rsidRDefault="001F27D2" w:rsidP="00C62A5F">
            <w:pPr>
              <w:spacing w:before="0" w:after="0"/>
              <w:rPr>
                <w:rFonts w:cs="Calibri"/>
                <w:b/>
                <w:color w:val="000000"/>
                <w:sz w:val="22"/>
                <w:szCs w:val="22"/>
              </w:rPr>
            </w:pPr>
            <w:r w:rsidRPr="00C62A5F">
              <w:rPr>
                <w:rFonts w:cs="Calibri"/>
                <w:b/>
                <w:color w:val="000000"/>
                <w:sz w:val="22"/>
                <w:szCs w:val="22"/>
              </w:rPr>
              <w:t>Total</w:t>
            </w:r>
          </w:p>
        </w:tc>
        <w:tc>
          <w:tcPr>
            <w:tcW w:w="437" w:type="pct"/>
            <w:noWrap/>
            <w:vAlign w:val="bottom"/>
          </w:tcPr>
          <w:p w14:paraId="3313628D"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17</w:t>
            </w:r>
          </w:p>
        </w:tc>
        <w:tc>
          <w:tcPr>
            <w:tcW w:w="447" w:type="pct"/>
            <w:noWrap/>
            <w:vAlign w:val="bottom"/>
          </w:tcPr>
          <w:p w14:paraId="09B878F8"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-73</w:t>
            </w:r>
          </w:p>
        </w:tc>
        <w:tc>
          <w:tcPr>
            <w:tcW w:w="521" w:type="pct"/>
            <w:noWrap/>
            <w:vAlign w:val="bottom"/>
          </w:tcPr>
          <w:p w14:paraId="050568FC"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-9</w:t>
            </w:r>
          </w:p>
        </w:tc>
        <w:tc>
          <w:tcPr>
            <w:tcW w:w="445" w:type="pct"/>
            <w:noWrap/>
            <w:vAlign w:val="bottom"/>
          </w:tcPr>
          <w:p w14:paraId="3B994970"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-1,690</w:t>
            </w:r>
          </w:p>
        </w:tc>
        <w:tc>
          <w:tcPr>
            <w:tcW w:w="521" w:type="pct"/>
            <w:noWrap/>
            <w:vAlign w:val="bottom"/>
          </w:tcPr>
          <w:p w14:paraId="02A328E1"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1,801</w:t>
            </w:r>
          </w:p>
        </w:tc>
        <w:tc>
          <w:tcPr>
            <w:tcW w:w="535" w:type="pct"/>
            <w:noWrap/>
            <w:vAlign w:val="bottom"/>
          </w:tcPr>
          <w:p w14:paraId="4863F563"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1,340</w:t>
            </w:r>
          </w:p>
        </w:tc>
        <w:tc>
          <w:tcPr>
            <w:tcW w:w="406" w:type="pct"/>
            <w:noWrap/>
            <w:vAlign w:val="bottom"/>
          </w:tcPr>
          <w:p w14:paraId="3DC9B2E8"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1,386</w:t>
            </w:r>
          </w:p>
        </w:tc>
        <w:tc>
          <w:tcPr>
            <w:tcW w:w="569" w:type="pct"/>
            <w:noWrap/>
            <w:vAlign w:val="bottom"/>
          </w:tcPr>
          <w:p w14:paraId="7DE133E3"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100.0</w:t>
            </w:r>
          </w:p>
        </w:tc>
      </w:tr>
      <w:tr w:rsidR="001F27D2" w:rsidRPr="00C62A5F" w14:paraId="5DA49991" w14:textId="77777777" w:rsidTr="001F27D2">
        <w:tc>
          <w:tcPr>
            <w:tcW w:w="1119" w:type="pct"/>
            <w:vMerge w:val="restart"/>
            <w:shd w:val="clear" w:color="auto" w:fill="009999"/>
            <w:noWrap/>
            <w:hideMark/>
          </w:tcPr>
          <w:p w14:paraId="19D261BD" w14:textId="77777777" w:rsidR="001F27D2" w:rsidRPr="00C62A5F" w:rsidRDefault="001F27D2" w:rsidP="00C62A5F">
            <w:pPr>
              <w:spacing w:before="0" w:after="0"/>
              <w:rPr>
                <w:rFonts w:cs="Calibri"/>
                <w:b/>
                <w:bCs/>
                <w:color w:val="FFFFFF" w:themeColor="background1"/>
                <w:sz w:val="22"/>
                <w:szCs w:val="22"/>
              </w:rPr>
            </w:pPr>
            <w:r w:rsidRPr="00C62A5F">
              <w:rPr>
                <w:rFonts w:cs="Calibri"/>
                <w:b/>
                <w:bCs/>
                <w:color w:val="FFFFFF" w:themeColor="background1"/>
                <w:sz w:val="22"/>
                <w:szCs w:val="22"/>
              </w:rPr>
              <w:t>Dwelling type/size</w:t>
            </w:r>
          </w:p>
        </w:tc>
        <w:tc>
          <w:tcPr>
            <w:tcW w:w="2906" w:type="pct"/>
            <w:gridSpan w:val="6"/>
            <w:shd w:val="clear" w:color="auto" w:fill="009999"/>
            <w:noWrap/>
            <w:hideMark/>
          </w:tcPr>
          <w:p w14:paraId="36FC4576" w14:textId="77777777" w:rsidR="001F27D2" w:rsidRPr="00C62A5F" w:rsidRDefault="001F27D2" w:rsidP="00C62A5F">
            <w:pPr>
              <w:spacing w:before="0" w:after="0"/>
              <w:jc w:val="center"/>
              <w:rPr>
                <w:rFonts w:cs="Calibri"/>
                <w:b/>
                <w:bCs/>
                <w:color w:val="FFFFFF" w:themeColor="background1"/>
                <w:sz w:val="22"/>
                <w:szCs w:val="22"/>
              </w:rPr>
            </w:pPr>
            <w:r w:rsidRPr="00C62A5F">
              <w:rPr>
                <w:rFonts w:cs="Calibri"/>
                <w:b/>
                <w:bCs/>
                <w:color w:val="FFFFFF" w:themeColor="background1"/>
                <w:sz w:val="22"/>
                <w:szCs w:val="22"/>
              </w:rPr>
              <w:t>Age group of Household Reference Person</w:t>
            </w:r>
          </w:p>
        </w:tc>
        <w:tc>
          <w:tcPr>
            <w:tcW w:w="406" w:type="pct"/>
            <w:vMerge w:val="restart"/>
            <w:shd w:val="clear" w:color="auto" w:fill="009999"/>
            <w:vAlign w:val="bottom"/>
          </w:tcPr>
          <w:p w14:paraId="07018362" w14:textId="77777777" w:rsidR="001F27D2" w:rsidRPr="00C62A5F" w:rsidRDefault="001F27D2" w:rsidP="00C62A5F">
            <w:pPr>
              <w:spacing w:before="0" w:after="0"/>
              <w:jc w:val="center"/>
              <w:rPr>
                <w:rFonts w:cs="Calibri"/>
                <w:b/>
                <w:bCs/>
                <w:color w:val="FFFFFF" w:themeColor="background1"/>
                <w:sz w:val="22"/>
                <w:szCs w:val="22"/>
              </w:rPr>
            </w:pPr>
            <w:r w:rsidRPr="00C62A5F">
              <w:rPr>
                <w:rFonts w:cs="Calibri"/>
                <w:b/>
                <w:bCs/>
                <w:color w:val="FFFFFF" w:themeColor="background1"/>
                <w:sz w:val="22"/>
                <w:szCs w:val="22"/>
              </w:rPr>
              <w:t>Total</w:t>
            </w:r>
          </w:p>
        </w:tc>
        <w:tc>
          <w:tcPr>
            <w:tcW w:w="569" w:type="pct"/>
            <w:vMerge w:val="restart"/>
            <w:shd w:val="clear" w:color="auto" w:fill="009999"/>
            <w:vAlign w:val="bottom"/>
          </w:tcPr>
          <w:p w14:paraId="6019ECF7" w14:textId="77777777" w:rsidR="001F27D2" w:rsidRPr="00C62A5F" w:rsidRDefault="001F27D2" w:rsidP="00C62A5F">
            <w:pPr>
              <w:spacing w:before="0" w:after="0"/>
              <w:jc w:val="center"/>
              <w:rPr>
                <w:rFonts w:cs="Calibri"/>
                <w:b/>
                <w:bCs/>
                <w:color w:val="FFFFFF" w:themeColor="background1"/>
                <w:sz w:val="22"/>
                <w:szCs w:val="22"/>
              </w:rPr>
            </w:pPr>
            <w:r w:rsidRPr="00C62A5F">
              <w:rPr>
                <w:rFonts w:cs="Calibri"/>
                <w:b/>
                <w:bCs/>
                <w:color w:val="FFFFFF" w:themeColor="background1"/>
                <w:sz w:val="22"/>
                <w:szCs w:val="22"/>
              </w:rPr>
              <w:t>% change</w:t>
            </w:r>
          </w:p>
        </w:tc>
      </w:tr>
      <w:tr w:rsidR="001F27D2" w:rsidRPr="00C62A5F" w14:paraId="1CE06C55" w14:textId="77777777" w:rsidTr="001F27D2">
        <w:tc>
          <w:tcPr>
            <w:tcW w:w="1119" w:type="pct"/>
            <w:vMerge/>
            <w:shd w:val="clear" w:color="auto" w:fill="009999"/>
            <w:noWrap/>
            <w:hideMark/>
          </w:tcPr>
          <w:p w14:paraId="0EA447B7" w14:textId="77777777" w:rsidR="001F27D2" w:rsidRPr="00C62A5F" w:rsidRDefault="001F27D2" w:rsidP="00C62A5F">
            <w:pPr>
              <w:spacing w:before="0" w:after="0"/>
              <w:rPr>
                <w:rFonts w:cs="Calibri"/>
                <w:bCs/>
                <w:color w:val="FFFFFF" w:themeColor="background1"/>
                <w:sz w:val="22"/>
                <w:szCs w:val="22"/>
              </w:rPr>
            </w:pPr>
          </w:p>
        </w:tc>
        <w:tc>
          <w:tcPr>
            <w:tcW w:w="437" w:type="pct"/>
            <w:shd w:val="clear" w:color="auto" w:fill="009999"/>
            <w:noWrap/>
            <w:hideMark/>
          </w:tcPr>
          <w:p w14:paraId="4F5FEA82" w14:textId="77777777" w:rsidR="001F27D2" w:rsidRPr="00C62A5F" w:rsidRDefault="001F27D2" w:rsidP="00C62A5F">
            <w:pPr>
              <w:spacing w:before="0" w:after="0"/>
              <w:jc w:val="center"/>
              <w:rPr>
                <w:rFonts w:cs="Calibri"/>
                <w:bCs/>
                <w:color w:val="FFFFFF" w:themeColor="background1"/>
                <w:sz w:val="22"/>
                <w:szCs w:val="22"/>
              </w:rPr>
            </w:pPr>
            <w:r w:rsidRPr="00C62A5F">
              <w:rPr>
                <w:rFonts w:cs="Calibri"/>
                <w:bCs/>
                <w:color w:val="FFFFFF" w:themeColor="background1"/>
                <w:sz w:val="22"/>
                <w:szCs w:val="22"/>
              </w:rPr>
              <w:t>15-24</w:t>
            </w:r>
          </w:p>
        </w:tc>
        <w:tc>
          <w:tcPr>
            <w:tcW w:w="447" w:type="pct"/>
            <w:shd w:val="clear" w:color="auto" w:fill="009999"/>
            <w:noWrap/>
            <w:hideMark/>
          </w:tcPr>
          <w:p w14:paraId="2DB44B74" w14:textId="77777777" w:rsidR="001F27D2" w:rsidRPr="00C62A5F" w:rsidRDefault="001F27D2" w:rsidP="00C62A5F">
            <w:pPr>
              <w:spacing w:before="0" w:after="0"/>
              <w:jc w:val="center"/>
              <w:rPr>
                <w:rFonts w:cs="Calibri"/>
                <w:bCs/>
                <w:color w:val="FFFFFF" w:themeColor="background1"/>
                <w:sz w:val="22"/>
                <w:szCs w:val="22"/>
              </w:rPr>
            </w:pPr>
            <w:r w:rsidRPr="00C62A5F">
              <w:rPr>
                <w:rFonts w:cs="Calibri"/>
                <w:bCs/>
                <w:color w:val="FFFFFF" w:themeColor="background1"/>
                <w:sz w:val="22"/>
                <w:szCs w:val="22"/>
              </w:rPr>
              <w:t>25-34</w:t>
            </w:r>
          </w:p>
        </w:tc>
        <w:tc>
          <w:tcPr>
            <w:tcW w:w="521" w:type="pct"/>
            <w:shd w:val="clear" w:color="auto" w:fill="009999"/>
            <w:noWrap/>
            <w:hideMark/>
          </w:tcPr>
          <w:p w14:paraId="78BF6CE4" w14:textId="77777777" w:rsidR="001F27D2" w:rsidRPr="00C62A5F" w:rsidRDefault="001F27D2" w:rsidP="00C62A5F">
            <w:pPr>
              <w:spacing w:before="0" w:after="0"/>
              <w:jc w:val="center"/>
              <w:rPr>
                <w:rFonts w:cs="Calibri"/>
                <w:bCs/>
                <w:color w:val="FFFFFF" w:themeColor="background1"/>
                <w:sz w:val="22"/>
                <w:szCs w:val="22"/>
              </w:rPr>
            </w:pPr>
            <w:r w:rsidRPr="00C62A5F">
              <w:rPr>
                <w:rFonts w:cs="Calibri"/>
                <w:bCs/>
                <w:color w:val="FFFFFF" w:themeColor="background1"/>
                <w:sz w:val="22"/>
                <w:szCs w:val="22"/>
              </w:rPr>
              <w:t>35-44</w:t>
            </w:r>
          </w:p>
        </w:tc>
        <w:tc>
          <w:tcPr>
            <w:tcW w:w="445" w:type="pct"/>
            <w:shd w:val="clear" w:color="auto" w:fill="009999"/>
            <w:noWrap/>
            <w:hideMark/>
          </w:tcPr>
          <w:p w14:paraId="62C1592B" w14:textId="77777777" w:rsidR="001F27D2" w:rsidRPr="00C62A5F" w:rsidRDefault="001F27D2" w:rsidP="00C62A5F">
            <w:pPr>
              <w:spacing w:before="0" w:after="0"/>
              <w:jc w:val="center"/>
              <w:rPr>
                <w:rFonts w:cs="Calibri"/>
                <w:bCs/>
                <w:color w:val="FFFFFF" w:themeColor="background1"/>
                <w:sz w:val="22"/>
                <w:szCs w:val="22"/>
              </w:rPr>
            </w:pPr>
            <w:r w:rsidRPr="00C62A5F">
              <w:rPr>
                <w:rFonts w:cs="Calibri"/>
                <w:bCs/>
                <w:color w:val="FFFFFF" w:themeColor="background1"/>
                <w:sz w:val="22"/>
                <w:szCs w:val="22"/>
              </w:rPr>
              <w:t>45-59</w:t>
            </w:r>
          </w:p>
        </w:tc>
        <w:tc>
          <w:tcPr>
            <w:tcW w:w="521" w:type="pct"/>
            <w:shd w:val="clear" w:color="auto" w:fill="009999"/>
            <w:noWrap/>
            <w:hideMark/>
          </w:tcPr>
          <w:p w14:paraId="2E86A7A8" w14:textId="77777777" w:rsidR="001F27D2" w:rsidRPr="00C62A5F" w:rsidRDefault="001F27D2" w:rsidP="00C62A5F">
            <w:pPr>
              <w:spacing w:before="0" w:after="0"/>
              <w:jc w:val="center"/>
              <w:rPr>
                <w:rFonts w:cs="Calibri"/>
                <w:bCs/>
                <w:color w:val="FFFFFF" w:themeColor="background1"/>
                <w:sz w:val="22"/>
                <w:szCs w:val="22"/>
              </w:rPr>
            </w:pPr>
            <w:r w:rsidRPr="00C62A5F">
              <w:rPr>
                <w:rFonts w:cs="Calibri"/>
                <w:bCs/>
                <w:color w:val="FFFFFF" w:themeColor="background1"/>
                <w:sz w:val="22"/>
                <w:szCs w:val="22"/>
              </w:rPr>
              <w:t>60-84</w:t>
            </w:r>
          </w:p>
        </w:tc>
        <w:tc>
          <w:tcPr>
            <w:tcW w:w="535" w:type="pct"/>
            <w:shd w:val="clear" w:color="auto" w:fill="009999"/>
            <w:noWrap/>
            <w:hideMark/>
          </w:tcPr>
          <w:p w14:paraId="7EDA941F" w14:textId="77777777" w:rsidR="001F27D2" w:rsidRPr="00C62A5F" w:rsidRDefault="001F27D2" w:rsidP="00C62A5F">
            <w:pPr>
              <w:spacing w:before="0" w:after="0"/>
              <w:jc w:val="center"/>
              <w:rPr>
                <w:rFonts w:cs="Calibri"/>
                <w:bCs/>
                <w:color w:val="FFFFFF" w:themeColor="background1"/>
                <w:sz w:val="22"/>
                <w:szCs w:val="22"/>
              </w:rPr>
            </w:pPr>
            <w:r w:rsidRPr="00C62A5F">
              <w:rPr>
                <w:rFonts w:cs="Calibri"/>
                <w:bCs/>
                <w:color w:val="FFFFFF" w:themeColor="background1"/>
                <w:sz w:val="22"/>
                <w:szCs w:val="22"/>
              </w:rPr>
              <w:t>85+</w:t>
            </w:r>
          </w:p>
        </w:tc>
        <w:tc>
          <w:tcPr>
            <w:tcW w:w="406" w:type="pct"/>
            <w:vMerge/>
            <w:shd w:val="clear" w:color="auto" w:fill="009999"/>
            <w:noWrap/>
            <w:hideMark/>
          </w:tcPr>
          <w:p w14:paraId="22715D07" w14:textId="77777777" w:rsidR="001F27D2" w:rsidRPr="00C62A5F" w:rsidRDefault="001F27D2" w:rsidP="00C62A5F">
            <w:pPr>
              <w:spacing w:before="0" w:after="0"/>
              <w:jc w:val="center"/>
              <w:rPr>
                <w:rFonts w:cs="Calibri"/>
                <w:bCs/>
                <w:color w:val="FFFFFF" w:themeColor="background1"/>
                <w:sz w:val="22"/>
                <w:szCs w:val="22"/>
              </w:rPr>
            </w:pPr>
          </w:p>
        </w:tc>
        <w:tc>
          <w:tcPr>
            <w:tcW w:w="569" w:type="pct"/>
            <w:vMerge/>
            <w:shd w:val="clear" w:color="auto" w:fill="009999"/>
            <w:noWrap/>
            <w:hideMark/>
          </w:tcPr>
          <w:p w14:paraId="720AA171" w14:textId="77777777" w:rsidR="001F27D2" w:rsidRPr="00C62A5F" w:rsidRDefault="001F27D2" w:rsidP="00C62A5F">
            <w:pPr>
              <w:spacing w:before="0" w:after="0"/>
              <w:jc w:val="center"/>
              <w:rPr>
                <w:rFonts w:cs="Calibri"/>
                <w:bCs/>
                <w:color w:val="FFFFFF" w:themeColor="background1"/>
                <w:sz w:val="22"/>
                <w:szCs w:val="22"/>
              </w:rPr>
            </w:pPr>
          </w:p>
        </w:tc>
      </w:tr>
      <w:tr w:rsidR="001F27D2" w:rsidRPr="00C62A5F" w14:paraId="203CBD81" w14:textId="77777777" w:rsidTr="001F27D2">
        <w:tc>
          <w:tcPr>
            <w:tcW w:w="1119" w:type="pct"/>
            <w:noWrap/>
            <w:hideMark/>
          </w:tcPr>
          <w:p w14:paraId="68A8AB27"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1</w:t>
            </w:r>
          </w:p>
        </w:tc>
        <w:tc>
          <w:tcPr>
            <w:tcW w:w="437" w:type="pct"/>
            <w:noWrap/>
            <w:vAlign w:val="bottom"/>
          </w:tcPr>
          <w:p w14:paraId="29BAF2CD" w14:textId="77777777" w:rsidR="001F27D2" w:rsidRPr="00C62A5F" w:rsidRDefault="001F27D2" w:rsidP="00C62A5F">
            <w:pPr>
              <w:spacing w:before="0" w:after="0"/>
              <w:jc w:val="right"/>
              <w:rPr>
                <w:rFonts w:cs="Calibri"/>
                <w:color w:val="000000"/>
                <w:sz w:val="22"/>
                <w:szCs w:val="22"/>
              </w:rPr>
            </w:pPr>
            <w:r w:rsidRPr="00C62A5F">
              <w:rPr>
                <w:rFonts w:cs="Calibri"/>
                <w:bCs/>
                <w:color w:val="000000"/>
                <w:sz w:val="22"/>
                <w:szCs w:val="22"/>
              </w:rPr>
              <w:t>4</w:t>
            </w:r>
          </w:p>
        </w:tc>
        <w:tc>
          <w:tcPr>
            <w:tcW w:w="447" w:type="pct"/>
            <w:noWrap/>
            <w:vAlign w:val="bottom"/>
          </w:tcPr>
          <w:p w14:paraId="04017114" w14:textId="77777777" w:rsidR="001F27D2" w:rsidRPr="00C62A5F" w:rsidRDefault="001F27D2" w:rsidP="00C62A5F">
            <w:pPr>
              <w:spacing w:before="0" w:after="0"/>
              <w:jc w:val="right"/>
              <w:rPr>
                <w:rFonts w:cs="Calibri"/>
                <w:color w:val="000000"/>
                <w:sz w:val="22"/>
                <w:szCs w:val="22"/>
              </w:rPr>
            </w:pPr>
            <w:r w:rsidRPr="00C62A5F">
              <w:rPr>
                <w:rFonts w:cs="Calibri"/>
                <w:bCs/>
                <w:color w:val="000000"/>
                <w:sz w:val="22"/>
                <w:szCs w:val="22"/>
              </w:rPr>
              <w:t>-9</w:t>
            </w:r>
          </w:p>
        </w:tc>
        <w:tc>
          <w:tcPr>
            <w:tcW w:w="521" w:type="pct"/>
            <w:noWrap/>
            <w:vAlign w:val="bottom"/>
          </w:tcPr>
          <w:p w14:paraId="465BAE22" w14:textId="77777777" w:rsidR="001F27D2" w:rsidRPr="00C62A5F" w:rsidRDefault="001F27D2" w:rsidP="00C62A5F">
            <w:pPr>
              <w:spacing w:before="0" w:after="0"/>
              <w:jc w:val="right"/>
              <w:rPr>
                <w:rFonts w:cs="Calibri"/>
                <w:color w:val="000000"/>
                <w:sz w:val="22"/>
                <w:szCs w:val="22"/>
              </w:rPr>
            </w:pPr>
            <w:r w:rsidRPr="00C62A5F">
              <w:rPr>
                <w:rFonts w:cs="Calibri"/>
                <w:bCs/>
                <w:color w:val="000000"/>
                <w:sz w:val="22"/>
                <w:szCs w:val="22"/>
              </w:rPr>
              <w:t>0</w:t>
            </w:r>
          </w:p>
        </w:tc>
        <w:tc>
          <w:tcPr>
            <w:tcW w:w="445" w:type="pct"/>
            <w:noWrap/>
            <w:vAlign w:val="bottom"/>
          </w:tcPr>
          <w:p w14:paraId="46342C16" w14:textId="77777777" w:rsidR="001F27D2" w:rsidRPr="00C62A5F" w:rsidRDefault="001F27D2" w:rsidP="00C62A5F">
            <w:pPr>
              <w:spacing w:before="0" w:after="0"/>
              <w:jc w:val="right"/>
              <w:rPr>
                <w:rFonts w:cs="Calibri"/>
                <w:color w:val="000000"/>
                <w:sz w:val="22"/>
                <w:szCs w:val="22"/>
              </w:rPr>
            </w:pPr>
            <w:r w:rsidRPr="00C62A5F">
              <w:rPr>
                <w:rFonts w:cs="Calibri"/>
                <w:bCs/>
                <w:color w:val="000000"/>
                <w:sz w:val="22"/>
                <w:szCs w:val="22"/>
              </w:rPr>
              <w:t>-119</w:t>
            </w:r>
          </w:p>
        </w:tc>
        <w:tc>
          <w:tcPr>
            <w:tcW w:w="521" w:type="pct"/>
            <w:noWrap/>
            <w:vAlign w:val="bottom"/>
          </w:tcPr>
          <w:p w14:paraId="5A8C2ABF" w14:textId="77777777" w:rsidR="001F27D2" w:rsidRPr="00C62A5F" w:rsidRDefault="001F27D2" w:rsidP="00C62A5F">
            <w:pPr>
              <w:spacing w:before="0" w:after="0"/>
              <w:jc w:val="right"/>
              <w:rPr>
                <w:rFonts w:cs="Calibri"/>
                <w:color w:val="000000"/>
                <w:sz w:val="22"/>
                <w:szCs w:val="22"/>
              </w:rPr>
            </w:pPr>
            <w:r w:rsidRPr="00C62A5F">
              <w:rPr>
                <w:rFonts w:cs="Calibri"/>
                <w:bCs/>
                <w:color w:val="000000"/>
                <w:sz w:val="22"/>
                <w:szCs w:val="22"/>
              </w:rPr>
              <w:t>111</w:t>
            </w:r>
          </w:p>
        </w:tc>
        <w:tc>
          <w:tcPr>
            <w:tcW w:w="535" w:type="pct"/>
            <w:noWrap/>
            <w:vAlign w:val="bottom"/>
          </w:tcPr>
          <w:p w14:paraId="4E50CAA9" w14:textId="77777777" w:rsidR="001F27D2" w:rsidRPr="00C62A5F" w:rsidRDefault="001F27D2" w:rsidP="00C62A5F">
            <w:pPr>
              <w:spacing w:before="0" w:after="0"/>
              <w:jc w:val="right"/>
              <w:rPr>
                <w:rFonts w:cs="Calibri"/>
                <w:color w:val="000000"/>
                <w:sz w:val="22"/>
                <w:szCs w:val="22"/>
              </w:rPr>
            </w:pPr>
            <w:r w:rsidRPr="00C62A5F">
              <w:rPr>
                <w:rFonts w:cs="Calibri"/>
                <w:bCs/>
                <w:color w:val="000000"/>
                <w:sz w:val="22"/>
                <w:szCs w:val="22"/>
              </w:rPr>
              <w:t>469</w:t>
            </w:r>
          </w:p>
        </w:tc>
        <w:tc>
          <w:tcPr>
            <w:tcW w:w="406" w:type="pct"/>
            <w:noWrap/>
            <w:vAlign w:val="bottom"/>
          </w:tcPr>
          <w:p w14:paraId="0C7B971B" w14:textId="77777777" w:rsidR="001F27D2" w:rsidRPr="00C62A5F" w:rsidRDefault="001F27D2" w:rsidP="00C62A5F">
            <w:pPr>
              <w:spacing w:before="0" w:after="0"/>
              <w:jc w:val="right"/>
              <w:rPr>
                <w:rFonts w:cs="Calibri"/>
                <w:color w:val="000000"/>
                <w:sz w:val="22"/>
                <w:szCs w:val="22"/>
              </w:rPr>
            </w:pPr>
            <w:r w:rsidRPr="00C62A5F">
              <w:rPr>
                <w:rFonts w:cs="Calibri"/>
                <w:bCs/>
                <w:color w:val="000000"/>
                <w:sz w:val="22"/>
                <w:szCs w:val="22"/>
              </w:rPr>
              <w:t>455</w:t>
            </w:r>
          </w:p>
        </w:tc>
        <w:tc>
          <w:tcPr>
            <w:tcW w:w="569" w:type="pct"/>
            <w:noWrap/>
            <w:vAlign w:val="bottom"/>
          </w:tcPr>
          <w:p w14:paraId="7C6094E3" w14:textId="77777777" w:rsidR="001F27D2" w:rsidRPr="00C62A5F" w:rsidRDefault="001F27D2" w:rsidP="00C62A5F">
            <w:pPr>
              <w:spacing w:before="0" w:after="0"/>
              <w:jc w:val="right"/>
              <w:rPr>
                <w:rFonts w:cs="Calibri"/>
                <w:color w:val="000000"/>
                <w:sz w:val="22"/>
                <w:szCs w:val="22"/>
              </w:rPr>
            </w:pPr>
            <w:r w:rsidRPr="00C62A5F">
              <w:rPr>
                <w:rFonts w:cs="Calibri"/>
                <w:bCs/>
                <w:color w:val="000000"/>
                <w:sz w:val="22"/>
                <w:szCs w:val="22"/>
              </w:rPr>
              <w:t>32.8</w:t>
            </w:r>
          </w:p>
        </w:tc>
      </w:tr>
      <w:tr w:rsidR="001F27D2" w:rsidRPr="00C62A5F" w14:paraId="2168B503" w14:textId="77777777" w:rsidTr="001F27D2">
        <w:tc>
          <w:tcPr>
            <w:tcW w:w="1119" w:type="pct"/>
            <w:noWrap/>
            <w:hideMark/>
          </w:tcPr>
          <w:p w14:paraId="553ECD36"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2</w:t>
            </w:r>
          </w:p>
        </w:tc>
        <w:tc>
          <w:tcPr>
            <w:tcW w:w="437" w:type="pct"/>
            <w:noWrap/>
            <w:vAlign w:val="bottom"/>
          </w:tcPr>
          <w:p w14:paraId="6553782B" w14:textId="77777777" w:rsidR="001F27D2" w:rsidRPr="00C62A5F" w:rsidRDefault="001F27D2" w:rsidP="00C62A5F">
            <w:pPr>
              <w:spacing w:before="0" w:after="0"/>
              <w:jc w:val="right"/>
              <w:rPr>
                <w:rFonts w:cs="Calibri"/>
                <w:color w:val="000000"/>
                <w:sz w:val="22"/>
                <w:szCs w:val="22"/>
              </w:rPr>
            </w:pPr>
            <w:r w:rsidRPr="00C62A5F">
              <w:rPr>
                <w:rFonts w:cs="Calibri"/>
                <w:bCs/>
                <w:color w:val="000000"/>
                <w:sz w:val="22"/>
                <w:szCs w:val="22"/>
              </w:rPr>
              <w:t>10</w:t>
            </w:r>
          </w:p>
        </w:tc>
        <w:tc>
          <w:tcPr>
            <w:tcW w:w="447" w:type="pct"/>
            <w:noWrap/>
            <w:vAlign w:val="bottom"/>
          </w:tcPr>
          <w:p w14:paraId="4E35E482" w14:textId="77777777" w:rsidR="001F27D2" w:rsidRPr="00C62A5F" w:rsidRDefault="001F27D2" w:rsidP="00C62A5F">
            <w:pPr>
              <w:spacing w:before="0" w:after="0"/>
              <w:jc w:val="right"/>
              <w:rPr>
                <w:rFonts w:cs="Calibri"/>
                <w:color w:val="000000"/>
                <w:sz w:val="22"/>
                <w:szCs w:val="22"/>
              </w:rPr>
            </w:pPr>
            <w:r w:rsidRPr="00C62A5F">
              <w:rPr>
                <w:rFonts w:cs="Calibri"/>
                <w:bCs/>
                <w:color w:val="000000"/>
                <w:sz w:val="22"/>
                <w:szCs w:val="22"/>
              </w:rPr>
              <w:t>-27</w:t>
            </w:r>
          </w:p>
        </w:tc>
        <w:tc>
          <w:tcPr>
            <w:tcW w:w="521" w:type="pct"/>
            <w:noWrap/>
            <w:vAlign w:val="bottom"/>
          </w:tcPr>
          <w:p w14:paraId="048C35BB" w14:textId="77777777" w:rsidR="001F27D2" w:rsidRPr="00C62A5F" w:rsidRDefault="001F27D2" w:rsidP="00C62A5F">
            <w:pPr>
              <w:spacing w:before="0" w:after="0"/>
              <w:jc w:val="right"/>
              <w:rPr>
                <w:rFonts w:cs="Calibri"/>
                <w:color w:val="000000"/>
                <w:sz w:val="22"/>
                <w:szCs w:val="22"/>
              </w:rPr>
            </w:pPr>
            <w:r w:rsidRPr="00C62A5F">
              <w:rPr>
                <w:rFonts w:cs="Calibri"/>
                <w:bCs/>
                <w:color w:val="000000"/>
                <w:sz w:val="22"/>
                <w:szCs w:val="22"/>
              </w:rPr>
              <w:t>-2</w:t>
            </w:r>
          </w:p>
        </w:tc>
        <w:tc>
          <w:tcPr>
            <w:tcW w:w="445" w:type="pct"/>
            <w:noWrap/>
            <w:vAlign w:val="bottom"/>
          </w:tcPr>
          <w:p w14:paraId="11F60CFF" w14:textId="77777777" w:rsidR="001F27D2" w:rsidRPr="00C62A5F" w:rsidRDefault="001F27D2" w:rsidP="00C62A5F">
            <w:pPr>
              <w:spacing w:before="0" w:after="0"/>
              <w:jc w:val="right"/>
              <w:rPr>
                <w:rFonts w:cs="Calibri"/>
                <w:color w:val="000000"/>
                <w:sz w:val="22"/>
                <w:szCs w:val="22"/>
              </w:rPr>
            </w:pPr>
            <w:r w:rsidRPr="00C62A5F">
              <w:rPr>
                <w:rFonts w:cs="Calibri"/>
                <w:bCs/>
                <w:color w:val="000000"/>
                <w:sz w:val="22"/>
                <w:szCs w:val="22"/>
              </w:rPr>
              <w:t>-391</w:t>
            </w:r>
          </w:p>
        </w:tc>
        <w:tc>
          <w:tcPr>
            <w:tcW w:w="521" w:type="pct"/>
            <w:noWrap/>
            <w:vAlign w:val="bottom"/>
          </w:tcPr>
          <w:p w14:paraId="275D3FBF" w14:textId="77777777" w:rsidR="001F27D2" w:rsidRPr="00C62A5F" w:rsidRDefault="001F27D2" w:rsidP="00C62A5F">
            <w:pPr>
              <w:spacing w:before="0" w:after="0"/>
              <w:jc w:val="right"/>
              <w:rPr>
                <w:rFonts w:cs="Calibri"/>
                <w:color w:val="000000"/>
                <w:sz w:val="22"/>
                <w:szCs w:val="22"/>
              </w:rPr>
            </w:pPr>
            <w:r w:rsidRPr="00C62A5F">
              <w:rPr>
                <w:rFonts w:cs="Calibri"/>
                <w:bCs/>
                <w:color w:val="000000"/>
                <w:sz w:val="22"/>
                <w:szCs w:val="22"/>
              </w:rPr>
              <w:t>418</w:t>
            </w:r>
          </w:p>
        </w:tc>
        <w:tc>
          <w:tcPr>
            <w:tcW w:w="535" w:type="pct"/>
            <w:noWrap/>
            <w:vAlign w:val="bottom"/>
          </w:tcPr>
          <w:p w14:paraId="3F634333" w14:textId="77777777" w:rsidR="001F27D2" w:rsidRPr="00C62A5F" w:rsidRDefault="001F27D2" w:rsidP="00C62A5F">
            <w:pPr>
              <w:spacing w:before="0" w:after="0"/>
              <w:jc w:val="right"/>
              <w:rPr>
                <w:rFonts w:cs="Calibri"/>
                <w:color w:val="000000"/>
                <w:sz w:val="22"/>
                <w:szCs w:val="22"/>
              </w:rPr>
            </w:pPr>
            <w:r w:rsidRPr="00C62A5F">
              <w:rPr>
                <w:rFonts w:cs="Calibri"/>
                <w:bCs/>
                <w:color w:val="000000"/>
                <w:sz w:val="22"/>
                <w:szCs w:val="22"/>
              </w:rPr>
              <w:t>316</w:t>
            </w:r>
          </w:p>
        </w:tc>
        <w:tc>
          <w:tcPr>
            <w:tcW w:w="406" w:type="pct"/>
            <w:noWrap/>
            <w:vAlign w:val="bottom"/>
          </w:tcPr>
          <w:p w14:paraId="5E15D9EF" w14:textId="77777777" w:rsidR="001F27D2" w:rsidRPr="00C62A5F" w:rsidRDefault="001F27D2" w:rsidP="00C62A5F">
            <w:pPr>
              <w:spacing w:before="0" w:after="0"/>
              <w:jc w:val="right"/>
              <w:rPr>
                <w:rFonts w:cs="Calibri"/>
                <w:color w:val="000000"/>
                <w:sz w:val="22"/>
                <w:szCs w:val="22"/>
              </w:rPr>
            </w:pPr>
            <w:r w:rsidRPr="00C62A5F">
              <w:rPr>
                <w:rFonts w:cs="Calibri"/>
                <w:bCs/>
                <w:color w:val="000000"/>
                <w:sz w:val="22"/>
                <w:szCs w:val="22"/>
              </w:rPr>
              <w:t>325</w:t>
            </w:r>
          </w:p>
        </w:tc>
        <w:tc>
          <w:tcPr>
            <w:tcW w:w="569" w:type="pct"/>
            <w:noWrap/>
            <w:vAlign w:val="bottom"/>
          </w:tcPr>
          <w:p w14:paraId="0756A0EF" w14:textId="77777777" w:rsidR="001F27D2" w:rsidRPr="00C62A5F" w:rsidRDefault="001F27D2" w:rsidP="00C62A5F">
            <w:pPr>
              <w:spacing w:before="0" w:after="0"/>
              <w:jc w:val="right"/>
              <w:rPr>
                <w:rFonts w:cs="Calibri"/>
                <w:color w:val="000000"/>
                <w:sz w:val="22"/>
                <w:szCs w:val="22"/>
              </w:rPr>
            </w:pPr>
            <w:r w:rsidRPr="00C62A5F">
              <w:rPr>
                <w:rFonts w:cs="Calibri"/>
                <w:bCs/>
                <w:color w:val="000000"/>
                <w:sz w:val="22"/>
                <w:szCs w:val="22"/>
              </w:rPr>
              <w:t>23.4</w:t>
            </w:r>
          </w:p>
        </w:tc>
      </w:tr>
      <w:tr w:rsidR="001F27D2" w:rsidRPr="00C62A5F" w14:paraId="21575E39" w14:textId="77777777" w:rsidTr="001F27D2">
        <w:tc>
          <w:tcPr>
            <w:tcW w:w="1119" w:type="pct"/>
            <w:noWrap/>
            <w:hideMark/>
          </w:tcPr>
          <w:p w14:paraId="48F4F2CE"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3</w:t>
            </w:r>
          </w:p>
        </w:tc>
        <w:tc>
          <w:tcPr>
            <w:tcW w:w="437" w:type="pct"/>
            <w:noWrap/>
            <w:vAlign w:val="bottom"/>
          </w:tcPr>
          <w:p w14:paraId="7813A3F2" w14:textId="77777777" w:rsidR="001F27D2" w:rsidRPr="00C62A5F" w:rsidRDefault="001F27D2" w:rsidP="00C62A5F">
            <w:pPr>
              <w:spacing w:before="0" w:after="0"/>
              <w:jc w:val="right"/>
              <w:rPr>
                <w:rFonts w:cs="Calibri"/>
                <w:color w:val="000000"/>
                <w:sz w:val="22"/>
                <w:szCs w:val="22"/>
              </w:rPr>
            </w:pPr>
            <w:r w:rsidRPr="00C62A5F">
              <w:rPr>
                <w:rFonts w:cs="Calibri"/>
                <w:bCs/>
                <w:color w:val="000000"/>
                <w:sz w:val="22"/>
                <w:szCs w:val="22"/>
              </w:rPr>
              <w:t>3</w:t>
            </w:r>
          </w:p>
        </w:tc>
        <w:tc>
          <w:tcPr>
            <w:tcW w:w="447" w:type="pct"/>
            <w:noWrap/>
            <w:vAlign w:val="bottom"/>
          </w:tcPr>
          <w:p w14:paraId="24857653" w14:textId="77777777" w:rsidR="001F27D2" w:rsidRPr="00C62A5F" w:rsidRDefault="001F27D2" w:rsidP="00C62A5F">
            <w:pPr>
              <w:spacing w:before="0" w:after="0"/>
              <w:jc w:val="right"/>
              <w:rPr>
                <w:rFonts w:cs="Calibri"/>
                <w:color w:val="000000"/>
                <w:sz w:val="22"/>
                <w:szCs w:val="22"/>
              </w:rPr>
            </w:pPr>
            <w:r w:rsidRPr="00C62A5F">
              <w:rPr>
                <w:rFonts w:cs="Calibri"/>
                <w:bCs/>
                <w:color w:val="000000"/>
                <w:sz w:val="22"/>
                <w:szCs w:val="22"/>
              </w:rPr>
              <w:t>-30</w:t>
            </w:r>
          </w:p>
        </w:tc>
        <w:tc>
          <w:tcPr>
            <w:tcW w:w="521" w:type="pct"/>
            <w:noWrap/>
            <w:vAlign w:val="bottom"/>
          </w:tcPr>
          <w:p w14:paraId="2F1907EC" w14:textId="77777777" w:rsidR="001F27D2" w:rsidRPr="00C62A5F" w:rsidRDefault="001F27D2" w:rsidP="00C62A5F">
            <w:pPr>
              <w:spacing w:before="0" w:after="0"/>
              <w:jc w:val="right"/>
              <w:rPr>
                <w:rFonts w:cs="Calibri"/>
                <w:color w:val="000000"/>
                <w:sz w:val="22"/>
                <w:szCs w:val="22"/>
              </w:rPr>
            </w:pPr>
            <w:r w:rsidRPr="00C62A5F">
              <w:rPr>
                <w:rFonts w:cs="Calibri"/>
                <w:bCs/>
                <w:color w:val="000000"/>
                <w:sz w:val="22"/>
                <w:szCs w:val="22"/>
              </w:rPr>
              <w:t>-4</w:t>
            </w:r>
          </w:p>
        </w:tc>
        <w:tc>
          <w:tcPr>
            <w:tcW w:w="445" w:type="pct"/>
            <w:noWrap/>
            <w:vAlign w:val="bottom"/>
          </w:tcPr>
          <w:p w14:paraId="6E51C44B" w14:textId="77777777" w:rsidR="001F27D2" w:rsidRPr="00C62A5F" w:rsidRDefault="001F27D2" w:rsidP="00C62A5F">
            <w:pPr>
              <w:spacing w:before="0" w:after="0"/>
              <w:jc w:val="right"/>
              <w:rPr>
                <w:rFonts w:cs="Calibri"/>
                <w:color w:val="000000"/>
                <w:sz w:val="22"/>
                <w:szCs w:val="22"/>
              </w:rPr>
            </w:pPr>
            <w:r w:rsidRPr="00C62A5F">
              <w:rPr>
                <w:rFonts w:cs="Calibri"/>
                <w:bCs/>
                <w:color w:val="000000"/>
                <w:sz w:val="22"/>
                <w:szCs w:val="22"/>
              </w:rPr>
              <w:t>-652</w:t>
            </w:r>
          </w:p>
        </w:tc>
        <w:tc>
          <w:tcPr>
            <w:tcW w:w="521" w:type="pct"/>
            <w:noWrap/>
            <w:vAlign w:val="bottom"/>
          </w:tcPr>
          <w:p w14:paraId="51E47019" w14:textId="77777777" w:rsidR="001F27D2" w:rsidRPr="00C62A5F" w:rsidRDefault="001F27D2" w:rsidP="00C62A5F">
            <w:pPr>
              <w:spacing w:before="0" w:after="0"/>
              <w:jc w:val="right"/>
              <w:rPr>
                <w:rFonts w:cs="Calibri"/>
                <w:color w:val="000000"/>
                <w:sz w:val="22"/>
                <w:szCs w:val="22"/>
              </w:rPr>
            </w:pPr>
            <w:r w:rsidRPr="00C62A5F">
              <w:rPr>
                <w:rFonts w:cs="Calibri"/>
                <w:bCs/>
                <w:color w:val="000000"/>
                <w:sz w:val="22"/>
                <w:szCs w:val="22"/>
              </w:rPr>
              <w:t>803</w:t>
            </w:r>
          </w:p>
        </w:tc>
        <w:tc>
          <w:tcPr>
            <w:tcW w:w="535" w:type="pct"/>
            <w:noWrap/>
            <w:vAlign w:val="bottom"/>
          </w:tcPr>
          <w:p w14:paraId="43AD5CDA" w14:textId="77777777" w:rsidR="001F27D2" w:rsidRPr="00C62A5F" w:rsidRDefault="001F27D2" w:rsidP="00C62A5F">
            <w:pPr>
              <w:spacing w:before="0" w:after="0"/>
              <w:jc w:val="right"/>
              <w:rPr>
                <w:rFonts w:cs="Calibri"/>
                <w:color w:val="000000"/>
                <w:sz w:val="22"/>
                <w:szCs w:val="22"/>
              </w:rPr>
            </w:pPr>
            <w:r w:rsidRPr="00C62A5F">
              <w:rPr>
                <w:rFonts w:cs="Calibri"/>
                <w:bCs/>
                <w:color w:val="000000"/>
                <w:sz w:val="22"/>
                <w:szCs w:val="22"/>
              </w:rPr>
              <w:t>465</w:t>
            </w:r>
          </w:p>
        </w:tc>
        <w:tc>
          <w:tcPr>
            <w:tcW w:w="406" w:type="pct"/>
            <w:noWrap/>
            <w:vAlign w:val="bottom"/>
          </w:tcPr>
          <w:p w14:paraId="6CCFF501" w14:textId="77777777" w:rsidR="001F27D2" w:rsidRPr="00C62A5F" w:rsidRDefault="001F27D2" w:rsidP="00C62A5F">
            <w:pPr>
              <w:spacing w:before="0" w:after="0"/>
              <w:jc w:val="right"/>
              <w:rPr>
                <w:rFonts w:cs="Calibri"/>
                <w:color w:val="000000"/>
                <w:sz w:val="22"/>
                <w:szCs w:val="22"/>
              </w:rPr>
            </w:pPr>
            <w:r w:rsidRPr="00C62A5F">
              <w:rPr>
                <w:rFonts w:cs="Calibri"/>
                <w:bCs/>
                <w:color w:val="000000"/>
                <w:sz w:val="22"/>
                <w:szCs w:val="22"/>
              </w:rPr>
              <w:t>584</w:t>
            </w:r>
          </w:p>
        </w:tc>
        <w:tc>
          <w:tcPr>
            <w:tcW w:w="569" w:type="pct"/>
            <w:noWrap/>
            <w:vAlign w:val="bottom"/>
          </w:tcPr>
          <w:p w14:paraId="00F71117" w14:textId="77777777" w:rsidR="001F27D2" w:rsidRPr="00C62A5F" w:rsidRDefault="001F27D2" w:rsidP="00C62A5F">
            <w:pPr>
              <w:spacing w:before="0" w:after="0"/>
              <w:jc w:val="right"/>
              <w:rPr>
                <w:rFonts w:cs="Calibri"/>
                <w:color w:val="000000"/>
                <w:sz w:val="22"/>
                <w:szCs w:val="22"/>
              </w:rPr>
            </w:pPr>
            <w:r w:rsidRPr="00C62A5F">
              <w:rPr>
                <w:rFonts w:cs="Calibri"/>
                <w:bCs/>
                <w:color w:val="000000"/>
                <w:sz w:val="22"/>
                <w:szCs w:val="22"/>
              </w:rPr>
              <w:t>42.2</w:t>
            </w:r>
          </w:p>
        </w:tc>
      </w:tr>
      <w:tr w:rsidR="001F27D2" w:rsidRPr="00C62A5F" w14:paraId="46ADB929" w14:textId="77777777" w:rsidTr="001F27D2">
        <w:tc>
          <w:tcPr>
            <w:tcW w:w="1119" w:type="pct"/>
            <w:noWrap/>
            <w:hideMark/>
          </w:tcPr>
          <w:p w14:paraId="2FC67365"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4 or more</w:t>
            </w:r>
          </w:p>
        </w:tc>
        <w:tc>
          <w:tcPr>
            <w:tcW w:w="437" w:type="pct"/>
            <w:noWrap/>
            <w:vAlign w:val="bottom"/>
          </w:tcPr>
          <w:p w14:paraId="6B45C1FE" w14:textId="77777777" w:rsidR="001F27D2" w:rsidRPr="00C62A5F" w:rsidRDefault="001F27D2" w:rsidP="00C62A5F">
            <w:pPr>
              <w:spacing w:before="0" w:after="0"/>
              <w:jc w:val="right"/>
              <w:rPr>
                <w:rFonts w:cs="Calibri"/>
                <w:color w:val="000000"/>
                <w:sz w:val="22"/>
                <w:szCs w:val="22"/>
              </w:rPr>
            </w:pPr>
            <w:r w:rsidRPr="00C62A5F">
              <w:rPr>
                <w:rFonts w:cs="Calibri"/>
                <w:bCs/>
                <w:color w:val="000000"/>
                <w:sz w:val="22"/>
                <w:szCs w:val="22"/>
              </w:rPr>
              <w:t>1</w:t>
            </w:r>
          </w:p>
        </w:tc>
        <w:tc>
          <w:tcPr>
            <w:tcW w:w="447" w:type="pct"/>
            <w:noWrap/>
            <w:vAlign w:val="bottom"/>
          </w:tcPr>
          <w:p w14:paraId="6E301CBA" w14:textId="77777777" w:rsidR="001F27D2" w:rsidRPr="00C62A5F" w:rsidRDefault="001F27D2" w:rsidP="00C62A5F">
            <w:pPr>
              <w:spacing w:before="0" w:after="0"/>
              <w:jc w:val="right"/>
              <w:rPr>
                <w:rFonts w:cs="Calibri"/>
                <w:color w:val="000000"/>
                <w:sz w:val="22"/>
                <w:szCs w:val="22"/>
              </w:rPr>
            </w:pPr>
            <w:r w:rsidRPr="00C62A5F">
              <w:rPr>
                <w:rFonts w:cs="Calibri"/>
                <w:bCs/>
                <w:color w:val="000000"/>
                <w:sz w:val="22"/>
                <w:szCs w:val="22"/>
              </w:rPr>
              <w:t>-7</w:t>
            </w:r>
          </w:p>
        </w:tc>
        <w:tc>
          <w:tcPr>
            <w:tcW w:w="521" w:type="pct"/>
            <w:noWrap/>
            <w:vAlign w:val="bottom"/>
          </w:tcPr>
          <w:p w14:paraId="46CAFFEF" w14:textId="77777777" w:rsidR="001F27D2" w:rsidRPr="00C62A5F" w:rsidRDefault="001F27D2" w:rsidP="00C62A5F">
            <w:pPr>
              <w:spacing w:before="0" w:after="0"/>
              <w:jc w:val="right"/>
              <w:rPr>
                <w:rFonts w:cs="Calibri"/>
                <w:color w:val="000000"/>
                <w:sz w:val="22"/>
                <w:szCs w:val="22"/>
              </w:rPr>
            </w:pPr>
            <w:r w:rsidRPr="00C62A5F">
              <w:rPr>
                <w:rFonts w:cs="Calibri"/>
                <w:bCs/>
                <w:color w:val="000000"/>
                <w:sz w:val="22"/>
                <w:szCs w:val="22"/>
              </w:rPr>
              <w:t>-3</w:t>
            </w:r>
          </w:p>
        </w:tc>
        <w:tc>
          <w:tcPr>
            <w:tcW w:w="445" w:type="pct"/>
            <w:noWrap/>
            <w:vAlign w:val="bottom"/>
          </w:tcPr>
          <w:p w14:paraId="74C9511B" w14:textId="77777777" w:rsidR="001F27D2" w:rsidRPr="00C62A5F" w:rsidRDefault="001F27D2" w:rsidP="00C62A5F">
            <w:pPr>
              <w:spacing w:before="0" w:after="0"/>
              <w:jc w:val="right"/>
              <w:rPr>
                <w:rFonts w:cs="Calibri"/>
                <w:color w:val="000000"/>
                <w:sz w:val="22"/>
                <w:szCs w:val="22"/>
              </w:rPr>
            </w:pPr>
            <w:r w:rsidRPr="00C62A5F">
              <w:rPr>
                <w:rFonts w:cs="Calibri"/>
                <w:bCs/>
                <w:color w:val="000000"/>
                <w:sz w:val="22"/>
                <w:szCs w:val="22"/>
              </w:rPr>
              <w:t>-527</w:t>
            </w:r>
          </w:p>
        </w:tc>
        <w:tc>
          <w:tcPr>
            <w:tcW w:w="521" w:type="pct"/>
            <w:noWrap/>
            <w:vAlign w:val="bottom"/>
          </w:tcPr>
          <w:p w14:paraId="6A397E7A" w14:textId="77777777" w:rsidR="001F27D2" w:rsidRPr="00C62A5F" w:rsidRDefault="001F27D2" w:rsidP="00C62A5F">
            <w:pPr>
              <w:spacing w:before="0" w:after="0"/>
              <w:jc w:val="right"/>
              <w:rPr>
                <w:rFonts w:cs="Calibri"/>
                <w:color w:val="000000"/>
                <w:sz w:val="22"/>
                <w:szCs w:val="22"/>
              </w:rPr>
            </w:pPr>
            <w:r w:rsidRPr="00C62A5F">
              <w:rPr>
                <w:rFonts w:cs="Calibri"/>
                <w:bCs/>
                <w:color w:val="000000"/>
                <w:sz w:val="22"/>
                <w:szCs w:val="22"/>
              </w:rPr>
              <w:t>469</w:t>
            </w:r>
          </w:p>
        </w:tc>
        <w:tc>
          <w:tcPr>
            <w:tcW w:w="535" w:type="pct"/>
            <w:noWrap/>
            <w:vAlign w:val="bottom"/>
          </w:tcPr>
          <w:p w14:paraId="3AB61052" w14:textId="77777777" w:rsidR="001F27D2" w:rsidRPr="00C62A5F" w:rsidRDefault="001F27D2" w:rsidP="00C62A5F">
            <w:pPr>
              <w:spacing w:before="0" w:after="0"/>
              <w:jc w:val="right"/>
              <w:rPr>
                <w:rFonts w:cs="Calibri"/>
                <w:color w:val="000000"/>
                <w:sz w:val="22"/>
                <w:szCs w:val="22"/>
              </w:rPr>
            </w:pPr>
            <w:r w:rsidRPr="00C62A5F">
              <w:rPr>
                <w:rFonts w:cs="Calibri"/>
                <w:bCs/>
                <w:color w:val="000000"/>
                <w:sz w:val="22"/>
                <w:szCs w:val="22"/>
              </w:rPr>
              <w:t>89</w:t>
            </w:r>
          </w:p>
        </w:tc>
        <w:tc>
          <w:tcPr>
            <w:tcW w:w="406" w:type="pct"/>
            <w:noWrap/>
            <w:vAlign w:val="bottom"/>
          </w:tcPr>
          <w:p w14:paraId="759CF93F" w14:textId="77777777" w:rsidR="001F27D2" w:rsidRPr="00C62A5F" w:rsidRDefault="001F27D2" w:rsidP="00C62A5F">
            <w:pPr>
              <w:spacing w:before="0" w:after="0"/>
              <w:jc w:val="right"/>
              <w:rPr>
                <w:rFonts w:cs="Calibri"/>
                <w:color w:val="000000"/>
                <w:sz w:val="22"/>
                <w:szCs w:val="22"/>
              </w:rPr>
            </w:pPr>
            <w:r w:rsidRPr="00C62A5F">
              <w:rPr>
                <w:rFonts w:cs="Calibri"/>
                <w:bCs/>
                <w:color w:val="000000"/>
                <w:sz w:val="22"/>
                <w:szCs w:val="22"/>
              </w:rPr>
              <w:t>22</w:t>
            </w:r>
          </w:p>
        </w:tc>
        <w:tc>
          <w:tcPr>
            <w:tcW w:w="569" w:type="pct"/>
            <w:noWrap/>
            <w:vAlign w:val="bottom"/>
          </w:tcPr>
          <w:p w14:paraId="2212CF76" w14:textId="77777777" w:rsidR="001F27D2" w:rsidRPr="00C62A5F" w:rsidRDefault="001F27D2" w:rsidP="00C62A5F">
            <w:pPr>
              <w:spacing w:before="0" w:after="0"/>
              <w:jc w:val="right"/>
              <w:rPr>
                <w:rFonts w:cs="Calibri"/>
                <w:color w:val="000000"/>
                <w:sz w:val="22"/>
                <w:szCs w:val="22"/>
              </w:rPr>
            </w:pPr>
            <w:r w:rsidRPr="00C62A5F">
              <w:rPr>
                <w:rFonts w:cs="Calibri"/>
                <w:bCs/>
                <w:color w:val="000000"/>
                <w:sz w:val="22"/>
                <w:szCs w:val="22"/>
              </w:rPr>
              <w:t>1.6</w:t>
            </w:r>
          </w:p>
        </w:tc>
      </w:tr>
      <w:tr w:rsidR="001F27D2" w:rsidRPr="00C62A5F" w14:paraId="64B844DD" w14:textId="77777777" w:rsidTr="001F27D2">
        <w:tc>
          <w:tcPr>
            <w:tcW w:w="1119" w:type="pct"/>
            <w:noWrap/>
            <w:hideMark/>
          </w:tcPr>
          <w:p w14:paraId="11A524D3" w14:textId="77777777" w:rsidR="001F27D2" w:rsidRPr="00C62A5F" w:rsidRDefault="001F27D2" w:rsidP="00C62A5F">
            <w:pPr>
              <w:spacing w:before="0" w:after="0"/>
              <w:rPr>
                <w:rFonts w:cs="Calibri"/>
                <w:b/>
                <w:color w:val="000000"/>
                <w:sz w:val="22"/>
                <w:szCs w:val="22"/>
              </w:rPr>
            </w:pPr>
            <w:r w:rsidRPr="00C62A5F">
              <w:rPr>
                <w:rFonts w:cs="Calibri"/>
                <w:b/>
                <w:color w:val="000000"/>
                <w:sz w:val="22"/>
                <w:szCs w:val="22"/>
              </w:rPr>
              <w:t>Total</w:t>
            </w:r>
          </w:p>
        </w:tc>
        <w:tc>
          <w:tcPr>
            <w:tcW w:w="437" w:type="pct"/>
            <w:noWrap/>
            <w:vAlign w:val="bottom"/>
          </w:tcPr>
          <w:p w14:paraId="07827EB5" w14:textId="77777777" w:rsidR="001F27D2" w:rsidRPr="00C62A5F" w:rsidRDefault="001F27D2" w:rsidP="00C62A5F">
            <w:pPr>
              <w:spacing w:before="0" w:after="0"/>
              <w:jc w:val="right"/>
              <w:rPr>
                <w:rFonts w:cs="Calibri"/>
                <w:color w:val="000000"/>
                <w:sz w:val="22"/>
                <w:szCs w:val="22"/>
              </w:rPr>
            </w:pPr>
            <w:r w:rsidRPr="00C62A5F">
              <w:rPr>
                <w:rFonts w:cs="Calibri"/>
                <w:bCs/>
                <w:color w:val="000000"/>
                <w:sz w:val="22"/>
                <w:szCs w:val="22"/>
              </w:rPr>
              <w:t>17</w:t>
            </w:r>
          </w:p>
        </w:tc>
        <w:tc>
          <w:tcPr>
            <w:tcW w:w="447" w:type="pct"/>
            <w:noWrap/>
            <w:vAlign w:val="bottom"/>
          </w:tcPr>
          <w:p w14:paraId="3443A73E" w14:textId="77777777" w:rsidR="001F27D2" w:rsidRPr="00C62A5F" w:rsidRDefault="001F27D2" w:rsidP="00C62A5F">
            <w:pPr>
              <w:spacing w:before="0" w:after="0"/>
              <w:jc w:val="right"/>
              <w:rPr>
                <w:rFonts w:cs="Calibri"/>
                <w:color w:val="000000"/>
                <w:sz w:val="22"/>
                <w:szCs w:val="22"/>
              </w:rPr>
            </w:pPr>
            <w:r w:rsidRPr="00C62A5F">
              <w:rPr>
                <w:rFonts w:cs="Calibri"/>
                <w:bCs/>
                <w:color w:val="000000"/>
                <w:sz w:val="22"/>
                <w:szCs w:val="22"/>
              </w:rPr>
              <w:t>-73</w:t>
            </w:r>
          </w:p>
        </w:tc>
        <w:tc>
          <w:tcPr>
            <w:tcW w:w="521" w:type="pct"/>
            <w:noWrap/>
            <w:vAlign w:val="bottom"/>
          </w:tcPr>
          <w:p w14:paraId="2273C5EC" w14:textId="77777777" w:rsidR="001F27D2" w:rsidRPr="00C62A5F" w:rsidRDefault="001F27D2" w:rsidP="00C62A5F">
            <w:pPr>
              <w:spacing w:before="0" w:after="0"/>
              <w:jc w:val="right"/>
              <w:rPr>
                <w:rFonts w:cs="Calibri"/>
                <w:color w:val="000000"/>
                <w:sz w:val="22"/>
                <w:szCs w:val="22"/>
              </w:rPr>
            </w:pPr>
            <w:r w:rsidRPr="00C62A5F">
              <w:rPr>
                <w:rFonts w:cs="Calibri"/>
                <w:bCs/>
                <w:color w:val="000000"/>
                <w:sz w:val="22"/>
                <w:szCs w:val="22"/>
              </w:rPr>
              <w:t>-9</w:t>
            </w:r>
          </w:p>
        </w:tc>
        <w:tc>
          <w:tcPr>
            <w:tcW w:w="445" w:type="pct"/>
            <w:noWrap/>
            <w:vAlign w:val="bottom"/>
          </w:tcPr>
          <w:p w14:paraId="4E7CC4C0" w14:textId="77777777" w:rsidR="001F27D2" w:rsidRPr="00C62A5F" w:rsidRDefault="001F27D2" w:rsidP="00C62A5F">
            <w:pPr>
              <w:spacing w:before="0" w:after="0"/>
              <w:jc w:val="right"/>
              <w:rPr>
                <w:rFonts w:cs="Calibri"/>
                <w:color w:val="000000"/>
                <w:sz w:val="22"/>
                <w:szCs w:val="22"/>
              </w:rPr>
            </w:pPr>
            <w:r w:rsidRPr="00C62A5F">
              <w:rPr>
                <w:rFonts w:cs="Calibri"/>
                <w:bCs/>
                <w:color w:val="000000"/>
                <w:sz w:val="22"/>
                <w:szCs w:val="22"/>
              </w:rPr>
              <w:t>-1,690</w:t>
            </w:r>
          </w:p>
        </w:tc>
        <w:tc>
          <w:tcPr>
            <w:tcW w:w="521" w:type="pct"/>
            <w:noWrap/>
            <w:vAlign w:val="bottom"/>
          </w:tcPr>
          <w:p w14:paraId="2394E7AC" w14:textId="77777777" w:rsidR="001F27D2" w:rsidRPr="00C62A5F" w:rsidRDefault="001F27D2" w:rsidP="00C62A5F">
            <w:pPr>
              <w:spacing w:before="0" w:after="0"/>
              <w:jc w:val="right"/>
              <w:rPr>
                <w:rFonts w:cs="Calibri"/>
                <w:color w:val="000000"/>
                <w:sz w:val="22"/>
                <w:szCs w:val="22"/>
              </w:rPr>
            </w:pPr>
            <w:r w:rsidRPr="00C62A5F">
              <w:rPr>
                <w:rFonts w:cs="Calibri"/>
                <w:bCs/>
                <w:color w:val="000000"/>
                <w:sz w:val="22"/>
                <w:szCs w:val="22"/>
              </w:rPr>
              <w:t>1,801</w:t>
            </w:r>
          </w:p>
        </w:tc>
        <w:tc>
          <w:tcPr>
            <w:tcW w:w="535" w:type="pct"/>
            <w:noWrap/>
            <w:vAlign w:val="bottom"/>
          </w:tcPr>
          <w:p w14:paraId="228876DF" w14:textId="77777777" w:rsidR="001F27D2" w:rsidRPr="00C62A5F" w:rsidRDefault="001F27D2" w:rsidP="00C62A5F">
            <w:pPr>
              <w:spacing w:before="0" w:after="0"/>
              <w:jc w:val="right"/>
              <w:rPr>
                <w:rFonts w:cs="Calibri"/>
                <w:color w:val="000000"/>
                <w:sz w:val="22"/>
                <w:szCs w:val="22"/>
              </w:rPr>
            </w:pPr>
            <w:r w:rsidRPr="00C62A5F">
              <w:rPr>
                <w:rFonts w:cs="Calibri"/>
                <w:bCs/>
                <w:color w:val="000000"/>
                <w:sz w:val="22"/>
                <w:szCs w:val="22"/>
              </w:rPr>
              <w:t>1,340</w:t>
            </w:r>
          </w:p>
        </w:tc>
        <w:tc>
          <w:tcPr>
            <w:tcW w:w="406" w:type="pct"/>
            <w:noWrap/>
            <w:vAlign w:val="bottom"/>
          </w:tcPr>
          <w:p w14:paraId="68450421" w14:textId="77777777" w:rsidR="001F27D2" w:rsidRPr="00C62A5F" w:rsidRDefault="001F27D2" w:rsidP="00C62A5F">
            <w:pPr>
              <w:spacing w:before="0" w:after="0"/>
              <w:jc w:val="right"/>
              <w:rPr>
                <w:rFonts w:cs="Calibri"/>
                <w:color w:val="000000"/>
                <w:sz w:val="22"/>
                <w:szCs w:val="22"/>
              </w:rPr>
            </w:pPr>
            <w:r w:rsidRPr="00C62A5F">
              <w:rPr>
                <w:rFonts w:cs="Calibri"/>
                <w:bCs/>
                <w:color w:val="000000"/>
                <w:sz w:val="22"/>
                <w:szCs w:val="22"/>
              </w:rPr>
              <w:t>1,386</w:t>
            </w:r>
          </w:p>
        </w:tc>
        <w:tc>
          <w:tcPr>
            <w:tcW w:w="569" w:type="pct"/>
            <w:noWrap/>
            <w:vAlign w:val="bottom"/>
          </w:tcPr>
          <w:p w14:paraId="3ABC4BE4" w14:textId="77777777" w:rsidR="001F27D2" w:rsidRPr="00C62A5F" w:rsidRDefault="001F27D2" w:rsidP="00C62A5F">
            <w:pPr>
              <w:spacing w:before="0" w:after="0"/>
              <w:jc w:val="right"/>
              <w:rPr>
                <w:rFonts w:cs="Calibri"/>
                <w:color w:val="000000"/>
                <w:sz w:val="22"/>
                <w:szCs w:val="22"/>
              </w:rPr>
            </w:pPr>
            <w:r w:rsidRPr="00C62A5F">
              <w:rPr>
                <w:rFonts w:cs="Calibri"/>
                <w:bCs/>
                <w:color w:val="000000"/>
                <w:sz w:val="22"/>
                <w:szCs w:val="22"/>
              </w:rPr>
              <w:t>100</w:t>
            </w:r>
          </w:p>
        </w:tc>
      </w:tr>
    </w:tbl>
    <w:p w14:paraId="0C36C6BA" w14:textId="77777777" w:rsidR="001F27D2" w:rsidRPr="002B2A7F" w:rsidRDefault="001F27D2" w:rsidP="001F27D2">
      <w:pPr>
        <w:rPr>
          <w:rFonts w:asciiTheme="minorHAnsi" w:hAnsiTheme="minorHAnsi"/>
          <w:sz w:val="22"/>
        </w:rPr>
      </w:pPr>
      <w:r w:rsidRPr="002B2A7F">
        <w:rPr>
          <w:rFonts w:asciiTheme="minorHAnsi" w:hAnsiTheme="minorHAnsi"/>
          <w:sz w:val="22"/>
        </w:rPr>
        <w:t>Note totals by age group may vary slightly due to rounding errors</w:t>
      </w:r>
    </w:p>
    <w:p w14:paraId="2C728B63" w14:textId="77777777" w:rsidR="001F27D2" w:rsidRPr="00C62A5F" w:rsidRDefault="001F27D2" w:rsidP="001F27D2">
      <w:pPr>
        <w:pStyle w:val="Reporttext"/>
        <w:numPr>
          <w:ilvl w:val="0"/>
          <w:numId w:val="0"/>
        </w:numPr>
        <w:rPr>
          <w:sz w:val="22"/>
        </w:rPr>
      </w:pPr>
      <w:r w:rsidRPr="00C62A5F">
        <w:rPr>
          <w:sz w:val="22"/>
        </w:rPr>
        <w:t>Source: DCLG 2014-based household projections and 2018 household survey</w:t>
      </w:r>
    </w:p>
    <w:p w14:paraId="3AEAD035" w14:textId="4780714B" w:rsidR="001F27D2" w:rsidRDefault="001F27D2" w:rsidP="001F27D2">
      <w:pPr>
        <w:pStyle w:val="Reporttext"/>
      </w:pPr>
      <w:r w:rsidRPr="002B2A7F">
        <w:lastRenderedPageBreak/>
        <w:t xml:space="preserve">Analysis which takes account of household expectations results in a more skewed profile towards smaller dwellings and level access accommodation (Table </w:t>
      </w:r>
      <w:r>
        <w:t>7</w:t>
      </w:r>
      <w:r w:rsidRPr="002B2A7F">
        <w:t>.</w:t>
      </w:r>
      <w:r>
        <w:t>4</w:t>
      </w:r>
      <w:r w:rsidRPr="002B2A7F">
        <w:t>)</w:t>
      </w:r>
      <w:r w:rsidR="00C62A5F">
        <w:t>.</w:t>
      </w:r>
    </w:p>
    <w:p w14:paraId="25871EB1" w14:textId="77777777" w:rsidR="00C62A5F" w:rsidRPr="002B2A7F" w:rsidRDefault="00C62A5F" w:rsidP="00C62A5F">
      <w:pPr>
        <w:pStyle w:val="Reporttext"/>
        <w:numPr>
          <w:ilvl w:val="0"/>
          <w:numId w:val="0"/>
        </w:numPr>
        <w:ind w:left="709"/>
      </w:pPr>
    </w:p>
    <w:tbl>
      <w:tblPr>
        <w:tblStyle w:val="arc4table"/>
        <w:tblW w:w="4196" w:type="pct"/>
        <w:tblInd w:w="720" w:type="dxa"/>
        <w:tblLook w:val="04A0" w:firstRow="1" w:lastRow="0" w:firstColumn="1" w:lastColumn="0" w:noHBand="0" w:noVBand="1"/>
      </w:tblPr>
      <w:tblGrid>
        <w:gridCol w:w="2213"/>
        <w:gridCol w:w="2680"/>
        <w:gridCol w:w="2960"/>
      </w:tblGrid>
      <w:tr w:rsidR="001F27D2" w:rsidRPr="00C62A5F" w14:paraId="55EF966A" w14:textId="77777777" w:rsidTr="00C62A5F">
        <w:trPr>
          <w:cnfStyle w:val="100000000000" w:firstRow="1" w:lastRow="0" w:firstColumn="0" w:lastColumn="0" w:oddVBand="0" w:evenVBand="0" w:oddHBand="0" w:evenHBand="0" w:firstRowFirstColumn="0" w:firstRowLastColumn="0" w:lastRowFirstColumn="0" w:lastRowLastColumn="0"/>
        </w:trPr>
        <w:tc>
          <w:tcPr>
            <w:tcW w:w="5000" w:type="pct"/>
            <w:gridSpan w:val="3"/>
            <w:noWrap/>
          </w:tcPr>
          <w:p w14:paraId="5D425CD1" w14:textId="77777777" w:rsidR="001F27D2" w:rsidRPr="00C62A5F" w:rsidRDefault="001F27D2" w:rsidP="00C62A5F">
            <w:pPr>
              <w:pStyle w:val="Tableheading1"/>
              <w:rPr>
                <w:rFonts w:cs="Calibri"/>
                <w:b/>
              </w:rPr>
            </w:pPr>
            <w:bookmarkStart w:id="583" w:name="_Toc532812509"/>
            <w:r w:rsidRPr="00C62A5F">
              <w:rPr>
                <w:b/>
              </w:rPr>
              <w:t>Table 7.4</w:t>
            </w:r>
            <w:r w:rsidRPr="00C62A5F">
              <w:rPr>
                <w:b/>
              </w:rPr>
              <w:tab/>
              <w:t>Impact of change in households by age group on dwellings occupied</w:t>
            </w:r>
            <w:bookmarkEnd w:id="583"/>
          </w:p>
        </w:tc>
      </w:tr>
      <w:tr w:rsidR="001F27D2" w:rsidRPr="00C62A5F" w14:paraId="722FED12" w14:textId="77777777" w:rsidTr="00C62A5F">
        <w:tc>
          <w:tcPr>
            <w:tcW w:w="1409" w:type="pct"/>
            <w:shd w:val="clear" w:color="auto" w:fill="009999"/>
            <w:noWrap/>
            <w:vAlign w:val="bottom"/>
            <w:hideMark/>
          </w:tcPr>
          <w:p w14:paraId="636A4E33" w14:textId="77777777" w:rsidR="001F27D2" w:rsidRPr="00C62A5F" w:rsidRDefault="001F27D2" w:rsidP="00C62A5F">
            <w:pPr>
              <w:spacing w:before="0"/>
              <w:rPr>
                <w:rFonts w:asciiTheme="minorHAnsi" w:hAnsiTheme="minorHAnsi" w:cs="Calibri"/>
                <w:b/>
                <w:bCs/>
                <w:color w:val="FFFFFF" w:themeColor="background1"/>
                <w:sz w:val="22"/>
                <w:szCs w:val="22"/>
              </w:rPr>
            </w:pPr>
            <w:r w:rsidRPr="00C62A5F">
              <w:rPr>
                <w:rFonts w:asciiTheme="minorHAnsi" w:hAnsiTheme="minorHAnsi" w:cs="Calibri"/>
                <w:b/>
                <w:bCs/>
                <w:color w:val="FFFFFF" w:themeColor="background1"/>
                <w:sz w:val="22"/>
                <w:szCs w:val="22"/>
              </w:rPr>
              <w:t>Dwelling type/size</w:t>
            </w:r>
          </w:p>
        </w:tc>
        <w:tc>
          <w:tcPr>
            <w:tcW w:w="1706" w:type="pct"/>
            <w:shd w:val="clear" w:color="auto" w:fill="009999"/>
            <w:noWrap/>
            <w:vAlign w:val="bottom"/>
            <w:hideMark/>
          </w:tcPr>
          <w:p w14:paraId="0046F7BD" w14:textId="77777777" w:rsidR="001F27D2" w:rsidRPr="00C62A5F" w:rsidRDefault="001F27D2" w:rsidP="00C62A5F">
            <w:pPr>
              <w:spacing w:before="0"/>
              <w:jc w:val="center"/>
              <w:rPr>
                <w:rFonts w:asciiTheme="minorHAnsi" w:hAnsiTheme="minorHAnsi" w:cs="Calibri"/>
                <w:b/>
                <w:bCs/>
                <w:color w:val="FFFFFF" w:themeColor="background1"/>
                <w:sz w:val="22"/>
                <w:szCs w:val="22"/>
              </w:rPr>
            </w:pPr>
            <w:r w:rsidRPr="00C62A5F">
              <w:rPr>
                <w:rFonts w:asciiTheme="minorHAnsi" w:hAnsiTheme="minorHAnsi" w:cs="Calibri"/>
                <w:b/>
                <w:bCs/>
                <w:color w:val="FFFFFF" w:themeColor="background1"/>
                <w:sz w:val="22"/>
                <w:szCs w:val="22"/>
              </w:rPr>
              <w:t>Baseline</w:t>
            </w:r>
          </w:p>
        </w:tc>
        <w:tc>
          <w:tcPr>
            <w:tcW w:w="1886" w:type="pct"/>
            <w:shd w:val="clear" w:color="auto" w:fill="009999"/>
            <w:noWrap/>
            <w:vAlign w:val="bottom"/>
            <w:hideMark/>
          </w:tcPr>
          <w:p w14:paraId="3D9AAEC7" w14:textId="77777777" w:rsidR="001F27D2" w:rsidRPr="00C62A5F" w:rsidRDefault="001F27D2" w:rsidP="00C62A5F">
            <w:pPr>
              <w:spacing w:before="0"/>
              <w:jc w:val="center"/>
              <w:rPr>
                <w:rFonts w:asciiTheme="minorHAnsi" w:hAnsiTheme="minorHAnsi" w:cs="Calibri"/>
                <w:b/>
                <w:bCs/>
                <w:color w:val="FFFFFF" w:themeColor="background1"/>
                <w:sz w:val="22"/>
                <w:szCs w:val="22"/>
              </w:rPr>
            </w:pPr>
            <w:r w:rsidRPr="00C62A5F">
              <w:rPr>
                <w:rFonts w:asciiTheme="minorHAnsi" w:hAnsiTheme="minorHAnsi" w:cs="Calibri"/>
                <w:b/>
                <w:bCs/>
                <w:color w:val="FFFFFF" w:themeColor="background1"/>
                <w:sz w:val="22"/>
                <w:szCs w:val="22"/>
              </w:rPr>
              <w:t>Expectation</w:t>
            </w:r>
          </w:p>
        </w:tc>
      </w:tr>
      <w:tr w:rsidR="001F27D2" w:rsidRPr="00C62A5F" w14:paraId="639E9542" w14:textId="77777777" w:rsidTr="00C62A5F">
        <w:tc>
          <w:tcPr>
            <w:tcW w:w="1409" w:type="pct"/>
            <w:noWrap/>
            <w:hideMark/>
          </w:tcPr>
          <w:p w14:paraId="33A6BF87" w14:textId="77777777" w:rsidR="001F27D2" w:rsidRPr="00C62A5F" w:rsidRDefault="001F27D2" w:rsidP="001F27D2">
            <w:pPr>
              <w:spacing w:before="0" w:after="0"/>
              <w:rPr>
                <w:rFonts w:asciiTheme="minorHAnsi" w:hAnsiTheme="minorHAnsi" w:cs="Calibri"/>
                <w:color w:val="000000"/>
                <w:sz w:val="22"/>
                <w:szCs w:val="22"/>
              </w:rPr>
            </w:pPr>
            <w:r w:rsidRPr="00C62A5F">
              <w:rPr>
                <w:rFonts w:asciiTheme="minorHAnsi" w:hAnsiTheme="minorHAnsi" w:cs="Calibri"/>
                <w:color w:val="000000"/>
                <w:sz w:val="22"/>
                <w:szCs w:val="22"/>
              </w:rPr>
              <w:t>1 Bed House‎</w:t>
            </w:r>
          </w:p>
        </w:tc>
        <w:tc>
          <w:tcPr>
            <w:tcW w:w="1706" w:type="pct"/>
            <w:noWrap/>
            <w:vAlign w:val="bottom"/>
          </w:tcPr>
          <w:p w14:paraId="1F0E7EC7" w14:textId="77777777" w:rsidR="001F27D2" w:rsidRPr="00C62A5F" w:rsidRDefault="001F27D2" w:rsidP="001F27D2">
            <w:pPr>
              <w:spacing w:before="0" w:after="0"/>
              <w:jc w:val="center"/>
              <w:rPr>
                <w:rFonts w:asciiTheme="minorHAnsi" w:hAnsiTheme="minorHAnsi" w:cs="Calibri"/>
                <w:color w:val="000000"/>
                <w:sz w:val="22"/>
                <w:szCs w:val="22"/>
              </w:rPr>
            </w:pPr>
            <w:r w:rsidRPr="00C62A5F">
              <w:rPr>
                <w:rFonts w:asciiTheme="minorHAnsi" w:hAnsiTheme="minorHAnsi"/>
                <w:color w:val="000000"/>
                <w:sz w:val="22"/>
                <w:szCs w:val="22"/>
              </w:rPr>
              <w:t>-3.4</w:t>
            </w:r>
          </w:p>
        </w:tc>
        <w:tc>
          <w:tcPr>
            <w:tcW w:w="1886" w:type="pct"/>
            <w:noWrap/>
            <w:vAlign w:val="bottom"/>
          </w:tcPr>
          <w:p w14:paraId="0A225EE1" w14:textId="77777777" w:rsidR="001F27D2" w:rsidRPr="00C62A5F" w:rsidRDefault="001F27D2" w:rsidP="001F27D2">
            <w:pPr>
              <w:spacing w:before="0" w:after="0"/>
              <w:jc w:val="center"/>
              <w:rPr>
                <w:rFonts w:asciiTheme="minorHAnsi" w:hAnsiTheme="minorHAnsi" w:cs="Calibri"/>
                <w:color w:val="000000"/>
                <w:sz w:val="22"/>
                <w:szCs w:val="22"/>
              </w:rPr>
            </w:pPr>
            <w:r w:rsidRPr="00C62A5F">
              <w:rPr>
                <w:rFonts w:asciiTheme="minorHAnsi" w:hAnsiTheme="minorHAnsi"/>
                <w:color w:val="000000"/>
                <w:sz w:val="22"/>
                <w:szCs w:val="22"/>
              </w:rPr>
              <w:t>0.3</w:t>
            </w:r>
          </w:p>
        </w:tc>
      </w:tr>
      <w:tr w:rsidR="001F27D2" w:rsidRPr="00C62A5F" w14:paraId="11836B87" w14:textId="77777777" w:rsidTr="00C62A5F">
        <w:tc>
          <w:tcPr>
            <w:tcW w:w="1409" w:type="pct"/>
            <w:noWrap/>
            <w:hideMark/>
          </w:tcPr>
          <w:p w14:paraId="55D0F5AB" w14:textId="77777777" w:rsidR="001F27D2" w:rsidRPr="00C62A5F" w:rsidRDefault="001F27D2" w:rsidP="001F27D2">
            <w:pPr>
              <w:spacing w:before="0" w:after="0"/>
              <w:rPr>
                <w:rFonts w:asciiTheme="minorHAnsi" w:hAnsiTheme="minorHAnsi" w:cs="Calibri"/>
                <w:color w:val="000000"/>
                <w:sz w:val="22"/>
                <w:szCs w:val="22"/>
              </w:rPr>
            </w:pPr>
            <w:r w:rsidRPr="00C62A5F">
              <w:rPr>
                <w:rFonts w:asciiTheme="minorHAnsi" w:hAnsiTheme="minorHAnsi" w:cs="Calibri"/>
                <w:color w:val="000000"/>
                <w:sz w:val="22"/>
                <w:szCs w:val="22"/>
              </w:rPr>
              <w:t>2 Bed House‎</w:t>
            </w:r>
          </w:p>
        </w:tc>
        <w:tc>
          <w:tcPr>
            <w:tcW w:w="1706" w:type="pct"/>
            <w:noWrap/>
            <w:vAlign w:val="bottom"/>
          </w:tcPr>
          <w:p w14:paraId="4C6D8227" w14:textId="77777777" w:rsidR="001F27D2" w:rsidRPr="00C62A5F" w:rsidRDefault="001F27D2" w:rsidP="001F27D2">
            <w:pPr>
              <w:spacing w:before="0" w:after="0"/>
              <w:jc w:val="center"/>
              <w:rPr>
                <w:rFonts w:asciiTheme="minorHAnsi" w:hAnsiTheme="minorHAnsi" w:cs="Calibri"/>
                <w:color w:val="000000"/>
                <w:sz w:val="22"/>
                <w:szCs w:val="22"/>
              </w:rPr>
            </w:pPr>
            <w:r w:rsidRPr="00C62A5F">
              <w:rPr>
                <w:rFonts w:asciiTheme="minorHAnsi" w:hAnsiTheme="minorHAnsi"/>
                <w:color w:val="000000"/>
                <w:sz w:val="22"/>
                <w:szCs w:val="22"/>
              </w:rPr>
              <w:t>7.7</w:t>
            </w:r>
          </w:p>
        </w:tc>
        <w:tc>
          <w:tcPr>
            <w:tcW w:w="1886" w:type="pct"/>
            <w:noWrap/>
            <w:vAlign w:val="bottom"/>
          </w:tcPr>
          <w:p w14:paraId="2026F4A0" w14:textId="77777777" w:rsidR="001F27D2" w:rsidRPr="00C62A5F" w:rsidRDefault="001F27D2" w:rsidP="001F27D2">
            <w:pPr>
              <w:spacing w:before="0" w:after="0"/>
              <w:jc w:val="center"/>
              <w:rPr>
                <w:rFonts w:asciiTheme="minorHAnsi" w:hAnsiTheme="minorHAnsi" w:cs="Calibri"/>
                <w:color w:val="000000"/>
                <w:sz w:val="22"/>
                <w:szCs w:val="22"/>
              </w:rPr>
            </w:pPr>
            <w:r w:rsidRPr="00C62A5F">
              <w:rPr>
                <w:rFonts w:asciiTheme="minorHAnsi" w:hAnsiTheme="minorHAnsi"/>
                <w:color w:val="000000"/>
                <w:sz w:val="22"/>
                <w:szCs w:val="22"/>
              </w:rPr>
              <w:t>-1.1</w:t>
            </w:r>
          </w:p>
        </w:tc>
      </w:tr>
      <w:tr w:rsidR="001F27D2" w:rsidRPr="00C62A5F" w14:paraId="2804D90B" w14:textId="77777777" w:rsidTr="00C62A5F">
        <w:tc>
          <w:tcPr>
            <w:tcW w:w="1409" w:type="pct"/>
            <w:noWrap/>
            <w:hideMark/>
          </w:tcPr>
          <w:p w14:paraId="79C0E5DE" w14:textId="77777777" w:rsidR="001F27D2" w:rsidRPr="00C62A5F" w:rsidRDefault="001F27D2" w:rsidP="001F27D2">
            <w:pPr>
              <w:spacing w:before="0" w:after="0"/>
              <w:rPr>
                <w:rFonts w:asciiTheme="minorHAnsi" w:hAnsiTheme="minorHAnsi" w:cs="Calibri"/>
                <w:color w:val="000000"/>
                <w:sz w:val="22"/>
                <w:szCs w:val="22"/>
              </w:rPr>
            </w:pPr>
            <w:r w:rsidRPr="00C62A5F">
              <w:rPr>
                <w:rFonts w:asciiTheme="minorHAnsi" w:hAnsiTheme="minorHAnsi" w:cs="Calibri"/>
                <w:color w:val="000000"/>
                <w:sz w:val="22"/>
                <w:szCs w:val="22"/>
              </w:rPr>
              <w:t>3 Bed House</w:t>
            </w:r>
          </w:p>
        </w:tc>
        <w:tc>
          <w:tcPr>
            <w:tcW w:w="1706" w:type="pct"/>
            <w:noWrap/>
            <w:vAlign w:val="bottom"/>
          </w:tcPr>
          <w:p w14:paraId="783F6EF4" w14:textId="77777777" w:rsidR="001F27D2" w:rsidRPr="00C62A5F" w:rsidRDefault="001F27D2" w:rsidP="001F27D2">
            <w:pPr>
              <w:spacing w:before="0" w:after="0"/>
              <w:jc w:val="center"/>
              <w:rPr>
                <w:rFonts w:asciiTheme="minorHAnsi" w:hAnsiTheme="minorHAnsi" w:cs="Calibri"/>
                <w:color w:val="000000"/>
                <w:sz w:val="22"/>
                <w:szCs w:val="22"/>
              </w:rPr>
            </w:pPr>
            <w:r w:rsidRPr="00C62A5F">
              <w:rPr>
                <w:rFonts w:asciiTheme="minorHAnsi" w:hAnsiTheme="minorHAnsi"/>
                <w:color w:val="000000"/>
                <w:sz w:val="22"/>
                <w:szCs w:val="22"/>
              </w:rPr>
              <w:t>28.6</w:t>
            </w:r>
          </w:p>
        </w:tc>
        <w:tc>
          <w:tcPr>
            <w:tcW w:w="1886" w:type="pct"/>
            <w:noWrap/>
            <w:vAlign w:val="bottom"/>
          </w:tcPr>
          <w:p w14:paraId="349089D7" w14:textId="77777777" w:rsidR="001F27D2" w:rsidRPr="00C62A5F" w:rsidRDefault="001F27D2" w:rsidP="001F27D2">
            <w:pPr>
              <w:spacing w:before="0" w:after="0"/>
              <w:jc w:val="center"/>
              <w:rPr>
                <w:rFonts w:asciiTheme="minorHAnsi" w:hAnsiTheme="minorHAnsi" w:cs="Calibri"/>
                <w:color w:val="000000"/>
                <w:sz w:val="22"/>
                <w:szCs w:val="22"/>
              </w:rPr>
            </w:pPr>
            <w:r w:rsidRPr="00C62A5F">
              <w:rPr>
                <w:rFonts w:asciiTheme="minorHAnsi" w:hAnsiTheme="minorHAnsi"/>
                <w:color w:val="000000"/>
                <w:sz w:val="22"/>
                <w:szCs w:val="22"/>
              </w:rPr>
              <w:t>20.0</w:t>
            </w:r>
          </w:p>
        </w:tc>
      </w:tr>
      <w:tr w:rsidR="001F27D2" w:rsidRPr="00C62A5F" w14:paraId="7F9AB699" w14:textId="77777777" w:rsidTr="00C62A5F">
        <w:tc>
          <w:tcPr>
            <w:tcW w:w="1409" w:type="pct"/>
            <w:noWrap/>
            <w:hideMark/>
          </w:tcPr>
          <w:p w14:paraId="5D074FF7" w14:textId="77777777" w:rsidR="001F27D2" w:rsidRPr="00C62A5F" w:rsidRDefault="001F27D2" w:rsidP="001F27D2">
            <w:pPr>
              <w:spacing w:before="0" w:after="0"/>
              <w:rPr>
                <w:rFonts w:asciiTheme="minorHAnsi" w:hAnsiTheme="minorHAnsi" w:cs="Calibri"/>
                <w:color w:val="000000"/>
                <w:sz w:val="22"/>
                <w:szCs w:val="22"/>
              </w:rPr>
            </w:pPr>
            <w:r w:rsidRPr="00C62A5F">
              <w:rPr>
                <w:rFonts w:asciiTheme="minorHAnsi" w:hAnsiTheme="minorHAnsi" w:cs="Calibri"/>
                <w:color w:val="000000"/>
                <w:sz w:val="22"/>
                <w:szCs w:val="22"/>
              </w:rPr>
              <w:t>4 or more Bed House</w:t>
            </w:r>
          </w:p>
        </w:tc>
        <w:tc>
          <w:tcPr>
            <w:tcW w:w="1706" w:type="pct"/>
            <w:noWrap/>
            <w:vAlign w:val="bottom"/>
          </w:tcPr>
          <w:p w14:paraId="7C938FD1" w14:textId="77777777" w:rsidR="001F27D2" w:rsidRPr="00C62A5F" w:rsidRDefault="001F27D2" w:rsidP="001F27D2">
            <w:pPr>
              <w:spacing w:before="0" w:after="0"/>
              <w:jc w:val="center"/>
              <w:rPr>
                <w:rFonts w:asciiTheme="minorHAnsi" w:hAnsiTheme="minorHAnsi" w:cs="Calibri"/>
                <w:color w:val="000000"/>
                <w:sz w:val="22"/>
                <w:szCs w:val="22"/>
              </w:rPr>
            </w:pPr>
            <w:r w:rsidRPr="00C62A5F">
              <w:rPr>
                <w:rFonts w:asciiTheme="minorHAnsi" w:hAnsiTheme="minorHAnsi"/>
                <w:color w:val="000000"/>
                <w:sz w:val="22"/>
                <w:szCs w:val="22"/>
              </w:rPr>
              <w:t>1.6</w:t>
            </w:r>
          </w:p>
        </w:tc>
        <w:tc>
          <w:tcPr>
            <w:tcW w:w="1886" w:type="pct"/>
            <w:noWrap/>
            <w:vAlign w:val="bottom"/>
          </w:tcPr>
          <w:p w14:paraId="44014401" w14:textId="77777777" w:rsidR="001F27D2" w:rsidRPr="00C62A5F" w:rsidRDefault="001F27D2" w:rsidP="001F27D2">
            <w:pPr>
              <w:spacing w:before="0" w:after="0"/>
              <w:jc w:val="center"/>
              <w:rPr>
                <w:rFonts w:asciiTheme="minorHAnsi" w:hAnsiTheme="minorHAnsi" w:cs="Calibri"/>
                <w:color w:val="000000"/>
                <w:sz w:val="22"/>
                <w:szCs w:val="22"/>
              </w:rPr>
            </w:pPr>
            <w:r w:rsidRPr="00C62A5F">
              <w:rPr>
                <w:rFonts w:asciiTheme="minorHAnsi" w:hAnsiTheme="minorHAnsi"/>
                <w:color w:val="000000"/>
                <w:sz w:val="22"/>
                <w:szCs w:val="22"/>
              </w:rPr>
              <w:t>-14.1</w:t>
            </w:r>
          </w:p>
        </w:tc>
      </w:tr>
      <w:tr w:rsidR="001F27D2" w:rsidRPr="00C62A5F" w14:paraId="3D4CF8B0" w14:textId="77777777" w:rsidTr="00C62A5F">
        <w:tc>
          <w:tcPr>
            <w:tcW w:w="1409" w:type="pct"/>
            <w:noWrap/>
            <w:hideMark/>
          </w:tcPr>
          <w:p w14:paraId="6D5BFC6C" w14:textId="77777777" w:rsidR="001F27D2" w:rsidRPr="00C62A5F" w:rsidRDefault="001F27D2" w:rsidP="001F27D2">
            <w:pPr>
              <w:spacing w:before="0" w:after="0"/>
              <w:rPr>
                <w:rFonts w:asciiTheme="minorHAnsi" w:hAnsiTheme="minorHAnsi" w:cs="Calibri"/>
                <w:color w:val="000000"/>
                <w:sz w:val="22"/>
                <w:szCs w:val="22"/>
              </w:rPr>
            </w:pPr>
            <w:r w:rsidRPr="00C62A5F">
              <w:rPr>
                <w:rFonts w:asciiTheme="minorHAnsi" w:hAnsiTheme="minorHAnsi" w:cs="Calibri"/>
                <w:color w:val="000000"/>
                <w:sz w:val="22"/>
                <w:szCs w:val="22"/>
              </w:rPr>
              <w:t>1 Bed Flat</w:t>
            </w:r>
          </w:p>
        </w:tc>
        <w:tc>
          <w:tcPr>
            <w:tcW w:w="1706" w:type="pct"/>
            <w:noWrap/>
            <w:vAlign w:val="bottom"/>
          </w:tcPr>
          <w:p w14:paraId="7CEFAA5A" w14:textId="77777777" w:rsidR="001F27D2" w:rsidRPr="00C62A5F" w:rsidRDefault="001F27D2" w:rsidP="001F27D2">
            <w:pPr>
              <w:spacing w:before="0" w:after="0"/>
              <w:jc w:val="center"/>
              <w:rPr>
                <w:rFonts w:asciiTheme="minorHAnsi" w:hAnsiTheme="minorHAnsi" w:cs="Calibri"/>
                <w:color w:val="000000"/>
                <w:sz w:val="22"/>
                <w:szCs w:val="22"/>
              </w:rPr>
            </w:pPr>
            <w:r w:rsidRPr="00C62A5F">
              <w:rPr>
                <w:rFonts w:asciiTheme="minorHAnsi" w:hAnsiTheme="minorHAnsi"/>
                <w:color w:val="000000"/>
                <w:sz w:val="22"/>
                <w:szCs w:val="22"/>
              </w:rPr>
              <w:t>14.0</w:t>
            </w:r>
          </w:p>
        </w:tc>
        <w:tc>
          <w:tcPr>
            <w:tcW w:w="1886" w:type="pct"/>
            <w:noWrap/>
            <w:vAlign w:val="bottom"/>
          </w:tcPr>
          <w:p w14:paraId="116726EC" w14:textId="77777777" w:rsidR="001F27D2" w:rsidRPr="00C62A5F" w:rsidRDefault="001F27D2" w:rsidP="001F27D2">
            <w:pPr>
              <w:spacing w:before="0" w:after="0"/>
              <w:jc w:val="center"/>
              <w:rPr>
                <w:rFonts w:asciiTheme="minorHAnsi" w:hAnsiTheme="minorHAnsi" w:cs="Calibri"/>
                <w:color w:val="000000"/>
                <w:sz w:val="22"/>
                <w:szCs w:val="22"/>
              </w:rPr>
            </w:pPr>
            <w:r w:rsidRPr="00C62A5F">
              <w:rPr>
                <w:rFonts w:asciiTheme="minorHAnsi" w:hAnsiTheme="minorHAnsi"/>
                <w:color w:val="000000"/>
                <w:sz w:val="22"/>
                <w:szCs w:val="22"/>
              </w:rPr>
              <w:t>14.7</w:t>
            </w:r>
          </w:p>
        </w:tc>
      </w:tr>
      <w:tr w:rsidR="001F27D2" w:rsidRPr="00C62A5F" w14:paraId="79434D3D" w14:textId="77777777" w:rsidTr="00C62A5F">
        <w:tc>
          <w:tcPr>
            <w:tcW w:w="1409" w:type="pct"/>
            <w:noWrap/>
            <w:hideMark/>
          </w:tcPr>
          <w:p w14:paraId="4CED4051" w14:textId="77777777" w:rsidR="001F27D2" w:rsidRPr="00C62A5F" w:rsidRDefault="001F27D2" w:rsidP="001F27D2">
            <w:pPr>
              <w:spacing w:before="0" w:after="0"/>
              <w:rPr>
                <w:rFonts w:asciiTheme="minorHAnsi" w:hAnsiTheme="minorHAnsi" w:cs="Calibri"/>
                <w:color w:val="000000"/>
                <w:sz w:val="22"/>
                <w:szCs w:val="22"/>
              </w:rPr>
            </w:pPr>
            <w:r w:rsidRPr="00C62A5F">
              <w:rPr>
                <w:rFonts w:asciiTheme="minorHAnsi" w:hAnsiTheme="minorHAnsi" w:cs="Calibri"/>
                <w:color w:val="000000"/>
                <w:sz w:val="22"/>
                <w:szCs w:val="22"/>
              </w:rPr>
              <w:t>2 Bed Flat</w:t>
            </w:r>
          </w:p>
        </w:tc>
        <w:tc>
          <w:tcPr>
            <w:tcW w:w="1706" w:type="pct"/>
            <w:noWrap/>
            <w:vAlign w:val="bottom"/>
          </w:tcPr>
          <w:p w14:paraId="44C94F19" w14:textId="77777777" w:rsidR="001F27D2" w:rsidRPr="00C62A5F" w:rsidRDefault="001F27D2" w:rsidP="001F27D2">
            <w:pPr>
              <w:spacing w:before="0" w:after="0"/>
              <w:jc w:val="center"/>
              <w:rPr>
                <w:rFonts w:asciiTheme="minorHAnsi" w:hAnsiTheme="minorHAnsi" w:cs="Calibri"/>
                <w:color w:val="000000"/>
                <w:sz w:val="22"/>
                <w:szCs w:val="22"/>
              </w:rPr>
            </w:pPr>
            <w:r w:rsidRPr="00C62A5F">
              <w:rPr>
                <w:rFonts w:asciiTheme="minorHAnsi" w:hAnsiTheme="minorHAnsi"/>
                <w:color w:val="000000"/>
                <w:sz w:val="22"/>
                <w:szCs w:val="22"/>
              </w:rPr>
              <w:t>7.2</w:t>
            </w:r>
          </w:p>
        </w:tc>
        <w:tc>
          <w:tcPr>
            <w:tcW w:w="1886" w:type="pct"/>
            <w:noWrap/>
            <w:vAlign w:val="bottom"/>
          </w:tcPr>
          <w:p w14:paraId="79EC4C98" w14:textId="77777777" w:rsidR="001F27D2" w:rsidRPr="00C62A5F" w:rsidRDefault="001F27D2" w:rsidP="001F27D2">
            <w:pPr>
              <w:spacing w:before="0" w:after="0"/>
              <w:jc w:val="center"/>
              <w:rPr>
                <w:rFonts w:asciiTheme="minorHAnsi" w:hAnsiTheme="minorHAnsi" w:cs="Calibri"/>
                <w:color w:val="000000"/>
                <w:sz w:val="22"/>
                <w:szCs w:val="22"/>
              </w:rPr>
            </w:pPr>
            <w:r w:rsidRPr="00C62A5F">
              <w:rPr>
                <w:rFonts w:asciiTheme="minorHAnsi" w:hAnsiTheme="minorHAnsi"/>
                <w:color w:val="000000"/>
                <w:sz w:val="22"/>
                <w:szCs w:val="22"/>
              </w:rPr>
              <w:t>24.8</w:t>
            </w:r>
          </w:p>
        </w:tc>
      </w:tr>
      <w:tr w:rsidR="001F27D2" w:rsidRPr="00C62A5F" w14:paraId="4872A2BD" w14:textId="77777777" w:rsidTr="00C62A5F">
        <w:tc>
          <w:tcPr>
            <w:tcW w:w="1409" w:type="pct"/>
            <w:noWrap/>
            <w:hideMark/>
          </w:tcPr>
          <w:p w14:paraId="25F71E43" w14:textId="77777777" w:rsidR="001F27D2" w:rsidRPr="00C62A5F" w:rsidRDefault="001F27D2" w:rsidP="001F27D2">
            <w:pPr>
              <w:spacing w:before="0" w:after="0"/>
              <w:rPr>
                <w:rFonts w:asciiTheme="minorHAnsi" w:hAnsiTheme="minorHAnsi" w:cs="Calibri"/>
                <w:color w:val="000000"/>
                <w:sz w:val="22"/>
                <w:szCs w:val="22"/>
              </w:rPr>
            </w:pPr>
            <w:r w:rsidRPr="00C62A5F">
              <w:rPr>
                <w:rFonts w:asciiTheme="minorHAnsi" w:hAnsiTheme="minorHAnsi" w:cs="Calibri"/>
                <w:color w:val="000000"/>
                <w:sz w:val="22"/>
                <w:szCs w:val="22"/>
              </w:rPr>
              <w:t>3+ Bed Flat</w:t>
            </w:r>
          </w:p>
        </w:tc>
        <w:tc>
          <w:tcPr>
            <w:tcW w:w="1706" w:type="pct"/>
            <w:noWrap/>
            <w:vAlign w:val="bottom"/>
          </w:tcPr>
          <w:p w14:paraId="1450C8FC" w14:textId="77777777" w:rsidR="001F27D2" w:rsidRPr="00C62A5F" w:rsidRDefault="001F27D2" w:rsidP="001F27D2">
            <w:pPr>
              <w:spacing w:before="0" w:after="0"/>
              <w:jc w:val="center"/>
              <w:rPr>
                <w:rFonts w:asciiTheme="minorHAnsi" w:hAnsiTheme="minorHAnsi" w:cs="Calibri"/>
                <w:color w:val="000000"/>
                <w:sz w:val="22"/>
                <w:szCs w:val="22"/>
              </w:rPr>
            </w:pPr>
            <w:r w:rsidRPr="00C62A5F">
              <w:rPr>
                <w:rFonts w:asciiTheme="minorHAnsi" w:hAnsiTheme="minorHAnsi"/>
                <w:color w:val="000000"/>
                <w:sz w:val="22"/>
                <w:szCs w:val="22"/>
              </w:rPr>
              <w:t>1.5</w:t>
            </w:r>
          </w:p>
        </w:tc>
        <w:tc>
          <w:tcPr>
            <w:tcW w:w="1886" w:type="pct"/>
            <w:noWrap/>
            <w:vAlign w:val="bottom"/>
          </w:tcPr>
          <w:p w14:paraId="7A3B1A73" w14:textId="77777777" w:rsidR="001F27D2" w:rsidRPr="00C62A5F" w:rsidRDefault="001F27D2" w:rsidP="001F27D2">
            <w:pPr>
              <w:spacing w:before="0" w:after="0"/>
              <w:jc w:val="center"/>
              <w:rPr>
                <w:rFonts w:asciiTheme="minorHAnsi" w:hAnsiTheme="minorHAnsi" w:cs="Calibri"/>
                <w:color w:val="000000"/>
                <w:sz w:val="22"/>
                <w:szCs w:val="22"/>
              </w:rPr>
            </w:pPr>
            <w:r w:rsidRPr="00C62A5F">
              <w:rPr>
                <w:rFonts w:asciiTheme="minorHAnsi" w:hAnsiTheme="minorHAnsi"/>
                <w:color w:val="000000"/>
                <w:sz w:val="22"/>
                <w:szCs w:val="22"/>
              </w:rPr>
              <w:t>0.8</w:t>
            </w:r>
          </w:p>
        </w:tc>
      </w:tr>
      <w:tr w:rsidR="001F27D2" w:rsidRPr="00C62A5F" w14:paraId="4FE2748B" w14:textId="77777777" w:rsidTr="00C62A5F">
        <w:tc>
          <w:tcPr>
            <w:tcW w:w="1409" w:type="pct"/>
            <w:noWrap/>
            <w:hideMark/>
          </w:tcPr>
          <w:p w14:paraId="70DA1B54" w14:textId="77777777" w:rsidR="001F27D2" w:rsidRPr="00C62A5F" w:rsidRDefault="001F27D2" w:rsidP="001F27D2">
            <w:pPr>
              <w:spacing w:before="0" w:after="0"/>
              <w:rPr>
                <w:rFonts w:asciiTheme="minorHAnsi" w:hAnsiTheme="minorHAnsi" w:cs="Calibri"/>
                <w:color w:val="000000"/>
                <w:sz w:val="22"/>
                <w:szCs w:val="22"/>
              </w:rPr>
            </w:pPr>
            <w:r w:rsidRPr="00C62A5F">
              <w:rPr>
                <w:rFonts w:asciiTheme="minorHAnsi" w:hAnsiTheme="minorHAnsi" w:cs="Calibri"/>
                <w:color w:val="000000"/>
                <w:sz w:val="22"/>
                <w:szCs w:val="22"/>
              </w:rPr>
              <w:t>1 Bed Bungalow</w:t>
            </w:r>
          </w:p>
        </w:tc>
        <w:tc>
          <w:tcPr>
            <w:tcW w:w="1706" w:type="pct"/>
            <w:noWrap/>
            <w:vAlign w:val="bottom"/>
          </w:tcPr>
          <w:p w14:paraId="7A574A37" w14:textId="77777777" w:rsidR="001F27D2" w:rsidRPr="00C62A5F" w:rsidRDefault="001F27D2" w:rsidP="001F27D2">
            <w:pPr>
              <w:spacing w:before="0" w:after="0"/>
              <w:jc w:val="center"/>
              <w:rPr>
                <w:rFonts w:asciiTheme="minorHAnsi" w:hAnsiTheme="minorHAnsi" w:cs="Calibri"/>
                <w:color w:val="000000"/>
                <w:sz w:val="22"/>
                <w:szCs w:val="22"/>
              </w:rPr>
            </w:pPr>
            <w:r w:rsidRPr="00C62A5F">
              <w:rPr>
                <w:rFonts w:asciiTheme="minorHAnsi" w:hAnsiTheme="minorHAnsi"/>
                <w:color w:val="000000"/>
                <w:sz w:val="22"/>
                <w:szCs w:val="22"/>
              </w:rPr>
              <w:t>21.9</w:t>
            </w:r>
          </w:p>
        </w:tc>
        <w:tc>
          <w:tcPr>
            <w:tcW w:w="1886" w:type="pct"/>
            <w:noWrap/>
            <w:vAlign w:val="bottom"/>
          </w:tcPr>
          <w:p w14:paraId="01C724FB" w14:textId="77777777" w:rsidR="001F27D2" w:rsidRPr="00C62A5F" w:rsidRDefault="001F27D2" w:rsidP="001F27D2">
            <w:pPr>
              <w:spacing w:before="0" w:after="0"/>
              <w:jc w:val="center"/>
              <w:rPr>
                <w:rFonts w:asciiTheme="minorHAnsi" w:hAnsiTheme="minorHAnsi" w:cs="Calibri"/>
                <w:color w:val="000000"/>
                <w:sz w:val="22"/>
                <w:szCs w:val="22"/>
              </w:rPr>
            </w:pPr>
            <w:r w:rsidRPr="00C62A5F">
              <w:rPr>
                <w:rFonts w:asciiTheme="minorHAnsi" w:hAnsiTheme="minorHAnsi"/>
                <w:color w:val="000000"/>
                <w:sz w:val="22"/>
                <w:szCs w:val="22"/>
              </w:rPr>
              <w:t>26.0</w:t>
            </w:r>
          </w:p>
        </w:tc>
      </w:tr>
      <w:tr w:rsidR="001F27D2" w:rsidRPr="00C62A5F" w14:paraId="6BEBD267" w14:textId="77777777" w:rsidTr="00C62A5F">
        <w:tc>
          <w:tcPr>
            <w:tcW w:w="1409" w:type="pct"/>
            <w:noWrap/>
          </w:tcPr>
          <w:p w14:paraId="3D9DDDA7" w14:textId="77777777" w:rsidR="001F27D2" w:rsidRPr="00C62A5F" w:rsidRDefault="001F27D2" w:rsidP="001F27D2">
            <w:pPr>
              <w:spacing w:before="0" w:after="0"/>
              <w:rPr>
                <w:rFonts w:asciiTheme="minorHAnsi" w:hAnsiTheme="minorHAnsi" w:cs="Calibri"/>
                <w:color w:val="000000"/>
                <w:sz w:val="22"/>
                <w:szCs w:val="22"/>
              </w:rPr>
            </w:pPr>
            <w:r w:rsidRPr="00C62A5F">
              <w:rPr>
                <w:rFonts w:asciiTheme="minorHAnsi" w:hAnsiTheme="minorHAnsi" w:cs="Calibri"/>
                <w:color w:val="000000"/>
                <w:sz w:val="22"/>
                <w:szCs w:val="22"/>
              </w:rPr>
              <w:t>2 Bed Bungalow</w:t>
            </w:r>
          </w:p>
        </w:tc>
        <w:tc>
          <w:tcPr>
            <w:tcW w:w="1706" w:type="pct"/>
            <w:noWrap/>
            <w:vAlign w:val="bottom"/>
          </w:tcPr>
          <w:p w14:paraId="6C4D2263" w14:textId="77777777" w:rsidR="001F27D2" w:rsidRPr="00C62A5F" w:rsidRDefault="001F27D2" w:rsidP="001F27D2">
            <w:pPr>
              <w:spacing w:before="0" w:after="0"/>
              <w:jc w:val="center"/>
              <w:rPr>
                <w:rFonts w:asciiTheme="minorHAnsi" w:hAnsiTheme="minorHAnsi"/>
                <w:color w:val="000000"/>
                <w:sz w:val="22"/>
                <w:szCs w:val="22"/>
              </w:rPr>
            </w:pPr>
            <w:r w:rsidRPr="00C62A5F">
              <w:rPr>
                <w:rFonts w:asciiTheme="minorHAnsi" w:hAnsiTheme="minorHAnsi"/>
                <w:color w:val="000000"/>
                <w:sz w:val="22"/>
                <w:szCs w:val="22"/>
              </w:rPr>
              <w:t>6.6</w:t>
            </w:r>
          </w:p>
        </w:tc>
        <w:tc>
          <w:tcPr>
            <w:tcW w:w="1886" w:type="pct"/>
            <w:noWrap/>
            <w:vAlign w:val="bottom"/>
          </w:tcPr>
          <w:p w14:paraId="662D1E2F" w14:textId="77777777" w:rsidR="001F27D2" w:rsidRPr="00C62A5F" w:rsidRDefault="001F27D2" w:rsidP="001F27D2">
            <w:pPr>
              <w:spacing w:before="0" w:after="0"/>
              <w:jc w:val="center"/>
              <w:rPr>
                <w:rFonts w:asciiTheme="minorHAnsi" w:hAnsiTheme="minorHAnsi"/>
                <w:color w:val="000000"/>
                <w:sz w:val="22"/>
                <w:szCs w:val="22"/>
              </w:rPr>
            </w:pPr>
            <w:r w:rsidRPr="00C62A5F">
              <w:rPr>
                <w:rFonts w:asciiTheme="minorHAnsi" w:hAnsiTheme="minorHAnsi"/>
                <w:color w:val="000000"/>
                <w:sz w:val="22"/>
                <w:szCs w:val="22"/>
              </w:rPr>
              <w:t>14.9</w:t>
            </w:r>
          </w:p>
        </w:tc>
      </w:tr>
      <w:tr w:rsidR="001F27D2" w:rsidRPr="00C62A5F" w14:paraId="501A126B" w14:textId="77777777" w:rsidTr="00C62A5F">
        <w:tc>
          <w:tcPr>
            <w:tcW w:w="1409" w:type="pct"/>
            <w:noWrap/>
            <w:hideMark/>
          </w:tcPr>
          <w:p w14:paraId="50F3B7BF" w14:textId="77777777" w:rsidR="001F27D2" w:rsidRPr="00C62A5F" w:rsidRDefault="001F27D2" w:rsidP="001F27D2">
            <w:pPr>
              <w:spacing w:before="0" w:after="0"/>
              <w:rPr>
                <w:rFonts w:asciiTheme="minorHAnsi" w:hAnsiTheme="minorHAnsi" w:cs="Calibri"/>
                <w:color w:val="000000"/>
                <w:sz w:val="22"/>
                <w:szCs w:val="22"/>
              </w:rPr>
            </w:pPr>
            <w:r w:rsidRPr="00C62A5F">
              <w:rPr>
                <w:rFonts w:asciiTheme="minorHAnsi" w:hAnsiTheme="minorHAnsi" w:cs="Calibri"/>
                <w:color w:val="000000"/>
                <w:sz w:val="22"/>
                <w:szCs w:val="22"/>
              </w:rPr>
              <w:t>3+ Bed Bungalow</w:t>
            </w:r>
          </w:p>
        </w:tc>
        <w:tc>
          <w:tcPr>
            <w:tcW w:w="1706" w:type="pct"/>
            <w:noWrap/>
            <w:vAlign w:val="bottom"/>
          </w:tcPr>
          <w:p w14:paraId="30DCFDD1" w14:textId="77777777" w:rsidR="001F27D2" w:rsidRPr="00C62A5F" w:rsidRDefault="001F27D2" w:rsidP="001F27D2">
            <w:pPr>
              <w:spacing w:before="0" w:after="0"/>
              <w:jc w:val="center"/>
              <w:rPr>
                <w:rFonts w:asciiTheme="minorHAnsi" w:hAnsiTheme="minorHAnsi" w:cs="Calibri"/>
                <w:color w:val="000000"/>
                <w:sz w:val="22"/>
                <w:szCs w:val="22"/>
              </w:rPr>
            </w:pPr>
            <w:r w:rsidRPr="00C62A5F">
              <w:rPr>
                <w:rFonts w:asciiTheme="minorHAnsi" w:hAnsiTheme="minorHAnsi"/>
                <w:color w:val="000000"/>
                <w:sz w:val="22"/>
                <w:szCs w:val="22"/>
              </w:rPr>
              <w:t>11.9</w:t>
            </w:r>
          </w:p>
        </w:tc>
        <w:tc>
          <w:tcPr>
            <w:tcW w:w="1886" w:type="pct"/>
            <w:noWrap/>
            <w:vAlign w:val="bottom"/>
          </w:tcPr>
          <w:p w14:paraId="29021631" w14:textId="77777777" w:rsidR="001F27D2" w:rsidRPr="00C62A5F" w:rsidRDefault="001F27D2" w:rsidP="001F27D2">
            <w:pPr>
              <w:spacing w:before="0" w:after="0"/>
              <w:jc w:val="center"/>
              <w:rPr>
                <w:rFonts w:asciiTheme="minorHAnsi" w:hAnsiTheme="minorHAnsi" w:cs="Calibri"/>
                <w:color w:val="000000"/>
                <w:sz w:val="22"/>
                <w:szCs w:val="22"/>
              </w:rPr>
            </w:pPr>
            <w:r w:rsidRPr="00C62A5F">
              <w:rPr>
                <w:rFonts w:asciiTheme="minorHAnsi" w:hAnsiTheme="minorHAnsi"/>
                <w:color w:val="000000"/>
                <w:sz w:val="22"/>
                <w:szCs w:val="22"/>
              </w:rPr>
              <w:t>9.3</w:t>
            </w:r>
          </w:p>
        </w:tc>
      </w:tr>
      <w:tr w:rsidR="001F27D2" w:rsidRPr="00C62A5F" w14:paraId="1C5815AF" w14:textId="77777777" w:rsidTr="00C62A5F">
        <w:tc>
          <w:tcPr>
            <w:tcW w:w="1409" w:type="pct"/>
            <w:noWrap/>
            <w:hideMark/>
          </w:tcPr>
          <w:p w14:paraId="13416AB1" w14:textId="77777777" w:rsidR="001F27D2" w:rsidRPr="00C62A5F" w:rsidRDefault="001F27D2" w:rsidP="001F27D2">
            <w:pPr>
              <w:spacing w:before="0" w:after="0"/>
              <w:rPr>
                <w:rFonts w:asciiTheme="minorHAnsi" w:hAnsiTheme="minorHAnsi" w:cs="Calibri"/>
                <w:color w:val="000000"/>
                <w:sz w:val="22"/>
                <w:szCs w:val="22"/>
              </w:rPr>
            </w:pPr>
            <w:r w:rsidRPr="00C62A5F">
              <w:rPr>
                <w:rFonts w:asciiTheme="minorHAnsi" w:hAnsiTheme="minorHAnsi" w:cs="Calibri"/>
                <w:color w:val="000000"/>
                <w:sz w:val="22"/>
                <w:szCs w:val="22"/>
              </w:rPr>
              <w:t>1 Bed Other</w:t>
            </w:r>
          </w:p>
        </w:tc>
        <w:tc>
          <w:tcPr>
            <w:tcW w:w="1706" w:type="pct"/>
            <w:noWrap/>
            <w:vAlign w:val="bottom"/>
          </w:tcPr>
          <w:p w14:paraId="4FA6B748" w14:textId="77777777" w:rsidR="001F27D2" w:rsidRPr="00C62A5F" w:rsidRDefault="001F27D2" w:rsidP="001F27D2">
            <w:pPr>
              <w:spacing w:before="0" w:after="0"/>
              <w:jc w:val="center"/>
              <w:rPr>
                <w:rFonts w:asciiTheme="minorHAnsi" w:hAnsiTheme="minorHAnsi" w:cs="Calibri"/>
                <w:color w:val="000000"/>
                <w:sz w:val="22"/>
                <w:szCs w:val="22"/>
              </w:rPr>
            </w:pPr>
            <w:r w:rsidRPr="00C62A5F">
              <w:rPr>
                <w:rFonts w:asciiTheme="minorHAnsi" w:hAnsiTheme="minorHAnsi"/>
                <w:color w:val="000000"/>
                <w:sz w:val="22"/>
                <w:szCs w:val="22"/>
              </w:rPr>
              <w:t>0.4</w:t>
            </w:r>
          </w:p>
        </w:tc>
        <w:tc>
          <w:tcPr>
            <w:tcW w:w="1886" w:type="pct"/>
            <w:noWrap/>
            <w:vAlign w:val="bottom"/>
          </w:tcPr>
          <w:p w14:paraId="49D21AB9" w14:textId="77777777" w:rsidR="001F27D2" w:rsidRPr="00C62A5F" w:rsidRDefault="001F27D2" w:rsidP="001F27D2">
            <w:pPr>
              <w:spacing w:before="0" w:after="0"/>
              <w:jc w:val="center"/>
              <w:rPr>
                <w:rFonts w:asciiTheme="minorHAnsi" w:hAnsiTheme="minorHAnsi" w:cs="Calibri"/>
                <w:color w:val="000000"/>
                <w:sz w:val="22"/>
                <w:szCs w:val="22"/>
              </w:rPr>
            </w:pPr>
            <w:r w:rsidRPr="00C62A5F">
              <w:rPr>
                <w:rFonts w:asciiTheme="minorHAnsi" w:hAnsiTheme="minorHAnsi"/>
                <w:color w:val="000000"/>
                <w:sz w:val="22"/>
                <w:szCs w:val="22"/>
              </w:rPr>
              <w:t>0.4</w:t>
            </w:r>
          </w:p>
        </w:tc>
      </w:tr>
      <w:tr w:rsidR="001F27D2" w:rsidRPr="00C62A5F" w14:paraId="3535E549" w14:textId="77777777" w:rsidTr="00C62A5F">
        <w:tc>
          <w:tcPr>
            <w:tcW w:w="1409" w:type="pct"/>
            <w:noWrap/>
            <w:hideMark/>
          </w:tcPr>
          <w:p w14:paraId="7A449251" w14:textId="77777777" w:rsidR="001F27D2" w:rsidRPr="00C62A5F" w:rsidRDefault="001F27D2" w:rsidP="001F27D2">
            <w:pPr>
              <w:spacing w:before="0" w:after="0"/>
              <w:rPr>
                <w:rFonts w:asciiTheme="minorHAnsi" w:hAnsiTheme="minorHAnsi" w:cs="Calibri"/>
                <w:color w:val="000000"/>
                <w:sz w:val="22"/>
                <w:szCs w:val="22"/>
              </w:rPr>
            </w:pPr>
            <w:r w:rsidRPr="00C62A5F">
              <w:rPr>
                <w:rFonts w:asciiTheme="minorHAnsi" w:hAnsiTheme="minorHAnsi" w:cs="Calibri"/>
                <w:color w:val="000000"/>
                <w:sz w:val="22"/>
                <w:szCs w:val="22"/>
              </w:rPr>
              <w:t>2 Bed Other</w:t>
            </w:r>
          </w:p>
        </w:tc>
        <w:tc>
          <w:tcPr>
            <w:tcW w:w="1706" w:type="pct"/>
            <w:noWrap/>
            <w:vAlign w:val="bottom"/>
          </w:tcPr>
          <w:p w14:paraId="33AE3306" w14:textId="77777777" w:rsidR="001F27D2" w:rsidRPr="00C62A5F" w:rsidRDefault="001F27D2" w:rsidP="001F27D2">
            <w:pPr>
              <w:spacing w:before="0" w:after="0"/>
              <w:jc w:val="center"/>
              <w:rPr>
                <w:rFonts w:asciiTheme="minorHAnsi" w:hAnsiTheme="minorHAnsi" w:cs="Calibri"/>
                <w:color w:val="000000"/>
                <w:sz w:val="22"/>
                <w:szCs w:val="22"/>
              </w:rPr>
            </w:pPr>
            <w:r w:rsidRPr="00C62A5F">
              <w:rPr>
                <w:rFonts w:asciiTheme="minorHAnsi" w:hAnsiTheme="minorHAnsi"/>
                <w:color w:val="000000"/>
                <w:sz w:val="22"/>
                <w:szCs w:val="22"/>
              </w:rPr>
              <w:t>1.8</w:t>
            </w:r>
          </w:p>
        </w:tc>
        <w:tc>
          <w:tcPr>
            <w:tcW w:w="1886" w:type="pct"/>
            <w:noWrap/>
            <w:vAlign w:val="bottom"/>
          </w:tcPr>
          <w:p w14:paraId="3CE841ED" w14:textId="77777777" w:rsidR="001F27D2" w:rsidRPr="00C62A5F" w:rsidRDefault="001F27D2" w:rsidP="001F27D2">
            <w:pPr>
              <w:spacing w:before="0" w:after="0"/>
              <w:jc w:val="center"/>
              <w:rPr>
                <w:rFonts w:asciiTheme="minorHAnsi" w:hAnsiTheme="minorHAnsi" w:cs="Calibri"/>
                <w:color w:val="000000"/>
                <w:sz w:val="22"/>
                <w:szCs w:val="22"/>
              </w:rPr>
            </w:pPr>
            <w:r w:rsidRPr="00C62A5F">
              <w:rPr>
                <w:rFonts w:asciiTheme="minorHAnsi" w:hAnsiTheme="minorHAnsi"/>
                <w:color w:val="000000"/>
                <w:sz w:val="22"/>
                <w:szCs w:val="22"/>
              </w:rPr>
              <w:t>4.7</w:t>
            </w:r>
          </w:p>
        </w:tc>
      </w:tr>
      <w:tr w:rsidR="001F27D2" w:rsidRPr="00C62A5F" w14:paraId="23C99AFF" w14:textId="77777777" w:rsidTr="00C62A5F">
        <w:tc>
          <w:tcPr>
            <w:tcW w:w="1409" w:type="pct"/>
            <w:noWrap/>
            <w:hideMark/>
          </w:tcPr>
          <w:p w14:paraId="6FA9E03B" w14:textId="77777777" w:rsidR="001F27D2" w:rsidRPr="00C62A5F" w:rsidRDefault="001F27D2" w:rsidP="001F27D2">
            <w:pPr>
              <w:spacing w:before="0" w:after="0"/>
              <w:rPr>
                <w:rFonts w:asciiTheme="minorHAnsi" w:hAnsiTheme="minorHAnsi" w:cs="Calibri"/>
                <w:color w:val="000000"/>
                <w:sz w:val="22"/>
                <w:szCs w:val="22"/>
              </w:rPr>
            </w:pPr>
            <w:r w:rsidRPr="00C62A5F">
              <w:rPr>
                <w:rFonts w:asciiTheme="minorHAnsi" w:hAnsiTheme="minorHAnsi" w:cs="Calibri"/>
                <w:color w:val="000000"/>
                <w:sz w:val="22"/>
                <w:szCs w:val="22"/>
              </w:rPr>
              <w:t>3+ Bed Other</w:t>
            </w:r>
          </w:p>
        </w:tc>
        <w:tc>
          <w:tcPr>
            <w:tcW w:w="1706" w:type="pct"/>
            <w:noWrap/>
            <w:vAlign w:val="bottom"/>
          </w:tcPr>
          <w:p w14:paraId="630C38E8" w14:textId="77777777" w:rsidR="001F27D2" w:rsidRPr="00C62A5F" w:rsidRDefault="001F27D2" w:rsidP="001F27D2">
            <w:pPr>
              <w:spacing w:before="0" w:after="0"/>
              <w:jc w:val="center"/>
              <w:rPr>
                <w:rFonts w:asciiTheme="minorHAnsi" w:hAnsiTheme="minorHAnsi" w:cs="Calibri"/>
                <w:color w:val="000000"/>
                <w:sz w:val="22"/>
                <w:szCs w:val="22"/>
              </w:rPr>
            </w:pPr>
            <w:r w:rsidRPr="00C62A5F">
              <w:rPr>
                <w:rFonts w:asciiTheme="minorHAnsi" w:hAnsiTheme="minorHAnsi"/>
                <w:color w:val="000000"/>
                <w:sz w:val="22"/>
                <w:szCs w:val="22"/>
              </w:rPr>
              <w:t>0.2</w:t>
            </w:r>
          </w:p>
        </w:tc>
        <w:tc>
          <w:tcPr>
            <w:tcW w:w="1886" w:type="pct"/>
            <w:noWrap/>
            <w:vAlign w:val="bottom"/>
          </w:tcPr>
          <w:p w14:paraId="66F017B0" w14:textId="77777777" w:rsidR="001F27D2" w:rsidRPr="00C62A5F" w:rsidRDefault="001F27D2" w:rsidP="001F27D2">
            <w:pPr>
              <w:spacing w:before="0" w:after="0"/>
              <w:jc w:val="center"/>
              <w:rPr>
                <w:rFonts w:asciiTheme="minorHAnsi" w:hAnsiTheme="minorHAnsi" w:cs="Calibri"/>
                <w:color w:val="000000"/>
                <w:sz w:val="22"/>
                <w:szCs w:val="22"/>
              </w:rPr>
            </w:pPr>
            <w:r w:rsidRPr="00C62A5F">
              <w:rPr>
                <w:rFonts w:asciiTheme="minorHAnsi" w:hAnsiTheme="minorHAnsi"/>
                <w:color w:val="000000"/>
                <w:sz w:val="22"/>
                <w:szCs w:val="22"/>
              </w:rPr>
              <w:t>-0.7</w:t>
            </w:r>
          </w:p>
        </w:tc>
      </w:tr>
      <w:tr w:rsidR="001F27D2" w:rsidRPr="00C62A5F" w14:paraId="3D48A9CA" w14:textId="77777777" w:rsidTr="00C62A5F">
        <w:tc>
          <w:tcPr>
            <w:tcW w:w="1409" w:type="pct"/>
            <w:noWrap/>
            <w:hideMark/>
          </w:tcPr>
          <w:p w14:paraId="084BFD3C" w14:textId="77777777" w:rsidR="001F27D2" w:rsidRPr="00C62A5F" w:rsidRDefault="001F27D2" w:rsidP="001F27D2">
            <w:pPr>
              <w:spacing w:before="0" w:after="0"/>
              <w:rPr>
                <w:rFonts w:asciiTheme="minorHAnsi" w:hAnsiTheme="minorHAnsi" w:cs="Calibri"/>
                <w:b/>
                <w:color w:val="000000"/>
                <w:sz w:val="22"/>
                <w:szCs w:val="22"/>
              </w:rPr>
            </w:pPr>
            <w:r w:rsidRPr="00C62A5F">
              <w:rPr>
                <w:rFonts w:asciiTheme="minorHAnsi" w:hAnsiTheme="minorHAnsi" w:cs="Calibri"/>
                <w:b/>
                <w:color w:val="000000"/>
                <w:sz w:val="22"/>
                <w:szCs w:val="22"/>
              </w:rPr>
              <w:t>Total</w:t>
            </w:r>
          </w:p>
        </w:tc>
        <w:tc>
          <w:tcPr>
            <w:tcW w:w="1706" w:type="pct"/>
            <w:noWrap/>
            <w:vAlign w:val="bottom"/>
          </w:tcPr>
          <w:p w14:paraId="663E9D0B" w14:textId="77777777" w:rsidR="001F27D2" w:rsidRPr="00C62A5F" w:rsidRDefault="001F27D2" w:rsidP="001F27D2">
            <w:pPr>
              <w:spacing w:before="0" w:after="0"/>
              <w:jc w:val="center"/>
              <w:rPr>
                <w:rFonts w:asciiTheme="minorHAnsi" w:hAnsiTheme="minorHAnsi" w:cs="Calibri"/>
                <w:color w:val="000000"/>
                <w:sz w:val="22"/>
                <w:szCs w:val="22"/>
              </w:rPr>
            </w:pPr>
            <w:r w:rsidRPr="00C62A5F">
              <w:rPr>
                <w:rFonts w:asciiTheme="minorHAnsi" w:hAnsiTheme="minorHAnsi"/>
                <w:color w:val="000000"/>
                <w:sz w:val="22"/>
                <w:szCs w:val="22"/>
              </w:rPr>
              <w:t>100.0</w:t>
            </w:r>
          </w:p>
        </w:tc>
        <w:tc>
          <w:tcPr>
            <w:tcW w:w="1886" w:type="pct"/>
            <w:noWrap/>
            <w:vAlign w:val="bottom"/>
          </w:tcPr>
          <w:p w14:paraId="0B1B9C52" w14:textId="77777777" w:rsidR="001F27D2" w:rsidRPr="00C62A5F" w:rsidRDefault="001F27D2" w:rsidP="001F27D2">
            <w:pPr>
              <w:spacing w:before="0" w:after="0"/>
              <w:jc w:val="center"/>
              <w:rPr>
                <w:rFonts w:asciiTheme="minorHAnsi" w:hAnsiTheme="minorHAnsi" w:cs="Calibri"/>
                <w:color w:val="000000"/>
                <w:sz w:val="22"/>
                <w:szCs w:val="22"/>
              </w:rPr>
            </w:pPr>
            <w:r w:rsidRPr="00C62A5F">
              <w:rPr>
                <w:rFonts w:asciiTheme="minorHAnsi" w:hAnsiTheme="minorHAnsi"/>
                <w:color w:val="000000"/>
                <w:sz w:val="22"/>
                <w:szCs w:val="22"/>
              </w:rPr>
              <w:t>100.0</w:t>
            </w:r>
          </w:p>
        </w:tc>
      </w:tr>
      <w:tr w:rsidR="001F27D2" w:rsidRPr="00C62A5F" w14:paraId="3DA6BECC" w14:textId="77777777" w:rsidTr="00C62A5F">
        <w:tc>
          <w:tcPr>
            <w:tcW w:w="1409" w:type="pct"/>
            <w:noWrap/>
          </w:tcPr>
          <w:p w14:paraId="27A68679" w14:textId="77777777" w:rsidR="001F27D2" w:rsidRPr="00C62A5F" w:rsidRDefault="001F27D2" w:rsidP="001F27D2">
            <w:pPr>
              <w:spacing w:before="0" w:after="0"/>
              <w:rPr>
                <w:rFonts w:asciiTheme="minorHAnsi" w:hAnsiTheme="minorHAnsi" w:cs="Calibri"/>
                <w:color w:val="000000"/>
                <w:sz w:val="22"/>
                <w:szCs w:val="22"/>
              </w:rPr>
            </w:pPr>
            <w:r w:rsidRPr="00C62A5F">
              <w:rPr>
                <w:rFonts w:asciiTheme="minorHAnsi" w:hAnsiTheme="minorHAnsi" w:cs="Calibri"/>
                <w:color w:val="000000"/>
                <w:sz w:val="22"/>
                <w:szCs w:val="22"/>
              </w:rPr>
              <w:t>1</w:t>
            </w:r>
          </w:p>
        </w:tc>
        <w:tc>
          <w:tcPr>
            <w:tcW w:w="1706" w:type="pct"/>
            <w:noWrap/>
            <w:vAlign w:val="bottom"/>
          </w:tcPr>
          <w:p w14:paraId="3A818C80" w14:textId="77777777" w:rsidR="001F27D2" w:rsidRPr="00C62A5F" w:rsidRDefault="001F27D2" w:rsidP="001F27D2">
            <w:pPr>
              <w:spacing w:before="0" w:after="0"/>
              <w:jc w:val="center"/>
              <w:rPr>
                <w:rFonts w:asciiTheme="minorHAnsi" w:hAnsiTheme="minorHAnsi"/>
                <w:color w:val="000000"/>
                <w:sz w:val="22"/>
                <w:szCs w:val="22"/>
              </w:rPr>
            </w:pPr>
            <w:r w:rsidRPr="00C62A5F">
              <w:rPr>
                <w:rFonts w:asciiTheme="minorHAnsi" w:hAnsiTheme="minorHAnsi"/>
                <w:bCs/>
                <w:color w:val="000000"/>
                <w:sz w:val="22"/>
                <w:szCs w:val="22"/>
              </w:rPr>
              <w:t>32.8</w:t>
            </w:r>
          </w:p>
        </w:tc>
        <w:tc>
          <w:tcPr>
            <w:tcW w:w="1886" w:type="pct"/>
            <w:noWrap/>
            <w:vAlign w:val="bottom"/>
          </w:tcPr>
          <w:p w14:paraId="16F7DB5A" w14:textId="77777777" w:rsidR="001F27D2" w:rsidRPr="00C62A5F" w:rsidRDefault="001F27D2" w:rsidP="001F27D2">
            <w:pPr>
              <w:spacing w:before="0" w:after="0"/>
              <w:jc w:val="center"/>
              <w:rPr>
                <w:rFonts w:asciiTheme="minorHAnsi" w:hAnsiTheme="minorHAnsi"/>
                <w:color w:val="000000"/>
                <w:sz w:val="22"/>
                <w:szCs w:val="22"/>
              </w:rPr>
            </w:pPr>
            <w:r w:rsidRPr="00C62A5F">
              <w:rPr>
                <w:rFonts w:asciiTheme="minorHAnsi" w:hAnsiTheme="minorHAnsi"/>
                <w:bCs/>
                <w:color w:val="000000"/>
                <w:sz w:val="22"/>
                <w:szCs w:val="22"/>
              </w:rPr>
              <w:t>41.4</w:t>
            </w:r>
          </w:p>
        </w:tc>
      </w:tr>
      <w:tr w:rsidR="001F27D2" w:rsidRPr="00C62A5F" w14:paraId="06BCE0C7" w14:textId="77777777" w:rsidTr="00C62A5F">
        <w:tc>
          <w:tcPr>
            <w:tcW w:w="1409" w:type="pct"/>
            <w:noWrap/>
          </w:tcPr>
          <w:p w14:paraId="40F26D4E" w14:textId="77777777" w:rsidR="001F27D2" w:rsidRPr="00C62A5F" w:rsidRDefault="001F27D2" w:rsidP="001F27D2">
            <w:pPr>
              <w:spacing w:before="0" w:after="0"/>
              <w:rPr>
                <w:rFonts w:asciiTheme="minorHAnsi" w:hAnsiTheme="minorHAnsi" w:cs="Calibri"/>
                <w:color w:val="000000"/>
                <w:sz w:val="22"/>
                <w:szCs w:val="22"/>
              </w:rPr>
            </w:pPr>
            <w:r w:rsidRPr="00C62A5F">
              <w:rPr>
                <w:rFonts w:asciiTheme="minorHAnsi" w:hAnsiTheme="minorHAnsi" w:cs="Calibri"/>
                <w:color w:val="000000"/>
                <w:sz w:val="22"/>
                <w:szCs w:val="22"/>
              </w:rPr>
              <w:t>2</w:t>
            </w:r>
          </w:p>
        </w:tc>
        <w:tc>
          <w:tcPr>
            <w:tcW w:w="1706" w:type="pct"/>
            <w:noWrap/>
            <w:vAlign w:val="bottom"/>
          </w:tcPr>
          <w:p w14:paraId="2F5810F8" w14:textId="77777777" w:rsidR="001F27D2" w:rsidRPr="00C62A5F" w:rsidRDefault="001F27D2" w:rsidP="001F27D2">
            <w:pPr>
              <w:spacing w:before="0" w:after="0"/>
              <w:jc w:val="center"/>
              <w:rPr>
                <w:rFonts w:asciiTheme="minorHAnsi" w:hAnsiTheme="minorHAnsi"/>
                <w:color w:val="000000"/>
                <w:sz w:val="22"/>
                <w:szCs w:val="22"/>
              </w:rPr>
            </w:pPr>
            <w:r w:rsidRPr="00C62A5F">
              <w:rPr>
                <w:rFonts w:asciiTheme="minorHAnsi" w:hAnsiTheme="minorHAnsi"/>
                <w:bCs/>
                <w:color w:val="000000"/>
                <w:sz w:val="22"/>
                <w:szCs w:val="22"/>
              </w:rPr>
              <w:t>23.4</w:t>
            </w:r>
          </w:p>
        </w:tc>
        <w:tc>
          <w:tcPr>
            <w:tcW w:w="1886" w:type="pct"/>
            <w:noWrap/>
            <w:vAlign w:val="bottom"/>
          </w:tcPr>
          <w:p w14:paraId="608FC672" w14:textId="77777777" w:rsidR="001F27D2" w:rsidRPr="00C62A5F" w:rsidRDefault="001F27D2" w:rsidP="001F27D2">
            <w:pPr>
              <w:spacing w:before="0" w:after="0"/>
              <w:jc w:val="center"/>
              <w:rPr>
                <w:rFonts w:asciiTheme="minorHAnsi" w:hAnsiTheme="minorHAnsi"/>
                <w:color w:val="000000"/>
                <w:sz w:val="22"/>
                <w:szCs w:val="22"/>
              </w:rPr>
            </w:pPr>
            <w:r w:rsidRPr="00C62A5F">
              <w:rPr>
                <w:rFonts w:asciiTheme="minorHAnsi" w:hAnsiTheme="minorHAnsi"/>
                <w:bCs/>
                <w:color w:val="000000"/>
                <w:sz w:val="22"/>
                <w:szCs w:val="22"/>
              </w:rPr>
              <w:t>43.4</w:t>
            </w:r>
          </w:p>
        </w:tc>
      </w:tr>
      <w:tr w:rsidR="001F27D2" w:rsidRPr="00C62A5F" w14:paraId="35B1A21C" w14:textId="77777777" w:rsidTr="00C62A5F">
        <w:tc>
          <w:tcPr>
            <w:tcW w:w="1409" w:type="pct"/>
            <w:noWrap/>
          </w:tcPr>
          <w:p w14:paraId="1707F236" w14:textId="77777777" w:rsidR="001F27D2" w:rsidRPr="00C62A5F" w:rsidRDefault="001F27D2" w:rsidP="001F27D2">
            <w:pPr>
              <w:spacing w:before="0" w:after="0"/>
              <w:rPr>
                <w:rFonts w:asciiTheme="minorHAnsi" w:hAnsiTheme="minorHAnsi" w:cs="Calibri"/>
                <w:color w:val="000000"/>
                <w:sz w:val="22"/>
                <w:szCs w:val="22"/>
              </w:rPr>
            </w:pPr>
            <w:r w:rsidRPr="00C62A5F">
              <w:rPr>
                <w:rFonts w:asciiTheme="minorHAnsi" w:hAnsiTheme="minorHAnsi" w:cs="Calibri"/>
                <w:color w:val="000000"/>
                <w:sz w:val="22"/>
                <w:szCs w:val="22"/>
              </w:rPr>
              <w:t>3</w:t>
            </w:r>
          </w:p>
        </w:tc>
        <w:tc>
          <w:tcPr>
            <w:tcW w:w="1706" w:type="pct"/>
            <w:noWrap/>
            <w:vAlign w:val="bottom"/>
          </w:tcPr>
          <w:p w14:paraId="26E3B2C6" w14:textId="77777777" w:rsidR="001F27D2" w:rsidRPr="00C62A5F" w:rsidRDefault="001F27D2" w:rsidP="001F27D2">
            <w:pPr>
              <w:spacing w:before="0" w:after="0"/>
              <w:jc w:val="center"/>
              <w:rPr>
                <w:rFonts w:asciiTheme="minorHAnsi" w:hAnsiTheme="minorHAnsi"/>
                <w:color w:val="000000"/>
                <w:sz w:val="22"/>
                <w:szCs w:val="22"/>
              </w:rPr>
            </w:pPr>
            <w:r w:rsidRPr="00C62A5F">
              <w:rPr>
                <w:rFonts w:asciiTheme="minorHAnsi" w:hAnsiTheme="minorHAnsi"/>
                <w:bCs/>
                <w:color w:val="000000"/>
                <w:sz w:val="22"/>
                <w:szCs w:val="22"/>
              </w:rPr>
              <w:t>42.2</w:t>
            </w:r>
          </w:p>
        </w:tc>
        <w:tc>
          <w:tcPr>
            <w:tcW w:w="1886" w:type="pct"/>
            <w:noWrap/>
            <w:vAlign w:val="bottom"/>
          </w:tcPr>
          <w:p w14:paraId="084E0F67" w14:textId="77777777" w:rsidR="001F27D2" w:rsidRPr="00C62A5F" w:rsidRDefault="001F27D2" w:rsidP="001F27D2">
            <w:pPr>
              <w:spacing w:before="0" w:after="0"/>
              <w:jc w:val="center"/>
              <w:rPr>
                <w:rFonts w:asciiTheme="minorHAnsi" w:hAnsiTheme="minorHAnsi"/>
                <w:color w:val="000000"/>
                <w:sz w:val="22"/>
                <w:szCs w:val="22"/>
              </w:rPr>
            </w:pPr>
            <w:r w:rsidRPr="00C62A5F">
              <w:rPr>
                <w:rFonts w:asciiTheme="minorHAnsi" w:hAnsiTheme="minorHAnsi"/>
                <w:bCs/>
                <w:color w:val="000000"/>
                <w:sz w:val="22"/>
                <w:szCs w:val="22"/>
              </w:rPr>
              <w:t>29.4</w:t>
            </w:r>
          </w:p>
        </w:tc>
      </w:tr>
      <w:tr w:rsidR="001F27D2" w:rsidRPr="00C62A5F" w14:paraId="4927F2CD" w14:textId="77777777" w:rsidTr="00C62A5F">
        <w:tc>
          <w:tcPr>
            <w:tcW w:w="1409" w:type="pct"/>
            <w:noWrap/>
          </w:tcPr>
          <w:p w14:paraId="7AA4CEC8" w14:textId="77777777" w:rsidR="001F27D2" w:rsidRPr="00C62A5F" w:rsidRDefault="001F27D2" w:rsidP="001F27D2">
            <w:pPr>
              <w:spacing w:before="0" w:after="0"/>
              <w:rPr>
                <w:rFonts w:asciiTheme="minorHAnsi" w:hAnsiTheme="minorHAnsi" w:cs="Calibri"/>
                <w:color w:val="000000"/>
                <w:sz w:val="22"/>
                <w:szCs w:val="22"/>
              </w:rPr>
            </w:pPr>
            <w:r w:rsidRPr="00C62A5F">
              <w:rPr>
                <w:rFonts w:asciiTheme="minorHAnsi" w:hAnsiTheme="minorHAnsi" w:cs="Calibri"/>
                <w:color w:val="000000"/>
                <w:sz w:val="22"/>
                <w:szCs w:val="22"/>
              </w:rPr>
              <w:t>4</w:t>
            </w:r>
          </w:p>
        </w:tc>
        <w:tc>
          <w:tcPr>
            <w:tcW w:w="1706" w:type="pct"/>
            <w:noWrap/>
            <w:vAlign w:val="bottom"/>
          </w:tcPr>
          <w:p w14:paraId="1F9DBADB" w14:textId="77777777" w:rsidR="001F27D2" w:rsidRPr="00C62A5F" w:rsidRDefault="001F27D2" w:rsidP="001F27D2">
            <w:pPr>
              <w:spacing w:before="0" w:after="0"/>
              <w:jc w:val="center"/>
              <w:rPr>
                <w:rFonts w:asciiTheme="minorHAnsi" w:hAnsiTheme="minorHAnsi"/>
                <w:color w:val="000000"/>
                <w:sz w:val="22"/>
                <w:szCs w:val="22"/>
              </w:rPr>
            </w:pPr>
            <w:r w:rsidRPr="00C62A5F">
              <w:rPr>
                <w:rFonts w:asciiTheme="minorHAnsi" w:hAnsiTheme="minorHAnsi"/>
                <w:bCs/>
                <w:color w:val="000000"/>
                <w:sz w:val="22"/>
                <w:szCs w:val="22"/>
              </w:rPr>
              <w:t>1.6</w:t>
            </w:r>
          </w:p>
        </w:tc>
        <w:tc>
          <w:tcPr>
            <w:tcW w:w="1886" w:type="pct"/>
            <w:noWrap/>
            <w:vAlign w:val="bottom"/>
          </w:tcPr>
          <w:p w14:paraId="01162221" w14:textId="77777777" w:rsidR="001F27D2" w:rsidRPr="00C62A5F" w:rsidRDefault="001F27D2" w:rsidP="001F27D2">
            <w:pPr>
              <w:spacing w:before="0" w:after="0"/>
              <w:jc w:val="center"/>
              <w:rPr>
                <w:rFonts w:asciiTheme="minorHAnsi" w:hAnsiTheme="minorHAnsi"/>
                <w:color w:val="000000"/>
                <w:sz w:val="22"/>
                <w:szCs w:val="22"/>
              </w:rPr>
            </w:pPr>
            <w:r w:rsidRPr="00C62A5F">
              <w:rPr>
                <w:rFonts w:asciiTheme="minorHAnsi" w:hAnsiTheme="minorHAnsi"/>
                <w:bCs/>
                <w:color w:val="000000"/>
                <w:sz w:val="22"/>
                <w:szCs w:val="22"/>
              </w:rPr>
              <w:t>-14.1</w:t>
            </w:r>
          </w:p>
        </w:tc>
      </w:tr>
      <w:tr w:rsidR="001F27D2" w:rsidRPr="00C62A5F" w14:paraId="4C0BDBC3" w14:textId="77777777" w:rsidTr="00C62A5F">
        <w:tc>
          <w:tcPr>
            <w:tcW w:w="1409" w:type="pct"/>
            <w:noWrap/>
          </w:tcPr>
          <w:p w14:paraId="1C9A7FC3" w14:textId="77777777" w:rsidR="001F27D2" w:rsidRPr="00C62A5F" w:rsidRDefault="001F27D2" w:rsidP="001F27D2">
            <w:pPr>
              <w:spacing w:before="0" w:after="0"/>
              <w:rPr>
                <w:rFonts w:asciiTheme="minorHAnsi" w:hAnsiTheme="minorHAnsi" w:cs="Calibri"/>
                <w:b/>
                <w:color w:val="000000"/>
                <w:sz w:val="22"/>
                <w:szCs w:val="22"/>
              </w:rPr>
            </w:pPr>
            <w:r w:rsidRPr="00C62A5F">
              <w:rPr>
                <w:rFonts w:asciiTheme="minorHAnsi" w:hAnsiTheme="minorHAnsi" w:cs="Calibri"/>
                <w:b/>
                <w:color w:val="000000"/>
                <w:sz w:val="22"/>
                <w:szCs w:val="22"/>
              </w:rPr>
              <w:t>Total</w:t>
            </w:r>
          </w:p>
        </w:tc>
        <w:tc>
          <w:tcPr>
            <w:tcW w:w="1706" w:type="pct"/>
            <w:noWrap/>
            <w:vAlign w:val="bottom"/>
          </w:tcPr>
          <w:p w14:paraId="6E24203F" w14:textId="77777777" w:rsidR="001F27D2" w:rsidRPr="00C62A5F" w:rsidRDefault="001F27D2" w:rsidP="001F27D2">
            <w:pPr>
              <w:spacing w:before="0" w:after="0"/>
              <w:jc w:val="center"/>
              <w:rPr>
                <w:rFonts w:asciiTheme="minorHAnsi" w:hAnsiTheme="minorHAnsi"/>
                <w:bCs/>
                <w:color w:val="000000"/>
                <w:sz w:val="22"/>
                <w:szCs w:val="22"/>
              </w:rPr>
            </w:pPr>
            <w:r w:rsidRPr="00C62A5F">
              <w:rPr>
                <w:rFonts w:asciiTheme="minorHAnsi" w:hAnsiTheme="minorHAnsi"/>
                <w:bCs/>
                <w:color w:val="000000"/>
                <w:sz w:val="22"/>
                <w:szCs w:val="22"/>
              </w:rPr>
              <w:t>100</w:t>
            </w:r>
          </w:p>
        </w:tc>
        <w:tc>
          <w:tcPr>
            <w:tcW w:w="1886" w:type="pct"/>
            <w:noWrap/>
            <w:vAlign w:val="bottom"/>
          </w:tcPr>
          <w:p w14:paraId="7AF60ADE" w14:textId="77777777" w:rsidR="001F27D2" w:rsidRPr="00C62A5F" w:rsidRDefault="001F27D2" w:rsidP="001F27D2">
            <w:pPr>
              <w:spacing w:before="0" w:after="0"/>
              <w:jc w:val="center"/>
              <w:rPr>
                <w:rFonts w:asciiTheme="minorHAnsi" w:hAnsiTheme="minorHAnsi"/>
                <w:color w:val="000000"/>
                <w:sz w:val="22"/>
                <w:szCs w:val="22"/>
              </w:rPr>
            </w:pPr>
            <w:r w:rsidRPr="00C62A5F">
              <w:rPr>
                <w:rFonts w:asciiTheme="minorHAnsi" w:hAnsiTheme="minorHAnsi"/>
                <w:bCs/>
                <w:color w:val="000000"/>
                <w:sz w:val="22"/>
                <w:szCs w:val="22"/>
              </w:rPr>
              <w:t>100</w:t>
            </w:r>
          </w:p>
        </w:tc>
      </w:tr>
      <w:tr w:rsidR="001F27D2" w:rsidRPr="00C62A5F" w14:paraId="66830A01" w14:textId="77777777" w:rsidTr="00C62A5F">
        <w:tc>
          <w:tcPr>
            <w:tcW w:w="1409" w:type="pct"/>
            <w:noWrap/>
          </w:tcPr>
          <w:p w14:paraId="7DFA9E14" w14:textId="77777777" w:rsidR="001F27D2" w:rsidRPr="00C62A5F" w:rsidRDefault="001F27D2" w:rsidP="001F27D2">
            <w:pPr>
              <w:spacing w:before="0" w:after="0"/>
              <w:rPr>
                <w:rFonts w:asciiTheme="minorHAnsi" w:hAnsiTheme="minorHAnsi" w:cs="Calibri"/>
                <w:color w:val="000000"/>
                <w:sz w:val="22"/>
                <w:szCs w:val="22"/>
              </w:rPr>
            </w:pPr>
            <w:r w:rsidRPr="00C62A5F">
              <w:rPr>
                <w:rFonts w:asciiTheme="minorHAnsi" w:hAnsiTheme="minorHAnsi" w:cs="Calibri"/>
                <w:color w:val="000000"/>
                <w:sz w:val="22"/>
                <w:szCs w:val="22"/>
              </w:rPr>
              <w:t>House</w:t>
            </w:r>
          </w:p>
        </w:tc>
        <w:tc>
          <w:tcPr>
            <w:tcW w:w="1706" w:type="pct"/>
            <w:noWrap/>
            <w:vAlign w:val="bottom"/>
          </w:tcPr>
          <w:p w14:paraId="128F6818" w14:textId="77777777" w:rsidR="001F27D2" w:rsidRPr="00C62A5F" w:rsidRDefault="001F27D2" w:rsidP="001F27D2">
            <w:pPr>
              <w:spacing w:before="0" w:after="0"/>
              <w:jc w:val="center"/>
              <w:rPr>
                <w:rFonts w:asciiTheme="minorHAnsi" w:hAnsiTheme="minorHAnsi"/>
                <w:bCs/>
                <w:color w:val="000000"/>
                <w:sz w:val="22"/>
                <w:szCs w:val="22"/>
                <w:u w:val="single"/>
              </w:rPr>
            </w:pPr>
            <w:r w:rsidRPr="00C62A5F">
              <w:rPr>
                <w:rFonts w:asciiTheme="minorHAnsi" w:hAnsiTheme="minorHAnsi"/>
                <w:color w:val="000000"/>
                <w:sz w:val="22"/>
                <w:szCs w:val="22"/>
              </w:rPr>
              <w:t>34.5</w:t>
            </w:r>
          </w:p>
        </w:tc>
        <w:tc>
          <w:tcPr>
            <w:tcW w:w="1886" w:type="pct"/>
            <w:noWrap/>
            <w:vAlign w:val="bottom"/>
          </w:tcPr>
          <w:p w14:paraId="229919E4" w14:textId="77777777" w:rsidR="001F27D2" w:rsidRPr="00C62A5F" w:rsidRDefault="001F27D2" w:rsidP="001F27D2">
            <w:pPr>
              <w:spacing w:before="0" w:after="0"/>
              <w:jc w:val="center"/>
              <w:rPr>
                <w:rFonts w:asciiTheme="minorHAnsi" w:hAnsiTheme="minorHAnsi"/>
                <w:bCs/>
                <w:color w:val="000000"/>
                <w:sz w:val="22"/>
                <w:szCs w:val="22"/>
                <w:u w:val="single"/>
              </w:rPr>
            </w:pPr>
            <w:r w:rsidRPr="00C62A5F">
              <w:rPr>
                <w:rFonts w:asciiTheme="minorHAnsi" w:hAnsiTheme="minorHAnsi"/>
                <w:color w:val="000000"/>
                <w:sz w:val="22"/>
                <w:szCs w:val="22"/>
              </w:rPr>
              <w:t>5.1</w:t>
            </w:r>
          </w:p>
        </w:tc>
      </w:tr>
      <w:tr w:rsidR="001F27D2" w:rsidRPr="00C62A5F" w14:paraId="3A403C2F" w14:textId="77777777" w:rsidTr="00C62A5F">
        <w:tc>
          <w:tcPr>
            <w:tcW w:w="1409" w:type="pct"/>
            <w:noWrap/>
          </w:tcPr>
          <w:p w14:paraId="4C23C1D2" w14:textId="77777777" w:rsidR="001F27D2" w:rsidRPr="00C62A5F" w:rsidRDefault="001F27D2" w:rsidP="001F27D2">
            <w:pPr>
              <w:spacing w:before="0" w:after="0"/>
              <w:rPr>
                <w:rFonts w:asciiTheme="minorHAnsi" w:hAnsiTheme="minorHAnsi" w:cs="Calibri"/>
                <w:color w:val="000000"/>
                <w:sz w:val="22"/>
                <w:szCs w:val="22"/>
              </w:rPr>
            </w:pPr>
            <w:r w:rsidRPr="00C62A5F">
              <w:rPr>
                <w:rFonts w:asciiTheme="minorHAnsi" w:hAnsiTheme="minorHAnsi" w:cs="Calibri"/>
                <w:color w:val="000000"/>
                <w:sz w:val="22"/>
                <w:szCs w:val="22"/>
              </w:rPr>
              <w:t>Flat</w:t>
            </w:r>
          </w:p>
        </w:tc>
        <w:tc>
          <w:tcPr>
            <w:tcW w:w="1706" w:type="pct"/>
            <w:noWrap/>
            <w:vAlign w:val="bottom"/>
          </w:tcPr>
          <w:p w14:paraId="12CF7FFD" w14:textId="77777777" w:rsidR="001F27D2" w:rsidRPr="00C62A5F" w:rsidRDefault="001F27D2" w:rsidP="001F27D2">
            <w:pPr>
              <w:spacing w:before="0" w:after="0"/>
              <w:jc w:val="center"/>
              <w:rPr>
                <w:rFonts w:asciiTheme="minorHAnsi" w:hAnsiTheme="minorHAnsi"/>
                <w:bCs/>
                <w:color w:val="000000"/>
                <w:sz w:val="22"/>
                <w:szCs w:val="22"/>
                <w:u w:val="single"/>
              </w:rPr>
            </w:pPr>
            <w:r w:rsidRPr="00C62A5F">
              <w:rPr>
                <w:rFonts w:asciiTheme="minorHAnsi" w:hAnsiTheme="minorHAnsi"/>
                <w:color w:val="000000"/>
                <w:sz w:val="22"/>
                <w:szCs w:val="22"/>
              </w:rPr>
              <w:t>22.7</w:t>
            </w:r>
          </w:p>
        </w:tc>
        <w:tc>
          <w:tcPr>
            <w:tcW w:w="1886" w:type="pct"/>
            <w:noWrap/>
            <w:vAlign w:val="bottom"/>
          </w:tcPr>
          <w:p w14:paraId="3D6DD990" w14:textId="77777777" w:rsidR="001F27D2" w:rsidRPr="00C62A5F" w:rsidRDefault="001F27D2" w:rsidP="001F27D2">
            <w:pPr>
              <w:spacing w:before="0" w:after="0"/>
              <w:jc w:val="center"/>
              <w:rPr>
                <w:rFonts w:asciiTheme="minorHAnsi" w:hAnsiTheme="minorHAnsi"/>
                <w:bCs/>
                <w:color w:val="000000"/>
                <w:sz w:val="22"/>
                <w:szCs w:val="22"/>
                <w:u w:val="single"/>
              </w:rPr>
            </w:pPr>
            <w:r w:rsidRPr="00C62A5F">
              <w:rPr>
                <w:rFonts w:asciiTheme="minorHAnsi" w:hAnsiTheme="minorHAnsi"/>
                <w:color w:val="000000"/>
                <w:sz w:val="22"/>
                <w:szCs w:val="22"/>
              </w:rPr>
              <w:t>40.3</w:t>
            </w:r>
          </w:p>
        </w:tc>
      </w:tr>
      <w:tr w:rsidR="001F27D2" w:rsidRPr="00C62A5F" w14:paraId="41C19539" w14:textId="77777777" w:rsidTr="00C62A5F">
        <w:tc>
          <w:tcPr>
            <w:tcW w:w="1409" w:type="pct"/>
            <w:noWrap/>
          </w:tcPr>
          <w:p w14:paraId="4D51ACDE" w14:textId="77777777" w:rsidR="001F27D2" w:rsidRPr="00C62A5F" w:rsidRDefault="001F27D2" w:rsidP="001F27D2">
            <w:pPr>
              <w:spacing w:before="0" w:after="0"/>
              <w:rPr>
                <w:rFonts w:asciiTheme="minorHAnsi" w:hAnsiTheme="minorHAnsi" w:cs="Calibri"/>
                <w:color w:val="000000"/>
                <w:sz w:val="22"/>
                <w:szCs w:val="22"/>
              </w:rPr>
            </w:pPr>
            <w:r w:rsidRPr="00C62A5F">
              <w:rPr>
                <w:rFonts w:asciiTheme="minorHAnsi" w:hAnsiTheme="minorHAnsi" w:cs="Calibri"/>
                <w:color w:val="000000"/>
                <w:sz w:val="22"/>
                <w:szCs w:val="22"/>
              </w:rPr>
              <w:t>Bungalow</w:t>
            </w:r>
          </w:p>
        </w:tc>
        <w:tc>
          <w:tcPr>
            <w:tcW w:w="1706" w:type="pct"/>
            <w:noWrap/>
            <w:vAlign w:val="bottom"/>
          </w:tcPr>
          <w:p w14:paraId="516199AA" w14:textId="77777777" w:rsidR="001F27D2" w:rsidRPr="00C62A5F" w:rsidRDefault="001F27D2" w:rsidP="001F27D2">
            <w:pPr>
              <w:spacing w:before="0" w:after="0"/>
              <w:jc w:val="center"/>
              <w:rPr>
                <w:rFonts w:asciiTheme="minorHAnsi" w:hAnsiTheme="minorHAnsi"/>
                <w:bCs/>
                <w:color w:val="000000"/>
                <w:sz w:val="22"/>
                <w:szCs w:val="22"/>
                <w:u w:val="single"/>
              </w:rPr>
            </w:pPr>
            <w:r w:rsidRPr="00C62A5F">
              <w:rPr>
                <w:rFonts w:asciiTheme="minorHAnsi" w:hAnsiTheme="minorHAnsi"/>
                <w:color w:val="000000"/>
                <w:sz w:val="22"/>
                <w:szCs w:val="22"/>
              </w:rPr>
              <w:t>40.4</w:t>
            </w:r>
          </w:p>
        </w:tc>
        <w:tc>
          <w:tcPr>
            <w:tcW w:w="1886" w:type="pct"/>
            <w:noWrap/>
            <w:vAlign w:val="bottom"/>
          </w:tcPr>
          <w:p w14:paraId="2850E082" w14:textId="77777777" w:rsidR="001F27D2" w:rsidRPr="00C62A5F" w:rsidRDefault="001F27D2" w:rsidP="001F27D2">
            <w:pPr>
              <w:spacing w:before="0" w:after="0"/>
              <w:jc w:val="center"/>
              <w:rPr>
                <w:rFonts w:asciiTheme="minorHAnsi" w:hAnsiTheme="minorHAnsi"/>
                <w:bCs/>
                <w:color w:val="000000"/>
                <w:sz w:val="22"/>
                <w:szCs w:val="22"/>
                <w:u w:val="single"/>
              </w:rPr>
            </w:pPr>
            <w:r w:rsidRPr="00C62A5F">
              <w:rPr>
                <w:rFonts w:asciiTheme="minorHAnsi" w:hAnsiTheme="minorHAnsi"/>
                <w:color w:val="000000"/>
                <w:sz w:val="22"/>
                <w:szCs w:val="22"/>
              </w:rPr>
              <w:t>50.2</w:t>
            </w:r>
          </w:p>
        </w:tc>
      </w:tr>
      <w:tr w:rsidR="001F27D2" w:rsidRPr="00C62A5F" w14:paraId="00ED6CC2" w14:textId="77777777" w:rsidTr="00C62A5F">
        <w:tc>
          <w:tcPr>
            <w:tcW w:w="1409" w:type="pct"/>
            <w:noWrap/>
          </w:tcPr>
          <w:p w14:paraId="3A8675D0" w14:textId="77777777" w:rsidR="001F27D2" w:rsidRPr="00C62A5F" w:rsidRDefault="001F27D2" w:rsidP="001F27D2">
            <w:pPr>
              <w:spacing w:before="0" w:after="0"/>
              <w:rPr>
                <w:rFonts w:asciiTheme="minorHAnsi" w:hAnsiTheme="minorHAnsi" w:cs="Calibri"/>
                <w:color w:val="000000"/>
                <w:sz w:val="22"/>
                <w:szCs w:val="22"/>
              </w:rPr>
            </w:pPr>
            <w:r w:rsidRPr="00C62A5F">
              <w:rPr>
                <w:rFonts w:asciiTheme="minorHAnsi" w:hAnsiTheme="minorHAnsi" w:cs="Calibri"/>
                <w:color w:val="000000"/>
                <w:sz w:val="22"/>
                <w:szCs w:val="22"/>
              </w:rPr>
              <w:t>Other</w:t>
            </w:r>
          </w:p>
        </w:tc>
        <w:tc>
          <w:tcPr>
            <w:tcW w:w="1706" w:type="pct"/>
            <w:noWrap/>
            <w:vAlign w:val="bottom"/>
          </w:tcPr>
          <w:p w14:paraId="536278B0" w14:textId="77777777" w:rsidR="001F27D2" w:rsidRPr="00C62A5F" w:rsidRDefault="001F27D2" w:rsidP="001F27D2">
            <w:pPr>
              <w:spacing w:before="0" w:after="0"/>
              <w:jc w:val="center"/>
              <w:rPr>
                <w:rFonts w:asciiTheme="minorHAnsi" w:hAnsiTheme="minorHAnsi"/>
                <w:bCs/>
                <w:color w:val="000000"/>
                <w:sz w:val="22"/>
                <w:szCs w:val="22"/>
                <w:u w:val="single"/>
              </w:rPr>
            </w:pPr>
            <w:r w:rsidRPr="00C62A5F">
              <w:rPr>
                <w:rFonts w:asciiTheme="minorHAnsi" w:hAnsiTheme="minorHAnsi"/>
                <w:color w:val="000000"/>
                <w:sz w:val="22"/>
                <w:szCs w:val="22"/>
              </w:rPr>
              <w:t>2.4</w:t>
            </w:r>
          </w:p>
        </w:tc>
        <w:tc>
          <w:tcPr>
            <w:tcW w:w="1886" w:type="pct"/>
            <w:noWrap/>
            <w:vAlign w:val="bottom"/>
          </w:tcPr>
          <w:p w14:paraId="03BCE6C3" w14:textId="77777777" w:rsidR="001F27D2" w:rsidRPr="00C62A5F" w:rsidRDefault="001F27D2" w:rsidP="001F27D2">
            <w:pPr>
              <w:spacing w:before="0" w:after="0"/>
              <w:jc w:val="center"/>
              <w:rPr>
                <w:rFonts w:asciiTheme="minorHAnsi" w:hAnsiTheme="minorHAnsi"/>
                <w:bCs/>
                <w:color w:val="000000"/>
                <w:sz w:val="22"/>
                <w:szCs w:val="22"/>
                <w:u w:val="single"/>
              </w:rPr>
            </w:pPr>
            <w:r w:rsidRPr="00C62A5F">
              <w:rPr>
                <w:rFonts w:asciiTheme="minorHAnsi" w:hAnsiTheme="minorHAnsi"/>
                <w:color w:val="000000"/>
                <w:sz w:val="22"/>
                <w:szCs w:val="22"/>
              </w:rPr>
              <w:t>4.4</w:t>
            </w:r>
          </w:p>
        </w:tc>
      </w:tr>
      <w:tr w:rsidR="001F27D2" w:rsidRPr="00C62A5F" w14:paraId="4B0CB839" w14:textId="77777777" w:rsidTr="00C62A5F">
        <w:tc>
          <w:tcPr>
            <w:tcW w:w="1409" w:type="pct"/>
            <w:noWrap/>
          </w:tcPr>
          <w:p w14:paraId="2F71FE82" w14:textId="77777777" w:rsidR="001F27D2" w:rsidRPr="00C62A5F" w:rsidRDefault="001F27D2" w:rsidP="001F27D2">
            <w:pPr>
              <w:spacing w:before="0" w:after="0"/>
              <w:rPr>
                <w:rFonts w:asciiTheme="minorHAnsi" w:hAnsiTheme="minorHAnsi" w:cs="Calibri"/>
                <w:b/>
                <w:color w:val="000000"/>
                <w:sz w:val="22"/>
                <w:szCs w:val="22"/>
              </w:rPr>
            </w:pPr>
            <w:r w:rsidRPr="00C62A5F">
              <w:rPr>
                <w:rFonts w:asciiTheme="minorHAnsi" w:hAnsiTheme="minorHAnsi" w:cs="Calibri"/>
                <w:b/>
                <w:color w:val="000000"/>
                <w:sz w:val="22"/>
                <w:szCs w:val="22"/>
              </w:rPr>
              <w:t>Total</w:t>
            </w:r>
          </w:p>
        </w:tc>
        <w:tc>
          <w:tcPr>
            <w:tcW w:w="1706" w:type="pct"/>
            <w:noWrap/>
            <w:vAlign w:val="bottom"/>
          </w:tcPr>
          <w:p w14:paraId="433D8543" w14:textId="77777777" w:rsidR="001F27D2" w:rsidRPr="00C62A5F" w:rsidRDefault="001F27D2" w:rsidP="001F27D2">
            <w:pPr>
              <w:spacing w:before="0" w:after="0"/>
              <w:jc w:val="center"/>
              <w:rPr>
                <w:rFonts w:asciiTheme="minorHAnsi" w:hAnsiTheme="minorHAnsi"/>
                <w:color w:val="000000"/>
                <w:sz w:val="22"/>
                <w:szCs w:val="22"/>
              </w:rPr>
            </w:pPr>
            <w:r w:rsidRPr="00C62A5F">
              <w:rPr>
                <w:rFonts w:asciiTheme="minorHAnsi" w:hAnsiTheme="minorHAnsi"/>
                <w:color w:val="000000"/>
                <w:sz w:val="22"/>
                <w:szCs w:val="22"/>
              </w:rPr>
              <w:t>100.0</w:t>
            </w:r>
          </w:p>
        </w:tc>
        <w:tc>
          <w:tcPr>
            <w:tcW w:w="1886" w:type="pct"/>
            <w:noWrap/>
            <w:vAlign w:val="bottom"/>
          </w:tcPr>
          <w:p w14:paraId="2A2E3DFC" w14:textId="77777777" w:rsidR="001F27D2" w:rsidRPr="00C62A5F" w:rsidRDefault="001F27D2" w:rsidP="001F27D2">
            <w:pPr>
              <w:spacing w:before="0" w:after="0"/>
              <w:jc w:val="center"/>
              <w:rPr>
                <w:rFonts w:asciiTheme="minorHAnsi" w:hAnsiTheme="minorHAnsi"/>
                <w:color w:val="000000"/>
                <w:sz w:val="22"/>
                <w:szCs w:val="22"/>
              </w:rPr>
            </w:pPr>
            <w:r w:rsidRPr="00C62A5F">
              <w:rPr>
                <w:rFonts w:asciiTheme="minorHAnsi" w:hAnsiTheme="minorHAnsi"/>
                <w:color w:val="000000"/>
                <w:sz w:val="22"/>
                <w:szCs w:val="22"/>
              </w:rPr>
              <w:t>100.0</w:t>
            </w:r>
          </w:p>
        </w:tc>
      </w:tr>
    </w:tbl>
    <w:p w14:paraId="42044E14" w14:textId="77777777" w:rsidR="001F27D2" w:rsidRPr="00C62A5F" w:rsidRDefault="001F27D2" w:rsidP="00C62A5F">
      <w:pPr>
        <w:pStyle w:val="Reporttext"/>
        <w:numPr>
          <w:ilvl w:val="0"/>
          <w:numId w:val="0"/>
        </w:numPr>
        <w:ind w:left="709"/>
        <w:rPr>
          <w:sz w:val="20"/>
        </w:rPr>
      </w:pPr>
      <w:r w:rsidRPr="00C62A5F">
        <w:rPr>
          <w:sz w:val="20"/>
        </w:rPr>
        <w:t>Source: DCLG 2014-based household projections and 2018 household survey</w:t>
      </w:r>
    </w:p>
    <w:p w14:paraId="3A343A45" w14:textId="77777777" w:rsidR="001F27D2" w:rsidRPr="002B2A7F" w:rsidRDefault="001F27D2" w:rsidP="001F27D2">
      <w:pPr>
        <w:rPr>
          <w:rFonts w:asciiTheme="minorHAnsi" w:hAnsiTheme="minorHAnsi"/>
          <w:highlight w:val="yellow"/>
        </w:rPr>
      </w:pPr>
    </w:p>
    <w:p w14:paraId="3DE2774E" w14:textId="2B7CB9FC" w:rsidR="00FC5F39" w:rsidRDefault="001F27D2" w:rsidP="001F27D2">
      <w:pPr>
        <w:pStyle w:val="Reporttext"/>
      </w:pPr>
      <w:r w:rsidRPr="00C62A5F">
        <w:t>Table 7.5 then summarises dwelling type/size mix by market and affordable housing based on annual target of 242 dwellings each year and a 70% market and 30% affordable tenure split. Table 7</w:t>
      </w:r>
      <w:r w:rsidR="00367D56">
        <w:t>.6</w:t>
      </w:r>
      <w:r w:rsidRPr="00C62A5F">
        <w:t xml:space="preserve"> shows </w:t>
      </w:r>
      <w:r w:rsidR="00FC5F39">
        <w:t xml:space="preserve">the assumptions made regarding affordable dwelling types by the size of property. This is based on the current profile of affordable dwelling stock – so for instance of all 1 bed affordable dwellings, 4.2% are houses, 72.6% are bungalows and 23.2% are flats. </w:t>
      </w:r>
    </w:p>
    <w:p w14:paraId="6AB519C8" w14:textId="5D4B7BA0" w:rsidR="001F27D2" w:rsidRDefault="001F27D2" w:rsidP="001F27D2">
      <w:pPr>
        <w:rPr>
          <w:rFonts w:asciiTheme="minorHAnsi" w:hAnsiTheme="minorHAnsi"/>
        </w:rPr>
      </w:pPr>
    </w:p>
    <w:p w14:paraId="33D28CEE" w14:textId="0BD56D65" w:rsidR="00C62A5F" w:rsidRDefault="00C62A5F">
      <w:pPr>
        <w:spacing w:before="0" w:after="0"/>
        <w:jc w:val="left"/>
        <w:rPr>
          <w:rFonts w:asciiTheme="minorHAnsi" w:hAnsiTheme="minorHAnsi"/>
        </w:rPr>
      </w:pPr>
      <w:r>
        <w:rPr>
          <w:rFonts w:asciiTheme="minorHAnsi" w:hAnsiTheme="minorHAnsi"/>
        </w:rPr>
        <w:br w:type="page"/>
      </w:r>
    </w:p>
    <w:tbl>
      <w:tblPr>
        <w:tblW w:w="4573" w:type="pct"/>
        <w:tblInd w:w="720"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808"/>
        <w:gridCol w:w="1759"/>
        <w:gridCol w:w="1777"/>
        <w:gridCol w:w="2052"/>
      </w:tblGrid>
      <w:tr w:rsidR="001F27D2" w:rsidRPr="00C62A5F" w14:paraId="5A30A3BC" w14:textId="77777777" w:rsidTr="00C62A5F">
        <w:trPr>
          <w:trHeight w:val="240"/>
        </w:trPr>
        <w:tc>
          <w:tcPr>
            <w:tcW w:w="5000" w:type="pct"/>
            <w:gridSpan w:val="4"/>
            <w:shd w:val="clear" w:color="auto" w:fill="009999"/>
            <w:vAlign w:val="bottom"/>
            <w:hideMark/>
          </w:tcPr>
          <w:p w14:paraId="43FCF430" w14:textId="36B07C84" w:rsidR="001F27D2" w:rsidRPr="00C62A5F" w:rsidRDefault="001F27D2" w:rsidP="00C62A5F">
            <w:pPr>
              <w:pStyle w:val="Tableheading1"/>
            </w:pPr>
            <w:bookmarkStart w:id="584" w:name="_Toc391751399"/>
            <w:bookmarkStart w:id="585" w:name="_Toc524935691"/>
            <w:bookmarkStart w:id="586" w:name="_Toc531122980"/>
            <w:bookmarkStart w:id="587" w:name="_Toc532812510"/>
            <w:r w:rsidRPr="00C62A5F">
              <w:lastRenderedPageBreak/>
              <w:t>Table 7.5</w:t>
            </w:r>
            <w:r w:rsidRPr="00C62A5F">
              <w:tab/>
              <w:t>Summary of dwelling mix</w:t>
            </w:r>
            <w:r w:rsidR="005C6A30">
              <w:t xml:space="preserve"> required</w:t>
            </w:r>
            <w:r w:rsidRPr="00C62A5F">
              <w:t xml:space="preserve"> by broad tenure group based on </w:t>
            </w:r>
            <w:bookmarkEnd w:id="584"/>
            <w:r w:rsidRPr="00C62A5F">
              <w:t>annual need</w:t>
            </w:r>
            <w:bookmarkEnd w:id="585"/>
            <w:bookmarkEnd w:id="586"/>
            <w:bookmarkEnd w:id="587"/>
          </w:p>
        </w:tc>
      </w:tr>
      <w:tr w:rsidR="001F27D2" w:rsidRPr="00C62A5F" w14:paraId="38E41E38" w14:textId="77777777" w:rsidTr="00C62A5F">
        <w:trPr>
          <w:trHeight w:val="240"/>
        </w:trPr>
        <w:tc>
          <w:tcPr>
            <w:tcW w:w="1632" w:type="pct"/>
            <w:shd w:val="clear" w:color="auto" w:fill="009999"/>
            <w:noWrap/>
            <w:hideMark/>
          </w:tcPr>
          <w:p w14:paraId="17065C62" w14:textId="77777777" w:rsidR="001F27D2" w:rsidRPr="00C62A5F" w:rsidRDefault="001F27D2" w:rsidP="00C62A5F">
            <w:pPr>
              <w:spacing w:before="0" w:after="0"/>
              <w:rPr>
                <w:rFonts w:cs="Calibri"/>
                <w:b/>
                <w:color w:val="FFFFFF" w:themeColor="background1"/>
                <w:sz w:val="22"/>
                <w:szCs w:val="22"/>
              </w:rPr>
            </w:pPr>
            <w:r w:rsidRPr="00C62A5F">
              <w:rPr>
                <w:rFonts w:cs="Calibri"/>
                <w:b/>
                <w:color w:val="FFFFFF" w:themeColor="background1"/>
                <w:sz w:val="22"/>
                <w:szCs w:val="22"/>
              </w:rPr>
              <w:t>Summary dwelling type/size</w:t>
            </w:r>
          </w:p>
        </w:tc>
        <w:tc>
          <w:tcPr>
            <w:tcW w:w="1061" w:type="pct"/>
            <w:shd w:val="clear" w:color="auto" w:fill="009999"/>
            <w:noWrap/>
            <w:hideMark/>
          </w:tcPr>
          <w:p w14:paraId="6A12E375" w14:textId="77777777" w:rsidR="001F27D2" w:rsidRPr="00C62A5F" w:rsidRDefault="001F27D2" w:rsidP="00C62A5F">
            <w:pPr>
              <w:spacing w:before="0" w:after="0"/>
              <w:jc w:val="center"/>
              <w:rPr>
                <w:rFonts w:cs="Calibri"/>
                <w:b/>
                <w:color w:val="FFFFFF" w:themeColor="background1"/>
                <w:sz w:val="22"/>
                <w:szCs w:val="22"/>
              </w:rPr>
            </w:pPr>
            <w:r w:rsidRPr="00C62A5F">
              <w:rPr>
                <w:rFonts w:cs="Calibri"/>
                <w:b/>
                <w:color w:val="FFFFFF" w:themeColor="background1"/>
                <w:sz w:val="22"/>
                <w:szCs w:val="22"/>
              </w:rPr>
              <w:t>Market</w:t>
            </w:r>
          </w:p>
        </w:tc>
        <w:tc>
          <w:tcPr>
            <w:tcW w:w="1072" w:type="pct"/>
            <w:shd w:val="clear" w:color="auto" w:fill="009999"/>
            <w:noWrap/>
            <w:hideMark/>
          </w:tcPr>
          <w:p w14:paraId="71ACE0C2" w14:textId="77777777" w:rsidR="001F27D2" w:rsidRPr="00C62A5F" w:rsidRDefault="001F27D2" w:rsidP="00C62A5F">
            <w:pPr>
              <w:spacing w:before="0" w:after="0"/>
              <w:jc w:val="center"/>
              <w:rPr>
                <w:rFonts w:cs="Calibri"/>
                <w:b/>
                <w:color w:val="FFFFFF" w:themeColor="background1"/>
                <w:sz w:val="22"/>
                <w:szCs w:val="22"/>
              </w:rPr>
            </w:pPr>
            <w:r w:rsidRPr="00C62A5F">
              <w:rPr>
                <w:rFonts w:cs="Calibri"/>
                <w:b/>
                <w:color w:val="FFFFFF" w:themeColor="background1"/>
                <w:sz w:val="22"/>
                <w:szCs w:val="22"/>
              </w:rPr>
              <w:t>Affordable</w:t>
            </w:r>
          </w:p>
        </w:tc>
        <w:tc>
          <w:tcPr>
            <w:tcW w:w="1235" w:type="pct"/>
            <w:shd w:val="clear" w:color="auto" w:fill="009999"/>
            <w:noWrap/>
            <w:hideMark/>
          </w:tcPr>
          <w:p w14:paraId="103769D7" w14:textId="77777777" w:rsidR="001F27D2" w:rsidRPr="00C62A5F" w:rsidRDefault="001F27D2" w:rsidP="00C62A5F">
            <w:pPr>
              <w:spacing w:before="0" w:after="0"/>
              <w:jc w:val="center"/>
              <w:rPr>
                <w:rFonts w:cs="Calibri"/>
                <w:b/>
                <w:color w:val="FFFFFF" w:themeColor="background1"/>
                <w:sz w:val="22"/>
                <w:szCs w:val="22"/>
              </w:rPr>
            </w:pPr>
            <w:r w:rsidRPr="00C62A5F">
              <w:rPr>
                <w:rFonts w:cs="Calibri"/>
                <w:b/>
                <w:color w:val="FFFFFF" w:themeColor="background1"/>
                <w:sz w:val="22"/>
                <w:szCs w:val="22"/>
              </w:rPr>
              <w:t>Total</w:t>
            </w:r>
          </w:p>
        </w:tc>
      </w:tr>
      <w:tr w:rsidR="001F27D2" w:rsidRPr="00C62A5F" w14:paraId="17A64BEC" w14:textId="77777777" w:rsidTr="00C62A5F">
        <w:trPr>
          <w:trHeight w:val="240"/>
        </w:trPr>
        <w:tc>
          <w:tcPr>
            <w:tcW w:w="1632" w:type="pct"/>
            <w:shd w:val="clear" w:color="auto" w:fill="auto"/>
            <w:noWrap/>
            <w:vAlign w:val="bottom"/>
            <w:hideMark/>
          </w:tcPr>
          <w:p w14:paraId="22681E44" w14:textId="77777777" w:rsidR="001F27D2" w:rsidRPr="00C62A5F" w:rsidRDefault="001F27D2" w:rsidP="00C62A5F">
            <w:pPr>
              <w:spacing w:before="0" w:after="0"/>
              <w:rPr>
                <w:rFonts w:cs="Calibri"/>
                <w:color w:val="000000"/>
                <w:sz w:val="22"/>
                <w:szCs w:val="22"/>
              </w:rPr>
            </w:pPr>
            <w:r w:rsidRPr="00C62A5F">
              <w:rPr>
                <w:rFonts w:cs="Calibri"/>
                <w:color w:val="000000"/>
                <w:sz w:val="22"/>
                <w:szCs w:val="22"/>
              </w:rPr>
              <w:t>% target&gt;&gt;</w:t>
            </w:r>
          </w:p>
        </w:tc>
        <w:tc>
          <w:tcPr>
            <w:tcW w:w="1061" w:type="pct"/>
            <w:shd w:val="clear" w:color="auto" w:fill="auto"/>
            <w:noWrap/>
            <w:vAlign w:val="bottom"/>
          </w:tcPr>
          <w:p w14:paraId="0F5DDAF7"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70%</w:t>
            </w:r>
          </w:p>
        </w:tc>
        <w:tc>
          <w:tcPr>
            <w:tcW w:w="1072" w:type="pct"/>
            <w:shd w:val="clear" w:color="auto" w:fill="auto"/>
            <w:noWrap/>
            <w:vAlign w:val="bottom"/>
          </w:tcPr>
          <w:p w14:paraId="1EA5FB6B"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30%</w:t>
            </w:r>
          </w:p>
        </w:tc>
        <w:tc>
          <w:tcPr>
            <w:tcW w:w="1235" w:type="pct"/>
            <w:shd w:val="clear" w:color="auto" w:fill="auto"/>
            <w:noWrap/>
            <w:vAlign w:val="bottom"/>
          </w:tcPr>
          <w:p w14:paraId="60AAE87F"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100%</w:t>
            </w:r>
          </w:p>
        </w:tc>
      </w:tr>
      <w:tr w:rsidR="001F27D2" w:rsidRPr="00C62A5F" w14:paraId="67E4CE11" w14:textId="77777777" w:rsidTr="00C62A5F">
        <w:trPr>
          <w:trHeight w:val="240"/>
        </w:trPr>
        <w:tc>
          <w:tcPr>
            <w:tcW w:w="1632" w:type="pct"/>
            <w:shd w:val="clear" w:color="auto" w:fill="auto"/>
            <w:noWrap/>
            <w:vAlign w:val="bottom"/>
            <w:hideMark/>
          </w:tcPr>
          <w:p w14:paraId="61BB52E8" w14:textId="77777777" w:rsidR="001F27D2" w:rsidRPr="00C62A5F" w:rsidRDefault="001F27D2" w:rsidP="00C62A5F">
            <w:pPr>
              <w:spacing w:before="0" w:after="0"/>
              <w:rPr>
                <w:rFonts w:cs="Calibri"/>
                <w:color w:val="000000"/>
                <w:sz w:val="22"/>
                <w:szCs w:val="22"/>
              </w:rPr>
            </w:pPr>
            <w:r w:rsidRPr="00C62A5F">
              <w:rPr>
                <w:rFonts w:cs="Calibri"/>
                <w:color w:val="000000"/>
                <w:sz w:val="22"/>
                <w:szCs w:val="22"/>
              </w:rPr>
              <w:t>1/2 Bed House</w:t>
            </w:r>
          </w:p>
        </w:tc>
        <w:tc>
          <w:tcPr>
            <w:tcW w:w="1061" w:type="pct"/>
            <w:shd w:val="clear" w:color="auto" w:fill="auto"/>
            <w:noWrap/>
            <w:vAlign w:val="bottom"/>
          </w:tcPr>
          <w:p w14:paraId="6A6874A2"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-6</w:t>
            </w:r>
          </w:p>
        </w:tc>
        <w:tc>
          <w:tcPr>
            <w:tcW w:w="1072" w:type="pct"/>
            <w:shd w:val="clear" w:color="auto" w:fill="auto"/>
            <w:noWrap/>
            <w:vAlign w:val="bottom"/>
          </w:tcPr>
          <w:p w14:paraId="444F4956"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16</w:t>
            </w:r>
          </w:p>
        </w:tc>
        <w:tc>
          <w:tcPr>
            <w:tcW w:w="1235" w:type="pct"/>
            <w:shd w:val="clear" w:color="auto" w:fill="auto"/>
            <w:noWrap/>
            <w:vAlign w:val="bottom"/>
          </w:tcPr>
          <w:p w14:paraId="30BD43F5"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10</w:t>
            </w:r>
          </w:p>
        </w:tc>
      </w:tr>
      <w:tr w:rsidR="001F27D2" w:rsidRPr="00C62A5F" w14:paraId="49EF503B" w14:textId="77777777" w:rsidTr="00C62A5F">
        <w:trPr>
          <w:trHeight w:val="240"/>
        </w:trPr>
        <w:tc>
          <w:tcPr>
            <w:tcW w:w="1632" w:type="pct"/>
            <w:shd w:val="clear" w:color="auto" w:fill="auto"/>
            <w:noWrap/>
            <w:vAlign w:val="bottom"/>
            <w:hideMark/>
          </w:tcPr>
          <w:p w14:paraId="4FC247A1" w14:textId="77777777" w:rsidR="001F27D2" w:rsidRPr="00C62A5F" w:rsidRDefault="001F27D2" w:rsidP="00C62A5F">
            <w:pPr>
              <w:spacing w:before="0" w:after="0"/>
              <w:rPr>
                <w:rFonts w:cs="Calibri"/>
                <w:color w:val="000000"/>
                <w:sz w:val="22"/>
                <w:szCs w:val="22"/>
              </w:rPr>
            </w:pPr>
            <w:r w:rsidRPr="00C62A5F">
              <w:rPr>
                <w:rFonts w:cs="Calibri"/>
                <w:color w:val="000000"/>
                <w:sz w:val="22"/>
                <w:szCs w:val="22"/>
              </w:rPr>
              <w:t>3 Bed House</w:t>
            </w:r>
          </w:p>
        </w:tc>
        <w:tc>
          <w:tcPr>
            <w:tcW w:w="1061" w:type="pct"/>
            <w:shd w:val="clear" w:color="auto" w:fill="auto"/>
            <w:noWrap/>
            <w:vAlign w:val="bottom"/>
          </w:tcPr>
          <w:p w14:paraId="6B42C314"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54</w:t>
            </w:r>
          </w:p>
        </w:tc>
        <w:tc>
          <w:tcPr>
            <w:tcW w:w="1072" w:type="pct"/>
            <w:shd w:val="clear" w:color="auto" w:fill="auto"/>
            <w:noWrap/>
            <w:vAlign w:val="bottom"/>
          </w:tcPr>
          <w:p w14:paraId="7B42BD10"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16</w:t>
            </w:r>
          </w:p>
        </w:tc>
        <w:tc>
          <w:tcPr>
            <w:tcW w:w="1235" w:type="pct"/>
            <w:shd w:val="clear" w:color="auto" w:fill="auto"/>
            <w:noWrap/>
            <w:vAlign w:val="bottom"/>
          </w:tcPr>
          <w:p w14:paraId="4A5C171B"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69</w:t>
            </w:r>
          </w:p>
        </w:tc>
      </w:tr>
      <w:tr w:rsidR="001F27D2" w:rsidRPr="00C62A5F" w14:paraId="5B857D1D" w14:textId="77777777" w:rsidTr="00C62A5F">
        <w:trPr>
          <w:trHeight w:val="240"/>
        </w:trPr>
        <w:tc>
          <w:tcPr>
            <w:tcW w:w="1632" w:type="pct"/>
            <w:shd w:val="clear" w:color="auto" w:fill="auto"/>
            <w:noWrap/>
            <w:vAlign w:val="bottom"/>
            <w:hideMark/>
          </w:tcPr>
          <w:p w14:paraId="7CE5D713" w14:textId="77777777" w:rsidR="001F27D2" w:rsidRPr="00C62A5F" w:rsidRDefault="001F27D2" w:rsidP="00C62A5F">
            <w:pPr>
              <w:spacing w:before="0" w:after="0"/>
              <w:rPr>
                <w:rFonts w:cs="Calibri"/>
                <w:color w:val="000000"/>
                <w:sz w:val="22"/>
                <w:szCs w:val="22"/>
              </w:rPr>
            </w:pPr>
            <w:r w:rsidRPr="00C62A5F">
              <w:rPr>
                <w:rFonts w:cs="Calibri"/>
                <w:color w:val="000000"/>
                <w:sz w:val="22"/>
                <w:szCs w:val="22"/>
              </w:rPr>
              <w:t>4 or more Bed House</w:t>
            </w:r>
          </w:p>
        </w:tc>
        <w:tc>
          <w:tcPr>
            <w:tcW w:w="1061" w:type="pct"/>
            <w:shd w:val="clear" w:color="auto" w:fill="auto"/>
            <w:noWrap/>
            <w:vAlign w:val="bottom"/>
          </w:tcPr>
          <w:p w14:paraId="1878E678"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0</w:t>
            </w:r>
          </w:p>
        </w:tc>
        <w:tc>
          <w:tcPr>
            <w:tcW w:w="1072" w:type="pct"/>
            <w:shd w:val="clear" w:color="auto" w:fill="auto"/>
            <w:noWrap/>
            <w:vAlign w:val="bottom"/>
          </w:tcPr>
          <w:p w14:paraId="712E5917"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4</w:t>
            </w:r>
          </w:p>
        </w:tc>
        <w:tc>
          <w:tcPr>
            <w:tcW w:w="1235" w:type="pct"/>
            <w:shd w:val="clear" w:color="auto" w:fill="auto"/>
            <w:noWrap/>
            <w:vAlign w:val="bottom"/>
          </w:tcPr>
          <w:p w14:paraId="1A1CBCD8"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4</w:t>
            </w:r>
          </w:p>
        </w:tc>
      </w:tr>
      <w:tr w:rsidR="001F27D2" w:rsidRPr="00C62A5F" w14:paraId="7B7A5F32" w14:textId="77777777" w:rsidTr="00C62A5F">
        <w:trPr>
          <w:trHeight w:val="240"/>
        </w:trPr>
        <w:tc>
          <w:tcPr>
            <w:tcW w:w="1632" w:type="pct"/>
            <w:shd w:val="clear" w:color="auto" w:fill="auto"/>
            <w:noWrap/>
            <w:vAlign w:val="bottom"/>
            <w:hideMark/>
          </w:tcPr>
          <w:p w14:paraId="2B1DA8CA" w14:textId="77777777" w:rsidR="001F27D2" w:rsidRPr="00C62A5F" w:rsidRDefault="001F27D2" w:rsidP="00C62A5F">
            <w:pPr>
              <w:spacing w:before="0" w:after="0"/>
              <w:rPr>
                <w:rFonts w:cs="Calibri"/>
                <w:color w:val="000000"/>
                <w:sz w:val="22"/>
                <w:szCs w:val="22"/>
              </w:rPr>
            </w:pPr>
            <w:r w:rsidRPr="00C62A5F">
              <w:rPr>
                <w:rFonts w:cs="Calibri"/>
                <w:color w:val="000000"/>
                <w:sz w:val="22"/>
                <w:szCs w:val="22"/>
              </w:rPr>
              <w:t>1 Bed Flat</w:t>
            </w:r>
          </w:p>
        </w:tc>
        <w:tc>
          <w:tcPr>
            <w:tcW w:w="1061" w:type="pct"/>
            <w:shd w:val="clear" w:color="auto" w:fill="auto"/>
            <w:noWrap/>
            <w:vAlign w:val="bottom"/>
          </w:tcPr>
          <w:p w14:paraId="2BE10C66"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26</w:t>
            </w:r>
          </w:p>
        </w:tc>
        <w:tc>
          <w:tcPr>
            <w:tcW w:w="1072" w:type="pct"/>
            <w:shd w:val="clear" w:color="auto" w:fill="auto"/>
            <w:noWrap/>
            <w:vAlign w:val="bottom"/>
          </w:tcPr>
          <w:p w14:paraId="73A575AD"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8</w:t>
            </w:r>
          </w:p>
        </w:tc>
        <w:tc>
          <w:tcPr>
            <w:tcW w:w="1235" w:type="pct"/>
            <w:shd w:val="clear" w:color="auto" w:fill="auto"/>
            <w:noWrap/>
            <w:vAlign w:val="bottom"/>
          </w:tcPr>
          <w:p w14:paraId="2DA058C6"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34</w:t>
            </w:r>
          </w:p>
        </w:tc>
      </w:tr>
      <w:tr w:rsidR="001F27D2" w:rsidRPr="00C62A5F" w14:paraId="46A30EF6" w14:textId="77777777" w:rsidTr="00C62A5F">
        <w:trPr>
          <w:trHeight w:val="240"/>
        </w:trPr>
        <w:tc>
          <w:tcPr>
            <w:tcW w:w="1632" w:type="pct"/>
            <w:shd w:val="clear" w:color="auto" w:fill="auto"/>
            <w:noWrap/>
            <w:vAlign w:val="bottom"/>
            <w:hideMark/>
          </w:tcPr>
          <w:p w14:paraId="20A2F501" w14:textId="77777777" w:rsidR="001F27D2" w:rsidRPr="00C62A5F" w:rsidRDefault="001F27D2" w:rsidP="00C62A5F">
            <w:pPr>
              <w:spacing w:before="0" w:after="0"/>
              <w:rPr>
                <w:rFonts w:cs="Calibri"/>
                <w:color w:val="000000"/>
                <w:sz w:val="22"/>
                <w:szCs w:val="22"/>
              </w:rPr>
            </w:pPr>
            <w:r w:rsidRPr="00C62A5F">
              <w:rPr>
                <w:rFonts w:cs="Calibri"/>
                <w:color w:val="000000"/>
                <w:sz w:val="22"/>
                <w:szCs w:val="22"/>
              </w:rPr>
              <w:t>2 Bed Flat</w:t>
            </w:r>
          </w:p>
        </w:tc>
        <w:tc>
          <w:tcPr>
            <w:tcW w:w="1061" w:type="pct"/>
            <w:shd w:val="clear" w:color="auto" w:fill="auto"/>
            <w:noWrap/>
            <w:vAlign w:val="bottom"/>
          </w:tcPr>
          <w:p w14:paraId="269DFA50"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0</w:t>
            </w:r>
          </w:p>
        </w:tc>
        <w:tc>
          <w:tcPr>
            <w:tcW w:w="1072" w:type="pct"/>
            <w:shd w:val="clear" w:color="auto" w:fill="auto"/>
            <w:noWrap/>
            <w:vAlign w:val="bottom"/>
          </w:tcPr>
          <w:p w14:paraId="15988577"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18</w:t>
            </w:r>
          </w:p>
        </w:tc>
        <w:tc>
          <w:tcPr>
            <w:tcW w:w="1235" w:type="pct"/>
            <w:shd w:val="clear" w:color="auto" w:fill="auto"/>
            <w:noWrap/>
            <w:vAlign w:val="bottom"/>
          </w:tcPr>
          <w:p w14:paraId="1744D4C4"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18</w:t>
            </w:r>
          </w:p>
        </w:tc>
      </w:tr>
      <w:tr w:rsidR="001F27D2" w:rsidRPr="00C62A5F" w14:paraId="5AABA482" w14:textId="77777777" w:rsidTr="00C62A5F">
        <w:trPr>
          <w:trHeight w:val="240"/>
        </w:trPr>
        <w:tc>
          <w:tcPr>
            <w:tcW w:w="1632" w:type="pct"/>
            <w:shd w:val="clear" w:color="auto" w:fill="auto"/>
            <w:noWrap/>
            <w:vAlign w:val="bottom"/>
            <w:hideMark/>
          </w:tcPr>
          <w:p w14:paraId="7881D033" w14:textId="77777777" w:rsidR="001F27D2" w:rsidRPr="00C62A5F" w:rsidRDefault="001F27D2" w:rsidP="00C62A5F">
            <w:pPr>
              <w:spacing w:before="0" w:after="0"/>
              <w:rPr>
                <w:rFonts w:cs="Calibri"/>
                <w:color w:val="000000"/>
                <w:sz w:val="22"/>
                <w:szCs w:val="22"/>
              </w:rPr>
            </w:pPr>
            <w:r w:rsidRPr="00C62A5F">
              <w:rPr>
                <w:rFonts w:cs="Calibri"/>
                <w:color w:val="000000"/>
                <w:sz w:val="22"/>
                <w:szCs w:val="22"/>
              </w:rPr>
              <w:t>3+ Bed Flat</w:t>
            </w:r>
          </w:p>
        </w:tc>
        <w:tc>
          <w:tcPr>
            <w:tcW w:w="1061" w:type="pct"/>
            <w:shd w:val="clear" w:color="auto" w:fill="auto"/>
            <w:noWrap/>
            <w:vAlign w:val="bottom"/>
          </w:tcPr>
          <w:p w14:paraId="271D36C1"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4</w:t>
            </w:r>
          </w:p>
        </w:tc>
        <w:tc>
          <w:tcPr>
            <w:tcW w:w="1072" w:type="pct"/>
            <w:shd w:val="clear" w:color="auto" w:fill="auto"/>
            <w:noWrap/>
            <w:vAlign w:val="bottom"/>
          </w:tcPr>
          <w:p w14:paraId="26CA5844"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0</w:t>
            </w:r>
          </w:p>
        </w:tc>
        <w:tc>
          <w:tcPr>
            <w:tcW w:w="1235" w:type="pct"/>
            <w:shd w:val="clear" w:color="auto" w:fill="auto"/>
            <w:noWrap/>
            <w:vAlign w:val="bottom"/>
          </w:tcPr>
          <w:p w14:paraId="3BA8ED7D"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4</w:t>
            </w:r>
          </w:p>
        </w:tc>
      </w:tr>
      <w:tr w:rsidR="001F27D2" w:rsidRPr="00C62A5F" w14:paraId="4DD54C6B" w14:textId="77777777" w:rsidTr="00C62A5F">
        <w:trPr>
          <w:trHeight w:val="240"/>
        </w:trPr>
        <w:tc>
          <w:tcPr>
            <w:tcW w:w="1632" w:type="pct"/>
            <w:shd w:val="clear" w:color="auto" w:fill="auto"/>
            <w:noWrap/>
            <w:vAlign w:val="bottom"/>
          </w:tcPr>
          <w:p w14:paraId="05D2EFBD" w14:textId="77777777" w:rsidR="001F27D2" w:rsidRPr="00C62A5F" w:rsidRDefault="001F27D2" w:rsidP="00C62A5F">
            <w:pPr>
              <w:spacing w:before="0" w:after="0"/>
              <w:rPr>
                <w:rFonts w:cs="Calibri"/>
                <w:color w:val="000000"/>
                <w:sz w:val="22"/>
                <w:szCs w:val="22"/>
              </w:rPr>
            </w:pPr>
            <w:r w:rsidRPr="00C62A5F">
              <w:rPr>
                <w:rFonts w:cs="Calibri"/>
                <w:color w:val="000000"/>
                <w:sz w:val="22"/>
                <w:szCs w:val="22"/>
              </w:rPr>
              <w:t>1 Bed Bungalow</w:t>
            </w:r>
          </w:p>
        </w:tc>
        <w:tc>
          <w:tcPr>
            <w:tcW w:w="1061" w:type="pct"/>
            <w:shd w:val="clear" w:color="auto" w:fill="auto"/>
            <w:noWrap/>
            <w:vAlign w:val="bottom"/>
          </w:tcPr>
          <w:p w14:paraId="0843D757"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50</w:t>
            </w:r>
          </w:p>
        </w:tc>
        <w:tc>
          <w:tcPr>
            <w:tcW w:w="1072" w:type="pct"/>
            <w:shd w:val="clear" w:color="auto" w:fill="auto"/>
            <w:noWrap/>
            <w:vAlign w:val="bottom"/>
          </w:tcPr>
          <w:p w14:paraId="2DA8E87E"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2</w:t>
            </w:r>
          </w:p>
        </w:tc>
        <w:tc>
          <w:tcPr>
            <w:tcW w:w="1235" w:type="pct"/>
            <w:shd w:val="clear" w:color="auto" w:fill="auto"/>
            <w:noWrap/>
            <w:vAlign w:val="bottom"/>
          </w:tcPr>
          <w:p w14:paraId="43EBF2FA"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53</w:t>
            </w:r>
          </w:p>
        </w:tc>
      </w:tr>
      <w:tr w:rsidR="001F27D2" w:rsidRPr="00C62A5F" w14:paraId="5161504A" w14:textId="77777777" w:rsidTr="00C62A5F">
        <w:trPr>
          <w:trHeight w:val="240"/>
        </w:trPr>
        <w:tc>
          <w:tcPr>
            <w:tcW w:w="1632" w:type="pct"/>
            <w:shd w:val="clear" w:color="auto" w:fill="auto"/>
            <w:noWrap/>
            <w:vAlign w:val="bottom"/>
          </w:tcPr>
          <w:p w14:paraId="0AE1786B" w14:textId="77777777" w:rsidR="001F27D2" w:rsidRPr="00C62A5F" w:rsidRDefault="001F27D2" w:rsidP="00C62A5F">
            <w:pPr>
              <w:spacing w:before="0" w:after="0"/>
              <w:rPr>
                <w:rFonts w:cs="Calibri"/>
                <w:color w:val="000000"/>
                <w:sz w:val="22"/>
                <w:szCs w:val="22"/>
              </w:rPr>
            </w:pPr>
            <w:r w:rsidRPr="00C62A5F">
              <w:rPr>
                <w:rFonts w:cs="Calibri"/>
                <w:color w:val="000000"/>
                <w:sz w:val="22"/>
                <w:szCs w:val="22"/>
              </w:rPr>
              <w:t>2 Bed Bungalow</w:t>
            </w:r>
          </w:p>
        </w:tc>
        <w:tc>
          <w:tcPr>
            <w:tcW w:w="1061" w:type="pct"/>
            <w:shd w:val="clear" w:color="auto" w:fill="auto"/>
            <w:noWrap/>
            <w:vAlign w:val="bottom"/>
          </w:tcPr>
          <w:p w14:paraId="06D568A8"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6</w:t>
            </w:r>
          </w:p>
        </w:tc>
        <w:tc>
          <w:tcPr>
            <w:tcW w:w="1072" w:type="pct"/>
            <w:shd w:val="clear" w:color="auto" w:fill="auto"/>
            <w:noWrap/>
            <w:vAlign w:val="bottom"/>
          </w:tcPr>
          <w:p w14:paraId="441CA8F5"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10</w:t>
            </w:r>
          </w:p>
        </w:tc>
        <w:tc>
          <w:tcPr>
            <w:tcW w:w="1235" w:type="pct"/>
            <w:shd w:val="clear" w:color="auto" w:fill="auto"/>
            <w:noWrap/>
            <w:vAlign w:val="bottom"/>
          </w:tcPr>
          <w:p w14:paraId="1A8A9420"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16</w:t>
            </w:r>
          </w:p>
        </w:tc>
      </w:tr>
      <w:tr w:rsidR="001F27D2" w:rsidRPr="00C62A5F" w14:paraId="1DA82B9C" w14:textId="77777777" w:rsidTr="00C62A5F">
        <w:trPr>
          <w:trHeight w:val="240"/>
        </w:trPr>
        <w:tc>
          <w:tcPr>
            <w:tcW w:w="1632" w:type="pct"/>
            <w:shd w:val="clear" w:color="auto" w:fill="auto"/>
            <w:noWrap/>
            <w:vAlign w:val="bottom"/>
          </w:tcPr>
          <w:p w14:paraId="1D51F75C" w14:textId="77777777" w:rsidR="001F27D2" w:rsidRPr="00C62A5F" w:rsidRDefault="001F27D2" w:rsidP="00C62A5F">
            <w:pPr>
              <w:spacing w:before="0" w:after="0"/>
              <w:rPr>
                <w:rFonts w:cs="Calibri"/>
                <w:color w:val="000000"/>
                <w:sz w:val="22"/>
                <w:szCs w:val="22"/>
              </w:rPr>
            </w:pPr>
            <w:r w:rsidRPr="00C62A5F">
              <w:rPr>
                <w:rFonts w:cs="Calibri"/>
                <w:color w:val="000000"/>
                <w:sz w:val="22"/>
                <w:szCs w:val="22"/>
              </w:rPr>
              <w:t>3+ Bed Bungalow</w:t>
            </w:r>
          </w:p>
        </w:tc>
        <w:tc>
          <w:tcPr>
            <w:tcW w:w="1061" w:type="pct"/>
            <w:shd w:val="clear" w:color="auto" w:fill="auto"/>
            <w:noWrap/>
            <w:vAlign w:val="bottom"/>
          </w:tcPr>
          <w:p w14:paraId="6C8B3B0B"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29</w:t>
            </w:r>
          </w:p>
        </w:tc>
        <w:tc>
          <w:tcPr>
            <w:tcW w:w="1072" w:type="pct"/>
            <w:shd w:val="clear" w:color="auto" w:fill="auto"/>
            <w:noWrap/>
            <w:vAlign w:val="bottom"/>
          </w:tcPr>
          <w:p w14:paraId="3464FECC"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0</w:t>
            </w:r>
          </w:p>
        </w:tc>
        <w:tc>
          <w:tcPr>
            <w:tcW w:w="1235" w:type="pct"/>
            <w:shd w:val="clear" w:color="auto" w:fill="auto"/>
            <w:noWrap/>
            <w:vAlign w:val="bottom"/>
          </w:tcPr>
          <w:p w14:paraId="218F9DDF"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29</w:t>
            </w:r>
          </w:p>
        </w:tc>
      </w:tr>
      <w:tr w:rsidR="001F27D2" w:rsidRPr="00C62A5F" w14:paraId="70F6AF94" w14:textId="77777777" w:rsidTr="00C62A5F">
        <w:trPr>
          <w:trHeight w:val="240"/>
        </w:trPr>
        <w:tc>
          <w:tcPr>
            <w:tcW w:w="1632" w:type="pct"/>
            <w:shd w:val="clear" w:color="auto" w:fill="auto"/>
            <w:noWrap/>
            <w:vAlign w:val="bottom"/>
            <w:hideMark/>
          </w:tcPr>
          <w:p w14:paraId="579DD0F8" w14:textId="77777777" w:rsidR="001F27D2" w:rsidRPr="00C62A5F" w:rsidRDefault="001F27D2" w:rsidP="00C62A5F">
            <w:pPr>
              <w:spacing w:before="0" w:after="0"/>
              <w:rPr>
                <w:rFonts w:cs="Calibri"/>
                <w:b/>
                <w:color w:val="000000"/>
                <w:sz w:val="22"/>
                <w:szCs w:val="22"/>
              </w:rPr>
            </w:pPr>
            <w:r w:rsidRPr="00C62A5F">
              <w:rPr>
                <w:rFonts w:cs="Calibri"/>
                <w:color w:val="000000"/>
                <w:sz w:val="22"/>
                <w:szCs w:val="22"/>
              </w:rPr>
              <w:t>1 Bed Other</w:t>
            </w:r>
          </w:p>
        </w:tc>
        <w:tc>
          <w:tcPr>
            <w:tcW w:w="1061" w:type="pct"/>
            <w:shd w:val="clear" w:color="auto" w:fill="auto"/>
            <w:noWrap/>
            <w:vAlign w:val="bottom"/>
          </w:tcPr>
          <w:p w14:paraId="5C669701"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1</w:t>
            </w:r>
          </w:p>
        </w:tc>
        <w:tc>
          <w:tcPr>
            <w:tcW w:w="1072" w:type="pct"/>
            <w:shd w:val="clear" w:color="auto" w:fill="auto"/>
            <w:noWrap/>
            <w:vAlign w:val="bottom"/>
          </w:tcPr>
          <w:p w14:paraId="66BBE431"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0</w:t>
            </w:r>
          </w:p>
        </w:tc>
        <w:tc>
          <w:tcPr>
            <w:tcW w:w="1235" w:type="pct"/>
            <w:shd w:val="clear" w:color="auto" w:fill="auto"/>
            <w:noWrap/>
            <w:vAlign w:val="bottom"/>
          </w:tcPr>
          <w:p w14:paraId="512E1C0B"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1</w:t>
            </w:r>
          </w:p>
        </w:tc>
      </w:tr>
      <w:tr w:rsidR="001F27D2" w:rsidRPr="00C62A5F" w14:paraId="5D574371" w14:textId="77777777" w:rsidTr="00C62A5F">
        <w:trPr>
          <w:trHeight w:val="240"/>
        </w:trPr>
        <w:tc>
          <w:tcPr>
            <w:tcW w:w="1632" w:type="pct"/>
            <w:shd w:val="clear" w:color="auto" w:fill="auto"/>
            <w:noWrap/>
            <w:vAlign w:val="bottom"/>
          </w:tcPr>
          <w:p w14:paraId="42BABBF3" w14:textId="77777777" w:rsidR="001F27D2" w:rsidRPr="00C62A5F" w:rsidRDefault="001F27D2" w:rsidP="00C62A5F">
            <w:pPr>
              <w:spacing w:before="0" w:after="0"/>
              <w:rPr>
                <w:rFonts w:cs="Calibri"/>
                <w:color w:val="000000"/>
                <w:sz w:val="22"/>
                <w:szCs w:val="22"/>
              </w:rPr>
            </w:pPr>
            <w:r w:rsidRPr="00C62A5F">
              <w:rPr>
                <w:rFonts w:cs="Calibri"/>
                <w:color w:val="000000"/>
                <w:sz w:val="22"/>
                <w:szCs w:val="22"/>
              </w:rPr>
              <w:t>2 Bed Other</w:t>
            </w:r>
          </w:p>
        </w:tc>
        <w:tc>
          <w:tcPr>
            <w:tcW w:w="1061" w:type="pct"/>
            <w:shd w:val="clear" w:color="auto" w:fill="auto"/>
            <w:noWrap/>
            <w:vAlign w:val="bottom"/>
          </w:tcPr>
          <w:p w14:paraId="10C9246F"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4</w:t>
            </w:r>
          </w:p>
        </w:tc>
        <w:tc>
          <w:tcPr>
            <w:tcW w:w="1072" w:type="pct"/>
            <w:shd w:val="clear" w:color="auto" w:fill="auto"/>
            <w:noWrap/>
            <w:vAlign w:val="bottom"/>
          </w:tcPr>
          <w:p w14:paraId="0F8770EC"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0</w:t>
            </w:r>
          </w:p>
        </w:tc>
        <w:tc>
          <w:tcPr>
            <w:tcW w:w="1235" w:type="pct"/>
            <w:shd w:val="clear" w:color="auto" w:fill="auto"/>
            <w:noWrap/>
            <w:vAlign w:val="bottom"/>
          </w:tcPr>
          <w:p w14:paraId="5A03C2DB"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4</w:t>
            </w:r>
          </w:p>
        </w:tc>
      </w:tr>
      <w:tr w:rsidR="001F27D2" w:rsidRPr="00C62A5F" w14:paraId="5C901DB2" w14:textId="77777777" w:rsidTr="00C62A5F">
        <w:trPr>
          <w:trHeight w:val="240"/>
        </w:trPr>
        <w:tc>
          <w:tcPr>
            <w:tcW w:w="1632" w:type="pct"/>
            <w:shd w:val="clear" w:color="auto" w:fill="auto"/>
            <w:noWrap/>
            <w:vAlign w:val="bottom"/>
          </w:tcPr>
          <w:p w14:paraId="77C337DD" w14:textId="77777777" w:rsidR="001F27D2" w:rsidRPr="00C62A5F" w:rsidRDefault="001F27D2" w:rsidP="00C62A5F">
            <w:pPr>
              <w:spacing w:before="0" w:after="0"/>
              <w:rPr>
                <w:rFonts w:cs="Calibri"/>
                <w:color w:val="000000"/>
                <w:sz w:val="22"/>
                <w:szCs w:val="22"/>
              </w:rPr>
            </w:pPr>
            <w:r w:rsidRPr="00C62A5F">
              <w:rPr>
                <w:rFonts w:cs="Calibri"/>
                <w:color w:val="000000"/>
                <w:sz w:val="22"/>
                <w:szCs w:val="22"/>
              </w:rPr>
              <w:t>3+ Bed Other</w:t>
            </w:r>
          </w:p>
        </w:tc>
        <w:tc>
          <w:tcPr>
            <w:tcW w:w="1061" w:type="pct"/>
            <w:shd w:val="clear" w:color="auto" w:fill="auto"/>
            <w:noWrap/>
            <w:vAlign w:val="bottom"/>
          </w:tcPr>
          <w:p w14:paraId="1743161E"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0</w:t>
            </w:r>
          </w:p>
        </w:tc>
        <w:tc>
          <w:tcPr>
            <w:tcW w:w="1072" w:type="pct"/>
            <w:shd w:val="clear" w:color="auto" w:fill="auto"/>
            <w:noWrap/>
            <w:vAlign w:val="bottom"/>
          </w:tcPr>
          <w:p w14:paraId="03B4480E"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0</w:t>
            </w:r>
          </w:p>
        </w:tc>
        <w:tc>
          <w:tcPr>
            <w:tcW w:w="1235" w:type="pct"/>
            <w:shd w:val="clear" w:color="auto" w:fill="auto"/>
            <w:noWrap/>
            <w:vAlign w:val="bottom"/>
          </w:tcPr>
          <w:p w14:paraId="363CFBAE"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0</w:t>
            </w:r>
          </w:p>
        </w:tc>
      </w:tr>
      <w:tr w:rsidR="001F27D2" w:rsidRPr="00C62A5F" w14:paraId="79FF38FA" w14:textId="77777777" w:rsidTr="00C62A5F">
        <w:trPr>
          <w:trHeight w:val="240"/>
        </w:trPr>
        <w:tc>
          <w:tcPr>
            <w:tcW w:w="1632" w:type="pct"/>
            <w:shd w:val="clear" w:color="auto" w:fill="auto"/>
            <w:noWrap/>
            <w:vAlign w:val="bottom"/>
          </w:tcPr>
          <w:p w14:paraId="1FD02D8D" w14:textId="77777777" w:rsidR="001F27D2" w:rsidRPr="00C62A5F" w:rsidRDefault="001F27D2" w:rsidP="00C62A5F">
            <w:pPr>
              <w:spacing w:before="0" w:after="0"/>
              <w:rPr>
                <w:rFonts w:cs="Calibri"/>
                <w:color w:val="000000"/>
                <w:sz w:val="22"/>
                <w:szCs w:val="22"/>
              </w:rPr>
            </w:pPr>
            <w:r w:rsidRPr="00C62A5F">
              <w:rPr>
                <w:rFonts w:cs="Calibri"/>
                <w:color w:val="000000"/>
                <w:sz w:val="22"/>
                <w:szCs w:val="22"/>
              </w:rPr>
              <w:t>Total</w:t>
            </w:r>
          </w:p>
        </w:tc>
        <w:tc>
          <w:tcPr>
            <w:tcW w:w="1061" w:type="pct"/>
            <w:shd w:val="clear" w:color="auto" w:fill="auto"/>
            <w:noWrap/>
            <w:vAlign w:val="bottom"/>
          </w:tcPr>
          <w:p w14:paraId="107045AE"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169</w:t>
            </w:r>
          </w:p>
        </w:tc>
        <w:tc>
          <w:tcPr>
            <w:tcW w:w="1072" w:type="pct"/>
            <w:shd w:val="clear" w:color="auto" w:fill="auto"/>
            <w:noWrap/>
            <w:vAlign w:val="bottom"/>
          </w:tcPr>
          <w:p w14:paraId="3E2DD451"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73</w:t>
            </w:r>
          </w:p>
        </w:tc>
        <w:tc>
          <w:tcPr>
            <w:tcW w:w="1235" w:type="pct"/>
            <w:shd w:val="clear" w:color="auto" w:fill="auto"/>
            <w:noWrap/>
            <w:vAlign w:val="bottom"/>
          </w:tcPr>
          <w:p w14:paraId="7F36F26D"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242</w:t>
            </w:r>
          </w:p>
        </w:tc>
      </w:tr>
    </w:tbl>
    <w:p w14:paraId="4F39D8EA" w14:textId="77777777" w:rsidR="001F27D2" w:rsidRPr="002B2A7F" w:rsidRDefault="001F27D2" w:rsidP="001F27D2">
      <w:pPr>
        <w:rPr>
          <w:rFonts w:asciiTheme="minorHAnsi" w:hAnsiTheme="minorHAnsi"/>
        </w:rPr>
      </w:pPr>
    </w:p>
    <w:tbl>
      <w:tblPr>
        <w:tblW w:w="8602" w:type="dxa"/>
        <w:tblInd w:w="720"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2806"/>
        <w:gridCol w:w="1843"/>
        <w:gridCol w:w="1843"/>
        <w:gridCol w:w="2110"/>
      </w:tblGrid>
      <w:tr w:rsidR="001F27D2" w:rsidRPr="00C62A5F" w14:paraId="27DB0006" w14:textId="77777777" w:rsidTr="00C62A5F">
        <w:trPr>
          <w:trHeight w:val="300"/>
        </w:trPr>
        <w:tc>
          <w:tcPr>
            <w:tcW w:w="8602" w:type="dxa"/>
            <w:gridSpan w:val="4"/>
            <w:shd w:val="clear" w:color="auto" w:fill="009999"/>
            <w:noWrap/>
            <w:vAlign w:val="center"/>
          </w:tcPr>
          <w:p w14:paraId="794359DA" w14:textId="702764F4" w:rsidR="001F27D2" w:rsidRPr="00C62A5F" w:rsidRDefault="001F27D2" w:rsidP="00C62A5F">
            <w:pPr>
              <w:pStyle w:val="Tableheading1"/>
            </w:pPr>
            <w:bookmarkStart w:id="588" w:name="_Toc524935692"/>
            <w:bookmarkStart w:id="589" w:name="_Toc531122981"/>
            <w:bookmarkStart w:id="590" w:name="_Toc532812511"/>
            <w:r w:rsidRPr="00C62A5F">
              <w:t xml:space="preserve">Table </w:t>
            </w:r>
            <w:r w:rsidR="00367D56">
              <w:t>7.6</w:t>
            </w:r>
            <w:r w:rsidRPr="00C62A5F">
              <w:tab/>
              <w:t>Assumptions regarding the profile of affordable dwellings by no. bedrooms and dwelling type</w:t>
            </w:r>
            <w:bookmarkEnd w:id="588"/>
            <w:bookmarkEnd w:id="589"/>
            <w:bookmarkEnd w:id="590"/>
          </w:p>
        </w:tc>
      </w:tr>
      <w:tr w:rsidR="001F27D2" w:rsidRPr="00C62A5F" w14:paraId="1DE5305D" w14:textId="77777777" w:rsidTr="00C62A5F">
        <w:trPr>
          <w:trHeight w:val="300"/>
        </w:trPr>
        <w:tc>
          <w:tcPr>
            <w:tcW w:w="2806" w:type="dxa"/>
            <w:shd w:val="clear" w:color="auto" w:fill="009999"/>
            <w:noWrap/>
            <w:vAlign w:val="center"/>
            <w:hideMark/>
          </w:tcPr>
          <w:p w14:paraId="179CBB87" w14:textId="77777777" w:rsidR="001F27D2" w:rsidRPr="00C62A5F" w:rsidRDefault="001F27D2" w:rsidP="00C62A5F">
            <w:pPr>
              <w:spacing w:before="0" w:after="0"/>
              <w:jc w:val="center"/>
              <w:rPr>
                <w:rFonts w:cs="Calibri"/>
                <w:b/>
                <w:color w:val="FFFFFF" w:themeColor="background1"/>
                <w:sz w:val="22"/>
                <w:szCs w:val="22"/>
              </w:rPr>
            </w:pPr>
            <w:r w:rsidRPr="00C62A5F">
              <w:rPr>
                <w:rFonts w:cs="Calibri"/>
                <w:b/>
                <w:color w:val="FFFFFF" w:themeColor="background1"/>
                <w:sz w:val="22"/>
                <w:szCs w:val="22"/>
              </w:rPr>
              <w:t>No. bedrooms required</w:t>
            </w:r>
          </w:p>
        </w:tc>
        <w:tc>
          <w:tcPr>
            <w:tcW w:w="5796" w:type="dxa"/>
            <w:gridSpan w:val="3"/>
            <w:shd w:val="clear" w:color="auto" w:fill="009999"/>
            <w:noWrap/>
            <w:vAlign w:val="center"/>
            <w:hideMark/>
          </w:tcPr>
          <w:p w14:paraId="72D2D93F" w14:textId="77777777" w:rsidR="001F27D2" w:rsidRPr="00C62A5F" w:rsidRDefault="001F27D2" w:rsidP="00C62A5F">
            <w:pPr>
              <w:spacing w:before="0" w:after="0"/>
              <w:jc w:val="center"/>
              <w:rPr>
                <w:rFonts w:cs="Calibri"/>
                <w:b/>
                <w:color w:val="FFFFFF" w:themeColor="background1"/>
                <w:sz w:val="22"/>
                <w:szCs w:val="22"/>
              </w:rPr>
            </w:pPr>
            <w:r w:rsidRPr="00C62A5F">
              <w:rPr>
                <w:rFonts w:cs="Calibri"/>
                <w:b/>
                <w:color w:val="FFFFFF" w:themeColor="background1"/>
                <w:sz w:val="22"/>
                <w:szCs w:val="22"/>
              </w:rPr>
              <w:t>Dwelling type</w:t>
            </w:r>
          </w:p>
        </w:tc>
      </w:tr>
      <w:tr w:rsidR="001F27D2" w:rsidRPr="00C62A5F" w14:paraId="6781C8CC" w14:textId="77777777" w:rsidTr="00C62A5F">
        <w:trPr>
          <w:trHeight w:val="300"/>
        </w:trPr>
        <w:tc>
          <w:tcPr>
            <w:tcW w:w="2806" w:type="dxa"/>
            <w:shd w:val="clear" w:color="auto" w:fill="FFFFFF" w:themeFill="background1"/>
            <w:noWrap/>
            <w:vAlign w:val="center"/>
            <w:hideMark/>
          </w:tcPr>
          <w:p w14:paraId="7C7D179A" w14:textId="77777777" w:rsidR="001F27D2" w:rsidRPr="00C62A5F" w:rsidRDefault="001F27D2" w:rsidP="00C62A5F">
            <w:pPr>
              <w:spacing w:before="0" w:after="0"/>
              <w:jc w:val="center"/>
              <w:rPr>
                <w:rFonts w:cs="Calibri"/>
                <w:b/>
                <w:color w:val="000000" w:themeColor="text1"/>
                <w:sz w:val="22"/>
                <w:szCs w:val="22"/>
              </w:rPr>
            </w:pPr>
          </w:p>
        </w:tc>
        <w:tc>
          <w:tcPr>
            <w:tcW w:w="1843" w:type="dxa"/>
            <w:shd w:val="clear" w:color="auto" w:fill="FFFFFF" w:themeFill="background1"/>
            <w:noWrap/>
            <w:vAlign w:val="center"/>
            <w:hideMark/>
          </w:tcPr>
          <w:p w14:paraId="65FF7B82" w14:textId="77777777" w:rsidR="001F27D2" w:rsidRPr="00C62A5F" w:rsidRDefault="001F27D2" w:rsidP="00C62A5F">
            <w:pPr>
              <w:spacing w:before="0" w:after="0"/>
              <w:jc w:val="center"/>
              <w:rPr>
                <w:rFonts w:cs="Calibri"/>
                <w:b/>
                <w:color w:val="000000" w:themeColor="text1"/>
                <w:sz w:val="22"/>
                <w:szCs w:val="22"/>
              </w:rPr>
            </w:pPr>
            <w:r w:rsidRPr="00C62A5F">
              <w:rPr>
                <w:rFonts w:cs="Calibri"/>
                <w:b/>
                <w:color w:val="000000" w:themeColor="text1"/>
                <w:sz w:val="22"/>
                <w:szCs w:val="22"/>
              </w:rPr>
              <w:t>House</w:t>
            </w:r>
          </w:p>
        </w:tc>
        <w:tc>
          <w:tcPr>
            <w:tcW w:w="1843" w:type="dxa"/>
            <w:shd w:val="clear" w:color="auto" w:fill="FFFFFF" w:themeFill="background1"/>
            <w:noWrap/>
            <w:vAlign w:val="center"/>
            <w:hideMark/>
          </w:tcPr>
          <w:p w14:paraId="15322124" w14:textId="77777777" w:rsidR="001F27D2" w:rsidRPr="00C62A5F" w:rsidRDefault="001F27D2" w:rsidP="00C62A5F">
            <w:pPr>
              <w:spacing w:before="0" w:after="0"/>
              <w:jc w:val="center"/>
              <w:rPr>
                <w:rFonts w:cs="Calibri"/>
                <w:b/>
                <w:color w:val="000000" w:themeColor="text1"/>
                <w:sz w:val="22"/>
                <w:szCs w:val="22"/>
              </w:rPr>
            </w:pPr>
            <w:r w:rsidRPr="00C62A5F">
              <w:rPr>
                <w:rFonts w:cs="Calibri"/>
                <w:b/>
                <w:color w:val="000000" w:themeColor="text1"/>
                <w:sz w:val="22"/>
                <w:szCs w:val="22"/>
              </w:rPr>
              <w:t>Bungalow</w:t>
            </w:r>
          </w:p>
        </w:tc>
        <w:tc>
          <w:tcPr>
            <w:tcW w:w="2110" w:type="dxa"/>
            <w:shd w:val="clear" w:color="auto" w:fill="FFFFFF" w:themeFill="background1"/>
            <w:noWrap/>
            <w:vAlign w:val="center"/>
            <w:hideMark/>
          </w:tcPr>
          <w:p w14:paraId="3F2E1FAB" w14:textId="77777777" w:rsidR="001F27D2" w:rsidRPr="00C62A5F" w:rsidRDefault="001F27D2" w:rsidP="00C62A5F">
            <w:pPr>
              <w:spacing w:before="0" w:after="0"/>
              <w:jc w:val="center"/>
              <w:rPr>
                <w:rFonts w:cs="Calibri"/>
                <w:b/>
                <w:color w:val="000000" w:themeColor="text1"/>
                <w:sz w:val="22"/>
                <w:szCs w:val="22"/>
              </w:rPr>
            </w:pPr>
            <w:r w:rsidRPr="00C62A5F">
              <w:rPr>
                <w:rFonts w:cs="Calibri"/>
                <w:b/>
                <w:color w:val="000000" w:themeColor="text1"/>
                <w:sz w:val="22"/>
                <w:szCs w:val="22"/>
              </w:rPr>
              <w:t>Flat</w:t>
            </w:r>
          </w:p>
        </w:tc>
      </w:tr>
      <w:tr w:rsidR="001F27D2" w:rsidRPr="00C62A5F" w14:paraId="79D441DA" w14:textId="77777777" w:rsidTr="00C62A5F">
        <w:trPr>
          <w:trHeight w:val="300"/>
        </w:trPr>
        <w:tc>
          <w:tcPr>
            <w:tcW w:w="2806" w:type="dxa"/>
            <w:shd w:val="clear" w:color="auto" w:fill="auto"/>
            <w:noWrap/>
            <w:vAlign w:val="center"/>
            <w:hideMark/>
          </w:tcPr>
          <w:p w14:paraId="7901269A"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 xml:space="preserve">1 </w:t>
            </w:r>
          </w:p>
        </w:tc>
        <w:tc>
          <w:tcPr>
            <w:tcW w:w="1843" w:type="dxa"/>
            <w:shd w:val="clear" w:color="auto" w:fill="auto"/>
            <w:noWrap/>
            <w:vAlign w:val="bottom"/>
            <w:hideMark/>
          </w:tcPr>
          <w:p w14:paraId="3C32E2BF"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4.2%</w:t>
            </w:r>
          </w:p>
        </w:tc>
        <w:tc>
          <w:tcPr>
            <w:tcW w:w="1843" w:type="dxa"/>
            <w:shd w:val="clear" w:color="auto" w:fill="auto"/>
            <w:noWrap/>
            <w:vAlign w:val="bottom"/>
            <w:hideMark/>
          </w:tcPr>
          <w:p w14:paraId="07319C85"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72.6%</w:t>
            </w:r>
          </w:p>
        </w:tc>
        <w:tc>
          <w:tcPr>
            <w:tcW w:w="2110" w:type="dxa"/>
            <w:shd w:val="clear" w:color="auto" w:fill="auto"/>
            <w:noWrap/>
            <w:vAlign w:val="bottom"/>
            <w:hideMark/>
          </w:tcPr>
          <w:p w14:paraId="154E59B5"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23.2%</w:t>
            </w:r>
          </w:p>
        </w:tc>
      </w:tr>
      <w:tr w:rsidR="001F27D2" w:rsidRPr="00C62A5F" w14:paraId="0007E9A2" w14:textId="77777777" w:rsidTr="00C62A5F">
        <w:trPr>
          <w:trHeight w:val="300"/>
        </w:trPr>
        <w:tc>
          <w:tcPr>
            <w:tcW w:w="2806" w:type="dxa"/>
            <w:shd w:val="clear" w:color="auto" w:fill="auto"/>
            <w:noWrap/>
            <w:vAlign w:val="center"/>
          </w:tcPr>
          <w:p w14:paraId="5EEF44E0"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2</w:t>
            </w:r>
          </w:p>
        </w:tc>
        <w:tc>
          <w:tcPr>
            <w:tcW w:w="1843" w:type="dxa"/>
            <w:shd w:val="clear" w:color="auto" w:fill="auto"/>
            <w:noWrap/>
            <w:vAlign w:val="bottom"/>
          </w:tcPr>
          <w:p w14:paraId="1C3228CF"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36.2%</w:t>
            </w:r>
          </w:p>
        </w:tc>
        <w:tc>
          <w:tcPr>
            <w:tcW w:w="1843" w:type="dxa"/>
            <w:shd w:val="clear" w:color="auto" w:fill="auto"/>
            <w:noWrap/>
            <w:vAlign w:val="bottom"/>
          </w:tcPr>
          <w:p w14:paraId="4B544219"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41.1%</w:t>
            </w:r>
          </w:p>
        </w:tc>
        <w:tc>
          <w:tcPr>
            <w:tcW w:w="2110" w:type="dxa"/>
            <w:shd w:val="clear" w:color="auto" w:fill="auto"/>
            <w:noWrap/>
            <w:vAlign w:val="bottom"/>
          </w:tcPr>
          <w:p w14:paraId="7A789C0F"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22.7%</w:t>
            </w:r>
          </w:p>
        </w:tc>
      </w:tr>
      <w:tr w:rsidR="001F27D2" w:rsidRPr="00C62A5F" w14:paraId="0B87FC3E" w14:textId="77777777" w:rsidTr="00C62A5F">
        <w:trPr>
          <w:trHeight w:val="300"/>
        </w:trPr>
        <w:tc>
          <w:tcPr>
            <w:tcW w:w="2806" w:type="dxa"/>
            <w:shd w:val="clear" w:color="auto" w:fill="auto"/>
            <w:noWrap/>
            <w:vAlign w:val="center"/>
            <w:hideMark/>
          </w:tcPr>
          <w:p w14:paraId="4A9A9AD5"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3</w:t>
            </w:r>
          </w:p>
        </w:tc>
        <w:tc>
          <w:tcPr>
            <w:tcW w:w="1843" w:type="dxa"/>
            <w:shd w:val="clear" w:color="auto" w:fill="auto"/>
            <w:noWrap/>
            <w:vAlign w:val="bottom"/>
            <w:hideMark/>
          </w:tcPr>
          <w:p w14:paraId="2832B2F3"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98.9%</w:t>
            </w:r>
          </w:p>
        </w:tc>
        <w:tc>
          <w:tcPr>
            <w:tcW w:w="1843" w:type="dxa"/>
            <w:shd w:val="clear" w:color="auto" w:fill="auto"/>
            <w:noWrap/>
            <w:vAlign w:val="bottom"/>
            <w:hideMark/>
          </w:tcPr>
          <w:p w14:paraId="3C07E606"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0.2%</w:t>
            </w:r>
          </w:p>
        </w:tc>
        <w:tc>
          <w:tcPr>
            <w:tcW w:w="2110" w:type="dxa"/>
            <w:shd w:val="clear" w:color="auto" w:fill="auto"/>
            <w:noWrap/>
            <w:vAlign w:val="bottom"/>
            <w:hideMark/>
          </w:tcPr>
          <w:p w14:paraId="1610548A"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0.9%</w:t>
            </w:r>
          </w:p>
        </w:tc>
      </w:tr>
      <w:tr w:rsidR="001F27D2" w:rsidRPr="00C62A5F" w14:paraId="59BB6E10" w14:textId="77777777" w:rsidTr="00C62A5F">
        <w:trPr>
          <w:trHeight w:val="300"/>
        </w:trPr>
        <w:tc>
          <w:tcPr>
            <w:tcW w:w="2806" w:type="dxa"/>
            <w:shd w:val="clear" w:color="auto" w:fill="auto"/>
            <w:noWrap/>
            <w:vAlign w:val="center"/>
            <w:hideMark/>
          </w:tcPr>
          <w:p w14:paraId="7AE47C49"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4+</w:t>
            </w:r>
          </w:p>
        </w:tc>
        <w:tc>
          <w:tcPr>
            <w:tcW w:w="1843" w:type="dxa"/>
            <w:shd w:val="clear" w:color="auto" w:fill="auto"/>
            <w:noWrap/>
            <w:vAlign w:val="bottom"/>
            <w:hideMark/>
          </w:tcPr>
          <w:p w14:paraId="2A80EB57"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100.0</w:t>
            </w:r>
          </w:p>
        </w:tc>
        <w:tc>
          <w:tcPr>
            <w:tcW w:w="1843" w:type="dxa"/>
            <w:shd w:val="clear" w:color="auto" w:fill="auto"/>
            <w:noWrap/>
            <w:vAlign w:val="bottom"/>
            <w:hideMark/>
          </w:tcPr>
          <w:p w14:paraId="2ED134F5"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0.0%</w:t>
            </w:r>
          </w:p>
        </w:tc>
        <w:tc>
          <w:tcPr>
            <w:tcW w:w="2110" w:type="dxa"/>
            <w:shd w:val="clear" w:color="auto" w:fill="auto"/>
            <w:noWrap/>
            <w:vAlign w:val="bottom"/>
            <w:hideMark/>
          </w:tcPr>
          <w:p w14:paraId="2AE9785E" w14:textId="77777777" w:rsidR="001F27D2" w:rsidRPr="00C62A5F" w:rsidRDefault="001F27D2" w:rsidP="00C62A5F">
            <w:pPr>
              <w:spacing w:before="0" w:after="0"/>
              <w:jc w:val="center"/>
              <w:rPr>
                <w:rFonts w:cs="Calibri"/>
                <w:color w:val="000000"/>
                <w:sz w:val="22"/>
                <w:szCs w:val="22"/>
              </w:rPr>
            </w:pPr>
            <w:r w:rsidRPr="00C62A5F">
              <w:rPr>
                <w:rFonts w:cs="Calibri"/>
                <w:color w:val="000000"/>
                <w:sz w:val="22"/>
                <w:szCs w:val="22"/>
              </w:rPr>
              <w:t>0.0%</w:t>
            </w:r>
          </w:p>
        </w:tc>
      </w:tr>
    </w:tbl>
    <w:p w14:paraId="190FFD5A" w14:textId="77777777" w:rsidR="001F27D2" w:rsidRPr="002B2A7F" w:rsidRDefault="001F27D2" w:rsidP="001F27D2">
      <w:pPr>
        <w:rPr>
          <w:rFonts w:asciiTheme="minorHAnsi" w:hAnsiTheme="minorHAnsi"/>
          <w:color w:val="000000"/>
          <w:sz w:val="22"/>
          <w:szCs w:val="22"/>
          <w:highlight w:val="lightGray"/>
          <w14:scene3d>
            <w14:camera w14:prst="orthographicFront"/>
            <w14:lightRig w14:rig="threePt" w14:dir="t">
              <w14:rot w14:lat="0" w14:lon="0" w14:rev="0"/>
            </w14:lightRig>
          </w14:scene3d>
        </w:rPr>
      </w:pPr>
    </w:p>
    <w:p w14:paraId="15772563" w14:textId="5C6853CE" w:rsidR="001F27D2" w:rsidRPr="002B2A7F" w:rsidRDefault="001F27D2" w:rsidP="001F27D2">
      <w:pPr>
        <w:pStyle w:val="Reporttext"/>
      </w:pPr>
      <w:r w:rsidRPr="002B2A7F">
        <w:t xml:space="preserve">Figure </w:t>
      </w:r>
      <w:r>
        <w:t>7</w:t>
      </w:r>
      <w:r w:rsidRPr="002B2A7F">
        <w:t>.</w:t>
      </w:r>
      <w:r w:rsidR="00AB5F6A">
        <w:t>2</w:t>
      </w:r>
      <w:r w:rsidR="00AB5F6A" w:rsidRPr="002B2A7F">
        <w:t xml:space="preserve"> </w:t>
      </w:r>
      <w:r w:rsidR="001F1204" w:rsidRPr="002B2A7F">
        <w:t xml:space="preserve">presents a summary of dwelling type and mix analysis under demographic and expectation </w:t>
      </w:r>
      <w:r w:rsidRPr="002B2A7F">
        <w:t xml:space="preserve">scenarios and also provides a comparison with existing dwelling stock. This analysis demonstrates a marked change in dwelling need, pointing to an increasing need for smaller and level access dwellings across the </w:t>
      </w:r>
      <w:r w:rsidR="003E42B8">
        <w:t>D</w:t>
      </w:r>
      <w:r w:rsidRPr="002B2A7F">
        <w:t xml:space="preserve">istrict. </w:t>
      </w:r>
    </w:p>
    <w:p w14:paraId="16E20994" w14:textId="77777777" w:rsidR="001F27D2" w:rsidRPr="002B2A7F" w:rsidRDefault="001F27D2" w:rsidP="001F27D2">
      <w:pPr>
        <w:rPr>
          <w:rFonts w:asciiTheme="minorHAnsi" w:hAnsiTheme="minorHAnsi"/>
        </w:rPr>
      </w:pPr>
    </w:p>
    <w:p w14:paraId="78963898" w14:textId="44955AB4" w:rsidR="001F27D2" w:rsidRPr="002B2A7F" w:rsidRDefault="001F27D2" w:rsidP="001F27D2">
      <w:pPr>
        <w:pStyle w:val="Figureheading0"/>
        <w:ind w:left="1440" w:hanging="1440"/>
        <w:rPr>
          <w:rFonts w:asciiTheme="minorHAnsi" w:hAnsiTheme="minorHAnsi"/>
        </w:rPr>
      </w:pPr>
      <w:bookmarkStart w:id="591" w:name="_Toc517791514"/>
      <w:bookmarkStart w:id="592" w:name="_Toc524935625"/>
      <w:bookmarkStart w:id="593" w:name="_Toc532812533"/>
      <w:r w:rsidRPr="002B2A7F">
        <w:rPr>
          <w:rFonts w:asciiTheme="minorHAnsi" w:hAnsiTheme="minorHAnsi"/>
        </w:rPr>
        <w:lastRenderedPageBreak/>
        <w:t xml:space="preserve">Figure </w:t>
      </w:r>
      <w:r>
        <w:rPr>
          <w:rFonts w:asciiTheme="minorHAnsi" w:hAnsiTheme="minorHAnsi"/>
        </w:rPr>
        <w:t>7</w:t>
      </w:r>
      <w:r w:rsidRPr="002B2A7F">
        <w:rPr>
          <w:rFonts w:asciiTheme="minorHAnsi" w:hAnsiTheme="minorHAnsi"/>
        </w:rPr>
        <w:t>.</w:t>
      </w:r>
      <w:r w:rsidR="00AB5F6A">
        <w:rPr>
          <w:rFonts w:asciiTheme="minorHAnsi" w:hAnsiTheme="minorHAnsi"/>
        </w:rPr>
        <w:t>2</w:t>
      </w:r>
      <w:r w:rsidRPr="002B2A7F">
        <w:rPr>
          <w:rFonts w:asciiTheme="minorHAnsi" w:hAnsiTheme="minorHAnsi"/>
        </w:rPr>
        <w:tab/>
        <w:t>Summary of dwelling types under baseline demographic and expectation analysis</w:t>
      </w:r>
      <w:bookmarkEnd w:id="591"/>
      <w:bookmarkEnd w:id="592"/>
      <w:bookmarkEnd w:id="593"/>
    </w:p>
    <w:p w14:paraId="36062A83" w14:textId="77777777" w:rsidR="001F27D2" w:rsidRPr="002B2A7F" w:rsidRDefault="001F27D2" w:rsidP="00C62A5F">
      <w:r w:rsidRPr="002B2A7F">
        <w:rPr>
          <w:noProof/>
          <w:lang w:eastAsia="en-GB"/>
        </w:rPr>
        <w:drawing>
          <wp:inline distT="0" distB="0" distL="0" distR="0" wp14:anchorId="4977E7B1" wp14:editId="18004B5E">
            <wp:extent cx="5835650" cy="341884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35650" cy="3418840"/>
                    </a:xfrm>
                    <a:prstGeom prst="rect">
                      <a:avLst/>
                    </a:prstGeom>
                  </pic:spPr>
                </pic:pic>
              </a:graphicData>
            </a:graphic>
          </wp:inline>
        </w:drawing>
      </w:r>
    </w:p>
    <w:p w14:paraId="2599B0D8" w14:textId="77777777" w:rsidR="001F27D2" w:rsidRPr="002B2A7F" w:rsidRDefault="001F27D2" w:rsidP="001F27D2">
      <w:pPr>
        <w:rPr>
          <w:rFonts w:asciiTheme="minorHAnsi" w:hAnsiTheme="minorHAnsi"/>
          <w:sz w:val="20"/>
        </w:rPr>
      </w:pPr>
      <w:r w:rsidRPr="002B2A7F">
        <w:rPr>
          <w:rFonts w:asciiTheme="minorHAnsi" w:hAnsiTheme="minorHAnsi"/>
          <w:sz w:val="20"/>
        </w:rPr>
        <w:t>Source: CLG 2014-based household projections and arc4 household survey data applied to household projections</w:t>
      </w:r>
    </w:p>
    <w:p w14:paraId="14220C5D" w14:textId="70737BF1" w:rsidR="001F27D2" w:rsidRDefault="001F27D2" w:rsidP="001F27D2">
      <w:pPr>
        <w:rPr>
          <w:rFonts w:asciiTheme="minorHAnsi" w:hAnsiTheme="minorHAnsi"/>
        </w:rPr>
      </w:pPr>
    </w:p>
    <w:p w14:paraId="46FD9AB8" w14:textId="29E6115E" w:rsidR="00482E4C" w:rsidRDefault="00482E4C" w:rsidP="00482E4C">
      <w:pPr>
        <w:pStyle w:val="Heading2"/>
        <w:rPr>
          <w:rFonts w:asciiTheme="minorHAnsi" w:hAnsiTheme="minorHAnsi"/>
        </w:rPr>
      </w:pPr>
      <w:bookmarkStart w:id="594" w:name="_Toc532812433"/>
      <w:r>
        <w:rPr>
          <w:rFonts w:asciiTheme="minorHAnsi" w:hAnsiTheme="minorHAnsi"/>
        </w:rPr>
        <w:t>HMA-level analysis</w:t>
      </w:r>
      <w:bookmarkEnd w:id="594"/>
    </w:p>
    <w:p w14:paraId="7A34FD5D" w14:textId="1ACA45C9" w:rsidR="00B45477" w:rsidRDefault="00B45477" w:rsidP="00AB5F6A">
      <w:pPr>
        <w:pStyle w:val="Reporttext"/>
      </w:pPr>
      <w:r>
        <w:t xml:space="preserve">Table 7.7 considers the current profile of dwelling stock by HMA and then compares this with the demographic projections presented in Table 7.8. This shows the extent to which there is sufficient stock of a particular types/size </w:t>
      </w:r>
      <w:r w:rsidRPr="002B2A7F">
        <w:t xml:space="preserve"> </w:t>
      </w:r>
      <w:r>
        <w:t>and where there are shortfalls relative to the dwelling stock outcomes of the dwelling mix analysis.  Analysis is further illustrated in Figure 7.</w:t>
      </w:r>
      <w:r w:rsidR="00AB5F6A">
        <w:t>3</w:t>
      </w:r>
      <w:r>
        <w:t xml:space="preserve"> which shows the relative variations by HMA of dwelling stock compared with the demographic analysis. </w:t>
      </w:r>
    </w:p>
    <w:p w14:paraId="499F8AA9" w14:textId="41289202" w:rsidR="00B45477" w:rsidRDefault="00B45477" w:rsidP="00B45477"/>
    <w:p w14:paraId="4C763536" w14:textId="6DE43454" w:rsidR="003106AD" w:rsidRDefault="003106AD">
      <w:pPr>
        <w:spacing w:before="0" w:after="0"/>
        <w:jc w:val="left"/>
      </w:pPr>
      <w:r>
        <w:br w:type="page"/>
      </w:r>
    </w:p>
    <w:p w14:paraId="3BD41EC0" w14:textId="5B49E8B0" w:rsidR="00B45477" w:rsidRPr="00B10615" w:rsidRDefault="00B45477" w:rsidP="00AB5F6A">
      <w:pPr>
        <w:pStyle w:val="Tableheading1"/>
        <w:rPr>
          <w:color w:val="009999"/>
        </w:rPr>
      </w:pPr>
      <w:bookmarkStart w:id="595" w:name="_Toc532812512"/>
      <w:r w:rsidRPr="00B10615">
        <w:rPr>
          <w:color w:val="009999"/>
        </w:rPr>
        <w:lastRenderedPageBreak/>
        <w:t>Table 7.7</w:t>
      </w:r>
      <w:r w:rsidRPr="00B10615">
        <w:rPr>
          <w:color w:val="009999"/>
        </w:rPr>
        <w:tab/>
        <w:t>Current dwelling stock by HMA and comparison with dwelling mix analysis</w:t>
      </w:r>
      <w:bookmarkEnd w:id="595"/>
    </w:p>
    <w:p w14:paraId="1966C8EF" w14:textId="1B194219" w:rsidR="00482E4C" w:rsidRDefault="00B45477" w:rsidP="001F27D2">
      <w:pPr>
        <w:rPr>
          <w:rFonts w:asciiTheme="minorHAnsi" w:hAnsiTheme="minorHAnsi"/>
        </w:rPr>
      </w:pPr>
      <w:r w:rsidRPr="00B45477">
        <w:rPr>
          <w:rFonts w:asciiTheme="minorHAnsi" w:hAnsiTheme="minorHAnsi"/>
          <w:noProof/>
          <w:lang w:eastAsia="en-GB"/>
        </w:rPr>
        <w:drawing>
          <wp:inline distT="0" distB="0" distL="0" distR="0" wp14:anchorId="330982F7" wp14:editId="4F311B03">
            <wp:extent cx="5835650" cy="529844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835650" cy="5298440"/>
                    </a:xfrm>
                    <a:prstGeom prst="rect">
                      <a:avLst/>
                    </a:prstGeom>
                  </pic:spPr>
                </pic:pic>
              </a:graphicData>
            </a:graphic>
          </wp:inline>
        </w:drawing>
      </w:r>
    </w:p>
    <w:p w14:paraId="7F8D9A6B" w14:textId="3261D932" w:rsidR="00B45477" w:rsidRPr="002B2A7F" w:rsidRDefault="00B45477" w:rsidP="00B45477">
      <w:pPr>
        <w:rPr>
          <w:rFonts w:asciiTheme="minorHAnsi" w:hAnsiTheme="minorHAnsi"/>
          <w:sz w:val="20"/>
        </w:rPr>
      </w:pPr>
      <w:r w:rsidRPr="002B2A7F">
        <w:rPr>
          <w:rFonts w:asciiTheme="minorHAnsi" w:hAnsiTheme="minorHAnsi"/>
          <w:sz w:val="20"/>
        </w:rPr>
        <w:t>Source: CLG 2014-based household projections and arc4 household survey data applied to household projections</w:t>
      </w:r>
      <w:r>
        <w:rPr>
          <w:rFonts w:asciiTheme="minorHAnsi" w:hAnsiTheme="minorHAnsi"/>
          <w:sz w:val="20"/>
        </w:rPr>
        <w:t xml:space="preserve"> </w:t>
      </w:r>
    </w:p>
    <w:p w14:paraId="3DADB4FC" w14:textId="19CB3D9F" w:rsidR="00482E4C" w:rsidRDefault="00482E4C" w:rsidP="001F27D2">
      <w:pPr>
        <w:rPr>
          <w:rFonts w:asciiTheme="minorHAnsi" w:hAnsiTheme="minorHAnsi"/>
        </w:rPr>
      </w:pPr>
    </w:p>
    <w:p w14:paraId="783E0D35" w14:textId="77777777" w:rsidR="00B45477" w:rsidRDefault="00B45477" w:rsidP="00B45477">
      <w:pPr>
        <w:pStyle w:val="Figureheading0"/>
        <w:ind w:left="1440" w:hanging="1440"/>
        <w:rPr>
          <w:rFonts w:asciiTheme="minorHAnsi" w:hAnsiTheme="minorHAnsi"/>
        </w:rPr>
      </w:pPr>
    </w:p>
    <w:p w14:paraId="4FD27B80" w14:textId="30BA5AE7" w:rsidR="00B45477" w:rsidRDefault="00B45477" w:rsidP="00B45477">
      <w:pPr>
        <w:pStyle w:val="Figureheading0"/>
        <w:ind w:left="1440" w:hanging="1440"/>
        <w:rPr>
          <w:rFonts w:asciiTheme="minorHAnsi" w:hAnsiTheme="minorHAnsi"/>
        </w:rPr>
        <w:sectPr w:rsidR="00B45477" w:rsidSect="00BA2B77">
          <w:headerReference w:type="default" r:id="rId64"/>
          <w:footerReference w:type="default" r:id="rId65"/>
          <w:pgSz w:w="11906" w:h="16838"/>
          <w:pgMar w:top="1440" w:right="1276" w:bottom="1134" w:left="1440" w:header="708" w:footer="708" w:gutter="0"/>
          <w:cols w:space="708"/>
          <w:docGrid w:linePitch="360"/>
        </w:sectPr>
      </w:pPr>
    </w:p>
    <w:p w14:paraId="3345E2BB" w14:textId="5E7CA175" w:rsidR="00B45477" w:rsidRDefault="00B45477" w:rsidP="00B45477">
      <w:pPr>
        <w:pStyle w:val="Figureheading0"/>
        <w:ind w:left="1440" w:hanging="1440"/>
        <w:rPr>
          <w:rFonts w:asciiTheme="minorHAnsi" w:hAnsiTheme="minorHAnsi"/>
        </w:rPr>
      </w:pPr>
      <w:bookmarkStart w:id="596" w:name="_Toc532812534"/>
      <w:r w:rsidRPr="002B2A7F">
        <w:rPr>
          <w:rFonts w:asciiTheme="minorHAnsi" w:hAnsiTheme="minorHAnsi"/>
        </w:rPr>
        <w:lastRenderedPageBreak/>
        <w:t xml:space="preserve">Figure </w:t>
      </w:r>
      <w:r>
        <w:rPr>
          <w:rFonts w:asciiTheme="minorHAnsi" w:hAnsiTheme="minorHAnsi"/>
        </w:rPr>
        <w:t>7</w:t>
      </w:r>
      <w:r w:rsidRPr="002B2A7F">
        <w:rPr>
          <w:rFonts w:asciiTheme="minorHAnsi" w:hAnsiTheme="minorHAnsi"/>
        </w:rPr>
        <w:t>.</w:t>
      </w:r>
      <w:r w:rsidR="00AB5F6A">
        <w:rPr>
          <w:rFonts w:asciiTheme="minorHAnsi" w:hAnsiTheme="minorHAnsi"/>
        </w:rPr>
        <w:t>3</w:t>
      </w:r>
      <w:r w:rsidRPr="002B2A7F">
        <w:rPr>
          <w:rFonts w:asciiTheme="minorHAnsi" w:hAnsiTheme="minorHAnsi"/>
        </w:rPr>
        <w:tab/>
        <w:t xml:space="preserve">Summary of dwelling </w:t>
      </w:r>
      <w:r>
        <w:rPr>
          <w:rFonts w:asciiTheme="minorHAnsi" w:hAnsiTheme="minorHAnsi"/>
        </w:rPr>
        <w:t>mix variations under the demographic scenario  by HMA</w:t>
      </w:r>
      <w:bookmarkEnd w:id="596"/>
    </w:p>
    <w:p w14:paraId="279D057E" w14:textId="1216001F" w:rsidR="00B45477" w:rsidRPr="002B2A7F" w:rsidRDefault="00B45477" w:rsidP="003106AD">
      <w:pPr>
        <w:rPr>
          <w:rFonts w:asciiTheme="minorHAnsi" w:hAnsiTheme="minorHAnsi"/>
        </w:rPr>
      </w:pPr>
      <w:r>
        <w:rPr>
          <w:noProof/>
          <w:lang w:eastAsia="en-GB"/>
        </w:rPr>
        <w:drawing>
          <wp:inline distT="0" distB="0" distL="0" distR="0" wp14:anchorId="710F6120" wp14:editId="5C9578DB">
            <wp:extent cx="8246533" cy="517135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8254458" cy="5176327"/>
                    </a:xfrm>
                    <a:prstGeom prst="rect">
                      <a:avLst/>
                    </a:prstGeom>
                  </pic:spPr>
                </pic:pic>
              </a:graphicData>
            </a:graphic>
          </wp:inline>
        </w:drawing>
      </w:r>
    </w:p>
    <w:p w14:paraId="265FF2EE" w14:textId="3A0B5EBC" w:rsidR="00B45477" w:rsidRPr="00AB5F6A" w:rsidRDefault="00B45477" w:rsidP="001F27D2">
      <w:pPr>
        <w:rPr>
          <w:rFonts w:asciiTheme="minorHAnsi" w:hAnsiTheme="minorHAnsi"/>
          <w:sz w:val="20"/>
        </w:rPr>
      </w:pPr>
      <w:r w:rsidRPr="002B2A7F">
        <w:rPr>
          <w:rFonts w:asciiTheme="minorHAnsi" w:hAnsiTheme="minorHAnsi"/>
          <w:sz w:val="20"/>
        </w:rPr>
        <w:t>Source: CLG 2014-based household projections and arc4 household survey data applied to household projections</w:t>
      </w:r>
    </w:p>
    <w:p w14:paraId="564F1181" w14:textId="77777777" w:rsidR="00B45477" w:rsidRDefault="00B45477" w:rsidP="001F27D2">
      <w:pPr>
        <w:rPr>
          <w:rFonts w:asciiTheme="minorHAnsi" w:hAnsiTheme="minorHAnsi"/>
        </w:rPr>
        <w:sectPr w:rsidR="00B45477" w:rsidSect="00AB5F6A">
          <w:headerReference w:type="default" r:id="rId67"/>
          <w:footerReference w:type="default" r:id="rId68"/>
          <w:pgSz w:w="16838" w:h="11906" w:orient="landscape"/>
          <w:pgMar w:top="1276" w:right="1134" w:bottom="1440" w:left="1440" w:header="708" w:footer="708" w:gutter="0"/>
          <w:cols w:space="708"/>
          <w:docGrid w:linePitch="360"/>
        </w:sectPr>
      </w:pPr>
    </w:p>
    <w:p w14:paraId="7941009B" w14:textId="77777777" w:rsidR="001F27D2" w:rsidRPr="002B2A7F" w:rsidRDefault="001F27D2" w:rsidP="001F27D2">
      <w:pPr>
        <w:pStyle w:val="Heading2"/>
        <w:rPr>
          <w:rFonts w:asciiTheme="minorHAnsi" w:hAnsiTheme="minorHAnsi"/>
        </w:rPr>
      </w:pPr>
      <w:bookmarkStart w:id="597" w:name="_Toc391751926"/>
      <w:bookmarkStart w:id="598" w:name="_Toc395193584"/>
      <w:bookmarkStart w:id="599" w:name="_Toc524935608"/>
      <w:bookmarkStart w:id="600" w:name="_Toc531122904"/>
      <w:bookmarkStart w:id="601" w:name="_Toc532812434"/>
      <w:r w:rsidRPr="002B2A7F">
        <w:rPr>
          <w:rFonts w:asciiTheme="minorHAnsi" w:hAnsiTheme="minorHAnsi"/>
        </w:rPr>
        <w:lastRenderedPageBreak/>
        <w:t>Concluding comments</w:t>
      </w:r>
      <w:bookmarkEnd w:id="597"/>
      <w:bookmarkEnd w:id="598"/>
      <w:bookmarkEnd w:id="599"/>
      <w:bookmarkEnd w:id="600"/>
      <w:bookmarkEnd w:id="601"/>
    </w:p>
    <w:p w14:paraId="4DC13CAF" w14:textId="22E96BA6" w:rsidR="001F27D2" w:rsidRPr="002B2A7F" w:rsidRDefault="001F27D2" w:rsidP="001F27D2">
      <w:pPr>
        <w:pStyle w:val="Reporttext"/>
      </w:pPr>
      <w:r w:rsidRPr="002B2A7F">
        <w:t xml:space="preserve">This analysis draws upon evidence from the household survey to establish the link between household type, age group and the range of dwellings occupied. It also considers the impact of future expectations of moving households on dwelling need and demonstrates the particular impact of an ageing demographic on the range of dwellings across the </w:t>
      </w:r>
      <w:r w:rsidR="003E42B8">
        <w:t>D</w:t>
      </w:r>
      <w:r w:rsidRPr="002B2A7F">
        <w:t xml:space="preserve">istrict. </w:t>
      </w:r>
    </w:p>
    <w:p w14:paraId="61E2B2DE" w14:textId="2AA4682C" w:rsidR="00B45477" w:rsidRDefault="00B45477" w:rsidP="001F27D2">
      <w:pPr>
        <w:pStyle w:val="Reporttext"/>
      </w:pPr>
      <w:r>
        <w:t xml:space="preserve">Analysis has also been provided of variations in dwelling stock relative to the recommended profile of newbuild housing at HMA level. </w:t>
      </w:r>
    </w:p>
    <w:p w14:paraId="0941E184" w14:textId="7B3C7018" w:rsidR="001F27D2" w:rsidRPr="002B2A7F" w:rsidRDefault="001F27D2" w:rsidP="001F27D2">
      <w:pPr>
        <w:pStyle w:val="Reporttext"/>
      </w:pPr>
      <w:r w:rsidRPr="002B2A7F">
        <w:t xml:space="preserve">We would </w:t>
      </w:r>
      <w:r w:rsidR="00286484">
        <w:t>re</w:t>
      </w:r>
      <w:r w:rsidRPr="002B2A7F">
        <w:t xml:space="preserve">commend this analysis for further consideration by the Council and the significance it may play in determining appropriate ranges of housing development over the Plan Period. </w:t>
      </w:r>
    </w:p>
    <w:p w14:paraId="3F75338F" w14:textId="77777777" w:rsidR="001F27D2" w:rsidRPr="002B2A7F" w:rsidRDefault="001F27D2" w:rsidP="001F27D2">
      <w:pPr>
        <w:rPr>
          <w:rFonts w:asciiTheme="minorHAnsi" w:hAnsiTheme="minorHAnsi"/>
        </w:rPr>
      </w:pPr>
    </w:p>
    <w:p w14:paraId="0E47CE0B" w14:textId="77777777" w:rsidR="001F27D2" w:rsidRPr="002B2A7F" w:rsidRDefault="001F27D2" w:rsidP="001F27D2">
      <w:pPr>
        <w:rPr>
          <w:rFonts w:asciiTheme="minorHAnsi" w:hAnsiTheme="minorHAnsi"/>
        </w:rPr>
      </w:pPr>
    </w:p>
    <w:p w14:paraId="73B82E58" w14:textId="77777777" w:rsidR="001F27D2" w:rsidRPr="002B2A7F" w:rsidRDefault="001F27D2" w:rsidP="001F27D2">
      <w:pPr>
        <w:rPr>
          <w:rFonts w:asciiTheme="minorHAnsi" w:hAnsiTheme="minorHAnsi"/>
        </w:rPr>
      </w:pPr>
      <w:bookmarkStart w:id="602" w:name="_Toc391751922"/>
      <w:bookmarkEnd w:id="561"/>
      <w:r w:rsidRPr="002B2A7F">
        <w:rPr>
          <w:rFonts w:asciiTheme="minorHAnsi" w:hAnsiTheme="minorHAnsi"/>
        </w:rPr>
        <w:br w:type="page"/>
      </w:r>
    </w:p>
    <w:p w14:paraId="7BD6E891" w14:textId="77777777" w:rsidR="001F27D2" w:rsidRPr="002B2A7F" w:rsidRDefault="001F27D2" w:rsidP="001F27D2">
      <w:pPr>
        <w:pStyle w:val="Heading1"/>
        <w:spacing w:before="0"/>
        <w:jc w:val="left"/>
        <w:rPr>
          <w:rFonts w:asciiTheme="minorHAnsi" w:hAnsiTheme="minorHAnsi"/>
          <w:shd w:val="clear" w:color="auto" w:fill="FFFFFF"/>
        </w:rPr>
      </w:pPr>
      <w:bookmarkStart w:id="603" w:name="_Toc395193585"/>
      <w:bookmarkStart w:id="604" w:name="_Toc524935609"/>
      <w:bookmarkStart w:id="605" w:name="_Toc531122905"/>
      <w:bookmarkStart w:id="606" w:name="_Toc532812435"/>
      <w:bookmarkEnd w:id="602"/>
      <w:r w:rsidRPr="002B2A7F">
        <w:rPr>
          <w:rFonts w:asciiTheme="minorHAnsi" w:hAnsiTheme="minorHAnsi"/>
        </w:rPr>
        <w:lastRenderedPageBreak/>
        <w:t>Conclusion: policy and strategic issues</w:t>
      </w:r>
      <w:bookmarkStart w:id="607" w:name="_Toc156642342"/>
      <w:bookmarkStart w:id="608" w:name="_Toc156642810"/>
      <w:bookmarkStart w:id="609" w:name="_Toc166484923"/>
      <w:bookmarkStart w:id="610" w:name="_Toc184123851"/>
      <w:bookmarkStart w:id="611" w:name="_Toc184198270"/>
      <w:bookmarkStart w:id="612" w:name="_Toc214433431"/>
      <w:bookmarkEnd w:id="432"/>
      <w:bookmarkEnd w:id="433"/>
      <w:bookmarkEnd w:id="434"/>
      <w:bookmarkEnd w:id="435"/>
      <w:bookmarkEnd w:id="436"/>
      <w:bookmarkEnd w:id="437"/>
      <w:bookmarkEnd w:id="603"/>
      <w:bookmarkEnd w:id="604"/>
      <w:bookmarkEnd w:id="605"/>
      <w:bookmarkEnd w:id="606"/>
    </w:p>
    <w:p w14:paraId="1921DDDF" w14:textId="77777777" w:rsidR="001F27D2" w:rsidRPr="002B2A7F" w:rsidRDefault="001F27D2" w:rsidP="001F27D2">
      <w:pPr>
        <w:pStyle w:val="Heading2"/>
        <w:rPr>
          <w:rFonts w:asciiTheme="minorHAnsi" w:hAnsiTheme="minorHAnsi"/>
        </w:rPr>
      </w:pPr>
      <w:bookmarkStart w:id="613" w:name="_Toc531122906"/>
      <w:bookmarkStart w:id="614" w:name="_Toc532812436"/>
      <w:r w:rsidRPr="002B2A7F">
        <w:rPr>
          <w:rFonts w:asciiTheme="minorHAnsi" w:hAnsiTheme="minorHAnsi"/>
        </w:rPr>
        <w:t>Introduction</w:t>
      </w:r>
      <w:bookmarkEnd w:id="613"/>
      <w:bookmarkEnd w:id="614"/>
    </w:p>
    <w:p w14:paraId="43496AC9" w14:textId="77777777" w:rsidR="001F27D2" w:rsidRPr="002B2A7F" w:rsidRDefault="001F27D2" w:rsidP="001F27D2">
      <w:pPr>
        <w:pStyle w:val="Reporttext"/>
      </w:pPr>
      <w:r w:rsidRPr="002B2A7F">
        <w:t>This document has been prepared to equip the Council and their partners with robust, defensible and transparent information to help inform strategic decision-making and the formulation of appropriate housing and planning policies. The work also takes account of the latest Government policy and guidance.</w:t>
      </w:r>
    </w:p>
    <w:p w14:paraId="72927264" w14:textId="22901EA9" w:rsidR="001F27D2" w:rsidRPr="002B2A7F" w:rsidRDefault="001F27D2" w:rsidP="001F27D2">
      <w:pPr>
        <w:pStyle w:val="Reporttext"/>
      </w:pPr>
      <w:r w:rsidRPr="002B2A7F">
        <w:t xml:space="preserve">The Eden District 2018 Housing Needs Survey will help the Council plan for a mix of housing based on current and future demographic trends, market trends and the needs of different groups in the community. Specifically, the study identifies the size, type and tenure of housing required by considering future dwelling need, market trends and expectations; and also identifies a continued affordable housing imbalance across the </w:t>
      </w:r>
      <w:r w:rsidR="003E42B8">
        <w:t>D</w:t>
      </w:r>
      <w:r w:rsidRPr="002B2A7F">
        <w:t>istrict.</w:t>
      </w:r>
    </w:p>
    <w:p w14:paraId="773B4A34" w14:textId="77777777" w:rsidR="001F27D2" w:rsidRPr="002B2A7F" w:rsidRDefault="001F27D2" w:rsidP="001F27D2">
      <w:pPr>
        <w:pStyle w:val="Reporttext"/>
      </w:pPr>
      <w:r w:rsidRPr="002B2A7F">
        <w:t>This concluding chapter summarises key messages from the research findings</w:t>
      </w:r>
      <w:bookmarkStart w:id="615" w:name="_Toc100131025"/>
      <w:bookmarkStart w:id="616" w:name="_Toc103485196"/>
      <w:r w:rsidRPr="002B2A7F">
        <w:t>, structured around a commentary on the current and future housing markets and key local strategic issues.</w:t>
      </w:r>
    </w:p>
    <w:bookmarkEnd w:id="615"/>
    <w:bookmarkEnd w:id="616"/>
    <w:p w14:paraId="389AB20A" w14:textId="77777777" w:rsidR="001F27D2" w:rsidRPr="002B2A7F" w:rsidRDefault="001F27D2" w:rsidP="001F27D2">
      <w:pPr>
        <w:rPr>
          <w:rFonts w:asciiTheme="minorHAnsi" w:hAnsiTheme="minorHAnsi" w:cs="Calibri"/>
        </w:rPr>
      </w:pPr>
    </w:p>
    <w:p w14:paraId="21ACFAEF" w14:textId="77777777" w:rsidR="001F27D2" w:rsidRPr="002B2A7F" w:rsidRDefault="001F27D2" w:rsidP="001F27D2">
      <w:pPr>
        <w:pStyle w:val="Heading2"/>
        <w:rPr>
          <w:rFonts w:asciiTheme="minorHAnsi" w:hAnsiTheme="minorHAnsi"/>
        </w:rPr>
      </w:pPr>
      <w:bookmarkStart w:id="617" w:name="_Toc531122907"/>
      <w:bookmarkStart w:id="618" w:name="_Toc532812437"/>
      <w:r w:rsidRPr="002B2A7F">
        <w:rPr>
          <w:rFonts w:asciiTheme="minorHAnsi" w:hAnsiTheme="minorHAnsi"/>
        </w:rPr>
        <w:t>Affordable housing need</w:t>
      </w:r>
      <w:bookmarkEnd w:id="617"/>
      <w:bookmarkEnd w:id="618"/>
    </w:p>
    <w:p w14:paraId="04235960" w14:textId="29270801" w:rsidR="001F27D2" w:rsidRPr="002B2A7F" w:rsidRDefault="001F27D2" w:rsidP="001F27D2">
      <w:pPr>
        <w:pStyle w:val="Reporttext"/>
      </w:pPr>
      <w:r w:rsidRPr="002B2A7F">
        <w:t xml:space="preserve">The 2018 Housing Need Study has evidenced an annual net imbalance of 264 affordable dwellings each year. This is broken down as 70.4% smaller one and two-bedroom general needs, 25.3% three or more-bedroom general needs and 4.3% older person dwellings.  An appropriate affordable dwelling mix would be houses (60.3%) and flats (30.9%) along with </w:t>
      </w:r>
      <w:r w:rsidR="003E42B8">
        <w:t xml:space="preserve">a </w:t>
      </w:r>
      <w:r w:rsidRPr="002B2A7F">
        <w:t xml:space="preserve">small number of bungalows (7.3 %) and other property types (1.5%). The household survey evidence would suggest that a split of 55% rented and 45% intermediate tenure would appropriately reflect the tenure aspirations of households in affordable housing need. It should also be noted that the NPPF states that 10% of dwellings on larger sites should be made available for affordable home ownership. </w:t>
      </w:r>
    </w:p>
    <w:p w14:paraId="5B287457" w14:textId="77777777" w:rsidR="001F27D2" w:rsidRPr="002B2A7F" w:rsidRDefault="001F27D2" w:rsidP="001F27D2">
      <w:pPr>
        <w:pStyle w:val="Reporttext"/>
        <w:numPr>
          <w:ilvl w:val="0"/>
          <w:numId w:val="0"/>
        </w:numPr>
        <w:ind w:left="709"/>
      </w:pPr>
    </w:p>
    <w:p w14:paraId="3A041DD9" w14:textId="77777777" w:rsidR="001F27D2" w:rsidRPr="002B2A7F" w:rsidRDefault="001F27D2" w:rsidP="001F27D2">
      <w:pPr>
        <w:pStyle w:val="Heading2"/>
        <w:rPr>
          <w:rFonts w:asciiTheme="minorHAnsi" w:hAnsiTheme="minorHAnsi"/>
        </w:rPr>
      </w:pPr>
      <w:bookmarkStart w:id="619" w:name="_Toc531122908"/>
      <w:bookmarkStart w:id="620" w:name="_Toc532812438"/>
      <w:r w:rsidRPr="002B2A7F">
        <w:rPr>
          <w:rFonts w:asciiTheme="minorHAnsi" w:hAnsiTheme="minorHAnsi"/>
        </w:rPr>
        <w:t>Overall housing need and market mix</w:t>
      </w:r>
      <w:bookmarkEnd w:id="619"/>
      <w:bookmarkEnd w:id="620"/>
    </w:p>
    <w:p w14:paraId="4AF9EB6B" w14:textId="33AB6637" w:rsidR="001F27D2" w:rsidRPr="002B2A7F" w:rsidRDefault="001F27D2" w:rsidP="001F27D2">
      <w:pPr>
        <w:pStyle w:val="Reporttext"/>
      </w:pPr>
      <w:r w:rsidRPr="002B2A7F">
        <w:t xml:space="preserve">The study has taken the current </w:t>
      </w:r>
      <w:r w:rsidR="003E42B8">
        <w:t>L</w:t>
      </w:r>
      <w:r w:rsidRPr="002B2A7F">
        <w:t xml:space="preserve">ocal </w:t>
      </w:r>
      <w:r w:rsidR="003E42B8">
        <w:t>P</w:t>
      </w:r>
      <w:r w:rsidRPr="002B2A7F">
        <w:t>lan annual target of 242 and established an appropriate mix of market and affordable housing based on household survey evidence, household projections and affordable need. Assuming a 70% market and 30% affordable split, a range of dwelling types and sizes is required with a particular emphasis on the delivery of three bedroom market houses and bungalows (or level-access accommodation); and a particular affordable need for 2-bedroom flats, bungalows and houses and 3- bedroom houses</w:t>
      </w:r>
      <w:r w:rsidR="003E42B8">
        <w:t>.</w:t>
      </w:r>
    </w:p>
    <w:p w14:paraId="70C93CB0" w14:textId="77777777" w:rsidR="001F27D2" w:rsidRPr="002B2A7F" w:rsidRDefault="001F27D2" w:rsidP="001F27D2">
      <w:pPr>
        <w:rPr>
          <w:rFonts w:asciiTheme="minorHAnsi" w:hAnsiTheme="minorHAnsi" w:cs="Calibri"/>
        </w:rPr>
      </w:pPr>
    </w:p>
    <w:p w14:paraId="732A1D73" w14:textId="77777777" w:rsidR="001F27D2" w:rsidRPr="002B2A7F" w:rsidRDefault="001F27D2" w:rsidP="001F27D2">
      <w:pPr>
        <w:pStyle w:val="Heading2"/>
        <w:rPr>
          <w:rFonts w:asciiTheme="minorHAnsi" w:hAnsiTheme="minorHAnsi"/>
        </w:rPr>
      </w:pPr>
      <w:bookmarkStart w:id="621" w:name="_Toc531122909"/>
      <w:bookmarkStart w:id="622" w:name="_Toc532812439"/>
      <w:r w:rsidRPr="002B2A7F">
        <w:rPr>
          <w:rFonts w:asciiTheme="minorHAnsi" w:hAnsiTheme="minorHAnsi"/>
        </w:rPr>
        <w:t>Meeting the needs of older people and those with disabilities</w:t>
      </w:r>
      <w:bookmarkEnd w:id="621"/>
      <w:bookmarkEnd w:id="622"/>
    </w:p>
    <w:p w14:paraId="197D9685" w14:textId="74AA8CBC" w:rsidR="001F27D2" w:rsidRPr="002B2A7F" w:rsidRDefault="001F27D2" w:rsidP="001F27D2">
      <w:pPr>
        <w:pStyle w:val="Reporttext"/>
        <w:rPr>
          <w:lang w:val="en-US"/>
        </w:rPr>
      </w:pPr>
      <w:bookmarkStart w:id="623" w:name="_Toc315343349"/>
      <w:bookmarkStart w:id="624" w:name="_Toc435447772"/>
      <w:r w:rsidRPr="002B2A7F">
        <w:t xml:space="preserve">There is evidence to support a programme of accommodation delivery to help meet the needs of older people and those with disabilities. Although the vast majority of older people want to remain in their own home with support when needed, there is a need </w:t>
      </w:r>
      <w:r w:rsidRPr="002B2A7F">
        <w:lastRenderedPageBreak/>
        <w:t xml:space="preserve">to diversify options available to older people wanting to move to more appropriate </w:t>
      </w:r>
      <w:r>
        <w:t>accommodation</w:t>
      </w:r>
      <w:r w:rsidRPr="002B2A7F">
        <w:t xml:space="preserve">. </w:t>
      </w:r>
      <w:r w:rsidRPr="002B2A7F">
        <w:rPr>
          <w:lang w:val="en-US"/>
        </w:rPr>
        <w:t xml:space="preserve">Currently there are around 764 units of specialist older person accommodation including around 253 units of residential care (C2) dwellings. Analysis of demographic change would suggest a need for an additional </w:t>
      </w:r>
      <w:r w:rsidRPr="002B2A7F">
        <w:t xml:space="preserve">248 additional specialist older persons accommodation (C3) and 123 additional units of residential care provision (C2) over the </w:t>
      </w:r>
      <w:r w:rsidR="003E42B8">
        <w:t>P</w:t>
      </w:r>
      <w:r w:rsidRPr="002B2A7F">
        <w:t xml:space="preserve">lan </w:t>
      </w:r>
      <w:r w:rsidR="003E42B8">
        <w:t>P</w:t>
      </w:r>
      <w:r w:rsidRPr="002B2A7F">
        <w:t>eriod to 2032.</w:t>
      </w:r>
    </w:p>
    <w:p w14:paraId="02041A54" w14:textId="0D28C4F1" w:rsidR="001F27D2" w:rsidRPr="002B2A7F" w:rsidRDefault="001F27D2" w:rsidP="001F27D2">
      <w:pPr>
        <w:pStyle w:val="Reporttext"/>
        <w:rPr>
          <w:lang w:val="en-US"/>
        </w:rPr>
      </w:pPr>
      <w:r w:rsidRPr="002B2A7F">
        <w:rPr>
          <w:lang w:val="en-US"/>
        </w:rPr>
        <w:t xml:space="preserve">A key conclusion is that there needs to be a broader housing offer for older people across the </w:t>
      </w:r>
      <w:r w:rsidR="003E42B8">
        <w:rPr>
          <w:lang w:val="en-US"/>
        </w:rPr>
        <w:t>D</w:t>
      </w:r>
      <w:r>
        <w:rPr>
          <w:lang w:val="en-US"/>
        </w:rPr>
        <w:t>istrict and the study</w:t>
      </w:r>
      <w:r w:rsidRPr="002B2A7F">
        <w:rPr>
          <w:lang w:val="en-US"/>
        </w:rPr>
        <w:t xml:space="preserve"> has provided evidence of scale and range of dwellings needed. </w:t>
      </w:r>
    </w:p>
    <w:p w14:paraId="7272A9DB" w14:textId="66433B2B" w:rsidR="001F27D2" w:rsidRPr="002B2A7F" w:rsidRDefault="001F27D2" w:rsidP="001F27D2">
      <w:pPr>
        <w:pStyle w:val="Reporttext"/>
        <w:rPr>
          <w:lang w:val="en-US"/>
        </w:rPr>
      </w:pPr>
      <w:r w:rsidRPr="002B2A7F">
        <w:t xml:space="preserve">A range of information has been assembled from various sources </w:t>
      </w:r>
      <w:r w:rsidRPr="002B2A7F">
        <w:rPr>
          <w:lang w:val="en-US"/>
        </w:rPr>
        <w:t xml:space="preserve">which helps to scope out the likely level of disability across the </w:t>
      </w:r>
      <w:r w:rsidR="003E42B8">
        <w:rPr>
          <w:lang w:val="en-US"/>
        </w:rPr>
        <w:t>D</w:t>
      </w:r>
      <w:r w:rsidRPr="002B2A7F">
        <w:rPr>
          <w:lang w:val="en-US"/>
        </w:rPr>
        <w:t xml:space="preserve">istrict’s population. Although it is a challenge to quantify the precise accommodation and support requirements, the study has helped to scope out where needs are arising. </w:t>
      </w:r>
    </w:p>
    <w:p w14:paraId="33EB303F" w14:textId="77777777" w:rsidR="001F27D2" w:rsidRPr="002B2A7F" w:rsidRDefault="001F27D2" w:rsidP="001F27D2">
      <w:pPr>
        <w:pStyle w:val="Reporttext"/>
        <w:rPr>
          <w:lang w:val="en-US"/>
        </w:rPr>
      </w:pPr>
      <w:r w:rsidRPr="002B2A7F">
        <w:t xml:space="preserve">The study also recommends that </w:t>
      </w:r>
      <w:r w:rsidRPr="002B2A7F">
        <w:rPr>
          <w:shd w:val="clear" w:color="auto" w:fill="FFFFFF"/>
        </w:rPr>
        <w:t>around 10% of new build should be developed to support households requiring adaptations, with 9% being M4(2) accessible and adaptable homes and 1% being M4(3) wheelchair adapted properties. This recommendation also assumes that there will be ongoing adaptation of existing dwellings to support those with additional needs.</w:t>
      </w:r>
      <w:bookmarkEnd w:id="623"/>
      <w:bookmarkEnd w:id="624"/>
    </w:p>
    <w:p w14:paraId="60A6AAD7" w14:textId="77777777" w:rsidR="001F27D2" w:rsidRPr="002B2A7F" w:rsidRDefault="001F27D2" w:rsidP="001F27D2">
      <w:pPr>
        <w:pStyle w:val="Reporttext"/>
        <w:numPr>
          <w:ilvl w:val="0"/>
          <w:numId w:val="0"/>
        </w:numPr>
        <w:ind w:left="709"/>
      </w:pPr>
    </w:p>
    <w:bookmarkEnd w:id="607"/>
    <w:bookmarkEnd w:id="608"/>
    <w:bookmarkEnd w:id="609"/>
    <w:bookmarkEnd w:id="610"/>
    <w:bookmarkEnd w:id="611"/>
    <w:bookmarkEnd w:id="612"/>
    <w:p w14:paraId="74F4DEA8" w14:textId="77777777" w:rsidR="001F27D2" w:rsidRPr="002B2A7F" w:rsidRDefault="001F27D2" w:rsidP="001F27D2">
      <w:pPr>
        <w:pStyle w:val="Reporttext"/>
        <w:numPr>
          <w:ilvl w:val="0"/>
          <w:numId w:val="0"/>
        </w:numPr>
        <w:ind w:left="709"/>
      </w:pPr>
      <w:r w:rsidRPr="002B2A7F">
        <w:br w:type="page"/>
      </w:r>
    </w:p>
    <w:p w14:paraId="710ECA17" w14:textId="77777777" w:rsidR="001F27D2" w:rsidRPr="002B2A7F" w:rsidRDefault="001F27D2" w:rsidP="001F27D2">
      <w:pPr>
        <w:pStyle w:val="Heading1"/>
        <w:numPr>
          <w:ilvl w:val="0"/>
          <w:numId w:val="0"/>
        </w:numPr>
        <w:rPr>
          <w:rFonts w:asciiTheme="minorHAnsi" w:hAnsiTheme="minorHAnsi" w:cs="Calibri"/>
        </w:rPr>
      </w:pPr>
      <w:bookmarkStart w:id="625" w:name="_Toc333507778"/>
      <w:bookmarkStart w:id="626" w:name="_Toc399864426"/>
      <w:bookmarkStart w:id="627" w:name="_Toc428528515"/>
      <w:bookmarkStart w:id="628" w:name="_Toc430084609"/>
      <w:bookmarkStart w:id="629" w:name="_Toc430782048"/>
      <w:bookmarkStart w:id="630" w:name="_Toc395193590"/>
      <w:bookmarkStart w:id="631" w:name="_Toc524935610"/>
      <w:bookmarkStart w:id="632" w:name="_Toc531122910"/>
      <w:bookmarkStart w:id="633" w:name="_Toc532812440"/>
      <w:r w:rsidRPr="002B2A7F">
        <w:rPr>
          <w:rFonts w:asciiTheme="minorHAnsi" w:hAnsiTheme="minorHAnsi" w:cs="Calibri"/>
        </w:rPr>
        <w:lastRenderedPageBreak/>
        <w:t>Introduction to Technical Appendices</w:t>
      </w:r>
      <w:bookmarkEnd w:id="625"/>
      <w:bookmarkEnd w:id="626"/>
      <w:bookmarkEnd w:id="627"/>
      <w:bookmarkEnd w:id="628"/>
      <w:bookmarkEnd w:id="629"/>
      <w:bookmarkEnd w:id="630"/>
      <w:bookmarkEnd w:id="631"/>
      <w:bookmarkEnd w:id="632"/>
      <w:bookmarkEnd w:id="633"/>
    </w:p>
    <w:p w14:paraId="5F6BC652" w14:textId="77777777" w:rsidR="001F27D2" w:rsidRPr="002B2A7F" w:rsidRDefault="001F27D2" w:rsidP="001F27D2">
      <w:pPr>
        <w:rPr>
          <w:rFonts w:asciiTheme="minorHAnsi" w:hAnsiTheme="minorHAnsi" w:cs="Calibri"/>
        </w:rPr>
      </w:pPr>
    </w:p>
    <w:p w14:paraId="44A41C45" w14:textId="77777777" w:rsidR="001F27D2" w:rsidRPr="002B2A7F" w:rsidRDefault="001F27D2" w:rsidP="001F27D2">
      <w:pPr>
        <w:pStyle w:val="bullet"/>
        <w:spacing w:before="0"/>
        <w:ind w:left="360"/>
        <w:jc w:val="left"/>
        <w:rPr>
          <w:rFonts w:asciiTheme="minorHAnsi" w:hAnsiTheme="minorHAnsi" w:cs="Calibri"/>
        </w:rPr>
      </w:pPr>
      <w:r w:rsidRPr="002B2A7F">
        <w:rPr>
          <w:rFonts w:asciiTheme="minorHAnsi" w:hAnsiTheme="minorHAnsi" w:cs="Calibri"/>
        </w:rPr>
        <w:t>Technical Appendix A:</w:t>
      </w:r>
      <w:r w:rsidRPr="002B2A7F">
        <w:rPr>
          <w:rFonts w:asciiTheme="minorHAnsi" w:hAnsiTheme="minorHAnsi" w:cs="Calibri"/>
        </w:rPr>
        <w:tab/>
        <w:t>Research methodology</w:t>
      </w:r>
    </w:p>
    <w:p w14:paraId="66DD4CCB" w14:textId="77777777" w:rsidR="001F27D2" w:rsidRPr="002B2A7F" w:rsidRDefault="001F27D2" w:rsidP="001F27D2">
      <w:pPr>
        <w:pStyle w:val="bullet"/>
        <w:spacing w:before="0"/>
        <w:ind w:left="360"/>
        <w:jc w:val="left"/>
        <w:rPr>
          <w:rFonts w:asciiTheme="minorHAnsi" w:hAnsiTheme="minorHAnsi" w:cs="Calibri"/>
        </w:rPr>
      </w:pPr>
      <w:r w:rsidRPr="002B2A7F">
        <w:rPr>
          <w:rFonts w:asciiTheme="minorHAnsi" w:hAnsiTheme="minorHAnsi" w:cs="Calibri"/>
        </w:rPr>
        <w:t>Technical Appendix B:</w:t>
      </w:r>
      <w:r w:rsidRPr="002B2A7F">
        <w:rPr>
          <w:rFonts w:asciiTheme="minorHAnsi" w:hAnsiTheme="minorHAnsi" w:cs="Calibri"/>
        </w:rPr>
        <w:tab/>
        <w:t>Policy review</w:t>
      </w:r>
    </w:p>
    <w:p w14:paraId="52D7FDC2" w14:textId="0AB3A171" w:rsidR="001F27D2" w:rsidRDefault="001F27D2" w:rsidP="001F27D2">
      <w:pPr>
        <w:pStyle w:val="bullet"/>
        <w:spacing w:before="0"/>
        <w:ind w:left="360"/>
        <w:jc w:val="left"/>
        <w:rPr>
          <w:rFonts w:asciiTheme="minorHAnsi" w:hAnsiTheme="minorHAnsi" w:cs="Calibri"/>
        </w:rPr>
      </w:pPr>
      <w:r w:rsidRPr="002B2A7F">
        <w:rPr>
          <w:rFonts w:asciiTheme="minorHAnsi" w:hAnsiTheme="minorHAnsi" w:cs="Calibri"/>
        </w:rPr>
        <w:t>Technical Appendix C:</w:t>
      </w:r>
      <w:r w:rsidRPr="002B2A7F">
        <w:rPr>
          <w:rFonts w:asciiTheme="minorHAnsi" w:hAnsiTheme="minorHAnsi" w:cs="Calibri"/>
        </w:rPr>
        <w:tab/>
        <w:t>Housing need calculations</w:t>
      </w:r>
    </w:p>
    <w:p w14:paraId="284516C3" w14:textId="0AD7481E" w:rsidR="00CB4415" w:rsidRPr="002B2A7F" w:rsidRDefault="00CB4415" w:rsidP="001F27D2">
      <w:pPr>
        <w:pStyle w:val="bullet"/>
        <w:spacing w:before="0"/>
        <w:ind w:left="360"/>
        <w:jc w:val="left"/>
        <w:rPr>
          <w:rFonts w:asciiTheme="minorHAnsi" w:hAnsiTheme="minorHAnsi" w:cs="Calibri"/>
        </w:rPr>
      </w:pPr>
      <w:r>
        <w:rPr>
          <w:rFonts w:asciiTheme="minorHAnsi" w:hAnsiTheme="minorHAnsi" w:cs="Calibri"/>
        </w:rPr>
        <w:t>Technical Appendix D:       Stakeholder consultation</w:t>
      </w:r>
    </w:p>
    <w:p w14:paraId="432ED88A" w14:textId="77777777" w:rsidR="001F27D2" w:rsidRPr="002B2A7F" w:rsidRDefault="001F27D2" w:rsidP="001F27D2">
      <w:pPr>
        <w:pStyle w:val="Heading1"/>
        <w:numPr>
          <w:ilvl w:val="0"/>
          <w:numId w:val="0"/>
        </w:numPr>
        <w:ind w:left="709" w:hanging="709"/>
        <w:rPr>
          <w:rFonts w:asciiTheme="minorHAnsi" w:hAnsiTheme="minorHAnsi" w:cs="Calibri"/>
        </w:rPr>
      </w:pPr>
      <w:r w:rsidRPr="002B2A7F">
        <w:rPr>
          <w:rFonts w:asciiTheme="minorHAnsi" w:hAnsiTheme="minorHAnsi" w:cs="Calibri"/>
          <w:sz w:val="20"/>
          <w:szCs w:val="20"/>
        </w:rPr>
        <w:br w:type="page"/>
      </w:r>
      <w:bookmarkStart w:id="634" w:name="_Toc184200207"/>
      <w:bookmarkStart w:id="635" w:name="_Toc225941552"/>
      <w:bookmarkStart w:id="636" w:name="_Toc273708371"/>
      <w:bookmarkStart w:id="637" w:name="_Toc280272441"/>
      <w:bookmarkStart w:id="638" w:name="_Toc318323426"/>
      <w:bookmarkStart w:id="639" w:name="_Toc333507779"/>
      <w:bookmarkStart w:id="640" w:name="_Toc399864427"/>
      <w:bookmarkStart w:id="641" w:name="_Toc428528516"/>
      <w:bookmarkStart w:id="642" w:name="_Toc430084610"/>
      <w:bookmarkStart w:id="643" w:name="_Toc430782049"/>
      <w:bookmarkStart w:id="644" w:name="_Toc395193591"/>
      <w:bookmarkStart w:id="645" w:name="_Toc524935611"/>
      <w:bookmarkStart w:id="646" w:name="_Toc531122911"/>
      <w:bookmarkStart w:id="647" w:name="_Toc532812441"/>
      <w:r w:rsidRPr="002B2A7F">
        <w:rPr>
          <w:rFonts w:asciiTheme="minorHAnsi" w:hAnsiTheme="minorHAnsi" w:cs="Calibri"/>
        </w:rPr>
        <w:lastRenderedPageBreak/>
        <w:t>Technical Appendix A: Research methodology</w:t>
      </w:r>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r w:rsidRPr="002B2A7F">
        <w:rPr>
          <w:rFonts w:asciiTheme="minorHAnsi" w:hAnsiTheme="minorHAnsi" w:cs="Calibri"/>
        </w:rPr>
        <w:t xml:space="preserve"> </w:t>
      </w:r>
    </w:p>
    <w:p w14:paraId="7735F089" w14:textId="77777777" w:rsidR="001F27D2" w:rsidRPr="002B2A7F" w:rsidRDefault="001F27D2" w:rsidP="001F27D2">
      <w:pPr>
        <w:rPr>
          <w:rFonts w:asciiTheme="minorHAnsi" w:hAnsiTheme="minorHAnsi"/>
        </w:rPr>
      </w:pPr>
      <w:bookmarkStart w:id="648" w:name="_Toc184200208"/>
    </w:p>
    <w:p w14:paraId="6B599FC5" w14:textId="77777777" w:rsidR="001F27D2" w:rsidRPr="002B2A7F" w:rsidRDefault="001F27D2" w:rsidP="001F27D2">
      <w:pPr>
        <w:pStyle w:val="Heading2"/>
        <w:rPr>
          <w:rFonts w:asciiTheme="minorHAnsi" w:hAnsiTheme="minorHAnsi" w:cs="Calibri"/>
        </w:rPr>
      </w:pPr>
      <w:bookmarkStart w:id="649" w:name="_Toc225941553"/>
      <w:bookmarkStart w:id="650" w:name="_Toc273698039"/>
      <w:bookmarkStart w:id="651" w:name="_Toc273708372"/>
      <w:bookmarkStart w:id="652" w:name="_Toc276144630"/>
      <w:bookmarkStart w:id="653" w:name="_Toc280272442"/>
      <w:bookmarkStart w:id="654" w:name="_Toc318323427"/>
      <w:bookmarkStart w:id="655" w:name="_Toc320271444"/>
      <w:bookmarkStart w:id="656" w:name="_Toc326077239"/>
      <w:bookmarkStart w:id="657" w:name="_Toc333507780"/>
      <w:bookmarkStart w:id="658" w:name="_Toc360192667"/>
      <w:bookmarkStart w:id="659" w:name="_Toc399864428"/>
      <w:bookmarkStart w:id="660" w:name="_Toc428528517"/>
      <w:bookmarkStart w:id="661" w:name="_Toc430084611"/>
      <w:bookmarkStart w:id="662" w:name="_Toc430782050"/>
      <w:bookmarkStart w:id="663" w:name="_Toc305277839"/>
      <w:bookmarkStart w:id="664" w:name="_Toc432599065"/>
      <w:bookmarkStart w:id="665" w:name="_Toc319240063"/>
      <w:bookmarkStart w:id="666" w:name="_Toc359601882"/>
      <w:bookmarkStart w:id="667" w:name="_Toc391314100"/>
      <w:bookmarkStart w:id="668" w:name="_Toc529652020"/>
      <w:bookmarkStart w:id="669" w:name="_Toc529780792"/>
      <w:bookmarkStart w:id="670" w:name="_Toc531122912"/>
      <w:bookmarkStart w:id="671" w:name="_Toc532812442"/>
      <w:bookmarkStart w:id="672" w:name="_Toc225941555"/>
      <w:bookmarkStart w:id="673" w:name="_Toc273708377"/>
      <w:r w:rsidRPr="002B2A7F">
        <w:rPr>
          <w:rFonts w:asciiTheme="minorHAnsi" w:hAnsiTheme="minorHAnsi" w:cs="Calibri"/>
        </w:rPr>
        <w:t>Overall approach</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p w14:paraId="685326E6" w14:textId="77777777" w:rsidR="001F27D2" w:rsidRPr="002B2A7F" w:rsidRDefault="001F27D2" w:rsidP="00AB06C6">
      <w:pPr>
        <w:pStyle w:val="Maintext"/>
        <w:numPr>
          <w:ilvl w:val="1"/>
          <w:numId w:val="27"/>
        </w:numPr>
        <w:spacing w:before="0"/>
        <w:rPr>
          <w:rFonts w:asciiTheme="minorHAnsi" w:hAnsiTheme="minorHAnsi" w:cs="Calibri"/>
        </w:rPr>
      </w:pPr>
      <w:r w:rsidRPr="002B2A7F">
        <w:rPr>
          <w:rFonts w:asciiTheme="minorHAnsi" w:hAnsiTheme="minorHAnsi" w:cs="Calibri"/>
        </w:rPr>
        <w:t>A multi-method approach was adopted in order to prepare a robust and credible Housing Needs Assessment for Eden District:</w:t>
      </w:r>
    </w:p>
    <w:p w14:paraId="590839C4" w14:textId="42CEED9C" w:rsidR="001F27D2" w:rsidRPr="00AB06C6" w:rsidRDefault="001F27D2" w:rsidP="00AB06C6">
      <w:pPr>
        <w:pStyle w:val="bullet"/>
      </w:pPr>
      <w:r w:rsidRPr="00AB06C6">
        <w:t xml:space="preserve">A survey of households across the </w:t>
      </w:r>
      <w:r w:rsidR="003E42B8">
        <w:t>D</w:t>
      </w:r>
      <w:r w:rsidRPr="00AB06C6">
        <w:t xml:space="preserve">istrict. 10,000 households were contacted and invited to complete a questionnaire. 1,574 questionnaires were returned and used in data analysis. This represents a 15.7% response rate overall resulting in a </w:t>
      </w:r>
      <w:r w:rsidR="003E42B8">
        <w:t>District</w:t>
      </w:r>
      <w:r w:rsidRPr="00AB06C6">
        <w:t>-level sample error of +/-2.1%;</w:t>
      </w:r>
    </w:p>
    <w:p w14:paraId="2B9D09D8" w14:textId="65594E9F" w:rsidR="001F27D2" w:rsidRPr="00AB06C6" w:rsidRDefault="001F27D2" w:rsidP="00AB06C6">
      <w:pPr>
        <w:pStyle w:val="bullet"/>
      </w:pPr>
      <w:r w:rsidRPr="00AB06C6">
        <w:t xml:space="preserve">An online survey of key stakeholders including representatives from </w:t>
      </w:r>
      <w:r w:rsidR="003E42B8">
        <w:t>D</w:t>
      </w:r>
      <w:r w:rsidRPr="00AB06C6">
        <w:t>istrict and county councils, district and parish councillors, housing associations, voluntary groups and some independent representatives;</w:t>
      </w:r>
    </w:p>
    <w:p w14:paraId="428F5DB0" w14:textId="1EB06769" w:rsidR="001F27D2" w:rsidRPr="00AB06C6" w:rsidRDefault="001F27D2" w:rsidP="00AB06C6">
      <w:pPr>
        <w:pStyle w:val="bullet"/>
      </w:pPr>
      <w:r w:rsidRPr="00AB06C6">
        <w:t xml:space="preserve">Interviews with estate and letting agents operating within the </w:t>
      </w:r>
      <w:r w:rsidR="003E42B8">
        <w:t>D</w:t>
      </w:r>
      <w:r w:rsidRPr="00AB06C6">
        <w:t>istrict; and</w:t>
      </w:r>
    </w:p>
    <w:p w14:paraId="110A07F3" w14:textId="77777777" w:rsidR="001F27D2" w:rsidRPr="00AB06C6" w:rsidRDefault="001F27D2" w:rsidP="00AB06C6">
      <w:pPr>
        <w:pStyle w:val="bullet"/>
      </w:pPr>
      <w:r w:rsidRPr="00AB06C6">
        <w:t>A review of relevant secondary data including the 2011 Census, house price trends, CORE lettings data and CLG Statistics.</w:t>
      </w:r>
    </w:p>
    <w:p w14:paraId="48DFB50B" w14:textId="77777777" w:rsidR="001F27D2" w:rsidRPr="002B2A7F" w:rsidRDefault="001F27D2" w:rsidP="001F27D2">
      <w:pPr>
        <w:rPr>
          <w:rFonts w:asciiTheme="minorHAnsi" w:hAnsiTheme="minorHAnsi" w:cs="Calibri"/>
        </w:rPr>
      </w:pPr>
    </w:p>
    <w:p w14:paraId="49313093" w14:textId="63153F3B" w:rsidR="001F27D2" w:rsidRPr="002B2A7F" w:rsidRDefault="001F27D2" w:rsidP="001F27D2">
      <w:pPr>
        <w:pStyle w:val="Heading2"/>
        <w:ind w:left="720" w:hanging="11"/>
        <w:rPr>
          <w:rFonts w:asciiTheme="minorHAnsi" w:hAnsiTheme="minorHAnsi" w:cs="Calibri"/>
        </w:rPr>
      </w:pPr>
      <w:bookmarkStart w:id="674" w:name="_Toc517390813"/>
      <w:bookmarkStart w:id="675" w:name="_Toc391314101"/>
      <w:bookmarkStart w:id="676" w:name="_Toc529652021"/>
      <w:bookmarkStart w:id="677" w:name="_Toc529780793"/>
      <w:bookmarkStart w:id="678" w:name="_Toc531122913"/>
      <w:bookmarkStart w:id="679" w:name="_Toc532812443"/>
      <w:r w:rsidRPr="002B2A7F">
        <w:rPr>
          <w:rFonts w:asciiTheme="minorHAnsi" w:hAnsiTheme="minorHAnsi" w:cs="Calibri"/>
        </w:rPr>
        <w:t xml:space="preserve">Baseline dwelling stock information and </w:t>
      </w:r>
      <w:r w:rsidR="003E42B8">
        <w:rPr>
          <w:rFonts w:asciiTheme="minorHAnsi" w:hAnsiTheme="minorHAnsi" w:cs="Calibri"/>
        </w:rPr>
        <w:t>h</w:t>
      </w:r>
      <w:r w:rsidRPr="002B2A7F">
        <w:rPr>
          <w:rFonts w:asciiTheme="minorHAnsi" w:hAnsiTheme="minorHAnsi" w:cs="Calibri"/>
        </w:rPr>
        <w:t xml:space="preserve">ousehold </w:t>
      </w:r>
      <w:r w:rsidR="003E42B8">
        <w:rPr>
          <w:rFonts w:asciiTheme="minorHAnsi" w:hAnsiTheme="minorHAnsi" w:cs="Calibri"/>
        </w:rPr>
        <w:t>s</w:t>
      </w:r>
      <w:r w:rsidRPr="002B2A7F">
        <w:rPr>
          <w:rFonts w:asciiTheme="minorHAnsi" w:hAnsiTheme="minorHAnsi" w:cs="Calibri"/>
        </w:rPr>
        <w:t>urvey sample errors</w:t>
      </w:r>
      <w:bookmarkEnd w:id="674"/>
      <w:bookmarkEnd w:id="675"/>
      <w:bookmarkEnd w:id="676"/>
      <w:bookmarkEnd w:id="677"/>
      <w:bookmarkEnd w:id="678"/>
      <w:bookmarkEnd w:id="679"/>
    </w:p>
    <w:p w14:paraId="7F215F79" w14:textId="015BDA11" w:rsidR="001F27D2" w:rsidRDefault="001F27D2" w:rsidP="00AB06C6">
      <w:pPr>
        <w:pStyle w:val="Maintext"/>
        <w:numPr>
          <w:ilvl w:val="1"/>
          <w:numId w:val="27"/>
        </w:numPr>
        <w:spacing w:before="0"/>
        <w:rPr>
          <w:rFonts w:asciiTheme="minorHAnsi" w:hAnsiTheme="minorHAnsi" w:cs="Calibri"/>
        </w:rPr>
      </w:pPr>
      <w:r w:rsidRPr="002B2A7F">
        <w:rPr>
          <w:rFonts w:asciiTheme="minorHAnsi" w:hAnsiTheme="minorHAnsi" w:cs="Calibri"/>
        </w:rPr>
        <w:t>Table A1 summarises total dwelling stock and the number of households contacted by survey area, achieved responses and sample errors.</w:t>
      </w:r>
    </w:p>
    <w:p w14:paraId="3BC964C4" w14:textId="77777777" w:rsidR="00AB06C6" w:rsidRPr="002B2A7F" w:rsidRDefault="00AB06C6" w:rsidP="00AB06C6">
      <w:pPr>
        <w:pStyle w:val="Maintext"/>
        <w:numPr>
          <w:ilvl w:val="0"/>
          <w:numId w:val="0"/>
        </w:numPr>
        <w:spacing w:before="0"/>
        <w:ind w:left="709"/>
        <w:rPr>
          <w:rFonts w:asciiTheme="minorHAnsi" w:hAnsiTheme="minorHAnsi" w:cs="Calibri"/>
        </w:rPr>
      </w:pPr>
    </w:p>
    <w:tbl>
      <w:tblPr>
        <w:tblW w:w="5000" w:type="pct"/>
        <w:jc w:val="center"/>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284"/>
        <w:gridCol w:w="1397"/>
        <w:gridCol w:w="1276"/>
        <w:gridCol w:w="1412"/>
        <w:gridCol w:w="817"/>
        <w:gridCol w:w="1050"/>
        <w:gridCol w:w="944"/>
      </w:tblGrid>
      <w:tr w:rsidR="001F27D2" w:rsidRPr="00AB06C6" w14:paraId="6B7CB3C7" w14:textId="77777777" w:rsidTr="00AB06C6">
        <w:trPr>
          <w:trHeight w:val="600"/>
          <w:jc w:val="center"/>
        </w:trPr>
        <w:tc>
          <w:tcPr>
            <w:tcW w:w="5000" w:type="pct"/>
            <w:gridSpan w:val="7"/>
            <w:shd w:val="clear" w:color="auto" w:fill="009999"/>
          </w:tcPr>
          <w:p w14:paraId="3E58B0A0" w14:textId="77777777" w:rsidR="001F27D2" w:rsidRPr="00AB06C6" w:rsidRDefault="001F27D2" w:rsidP="00AB06C6">
            <w:pPr>
              <w:pStyle w:val="Tableheading1"/>
              <w:rPr>
                <w:lang w:eastAsia="en-GB"/>
              </w:rPr>
            </w:pPr>
            <w:bookmarkStart w:id="680" w:name="_Toc517303774"/>
            <w:bookmarkStart w:id="681" w:name="_Toc529652138"/>
            <w:bookmarkStart w:id="682" w:name="_Toc529739490"/>
            <w:bookmarkStart w:id="683" w:name="_Toc531122982"/>
            <w:bookmarkStart w:id="684" w:name="_Toc532812513"/>
            <w:r w:rsidRPr="00AB06C6">
              <w:rPr>
                <w:lang w:eastAsia="en-GB"/>
              </w:rPr>
              <w:t>Table A1</w:t>
            </w:r>
            <w:r w:rsidRPr="00AB06C6">
              <w:rPr>
                <w:lang w:eastAsia="en-GB"/>
              </w:rPr>
              <w:tab/>
              <w:t xml:space="preserve">Household Survey sample </w:t>
            </w:r>
            <w:r w:rsidRPr="00AB06C6">
              <w:t>information</w:t>
            </w:r>
            <w:bookmarkEnd w:id="680"/>
            <w:bookmarkEnd w:id="681"/>
            <w:bookmarkEnd w:id="682"/>
            <w:bookmarkEnd w:id="683"/>
            <w:bookmarkEnd w:id="684"/>
          </w:p>
        </w:tc>
      </w:tr>
      <w:tr w:rsidR="00646A78" w:rsidRPr="00AB06C6" w14:paraId="76EC7F83" w14:textId="77777777" w:rsidTr="00646A78">
        <w:trPr>
          <w:trHeight w:val="277"/>
          <w:jc w:val="center"/>
        </w:trPr>
        <w:tc>
          <w:tcPr>
            <w:tcW w:w="1244" w:type="pct"/>
            <w:vMerge w:val="restart"/>
            <w:shd w:val="clear" w:color="auto" w:fill="009999"/>
            <w:noWrap/>
            <w:tcMar>
              <w:left w:w="108" w:type="dxa"/>
              <w:right w:w="108" w:type="dxa"/>
            </w:tcMar>
            <w:vAlign w:val="bottom"/>
            <w:hideMark/>
          </w:tcPr>
          <w:p w14:paraId="2A09C857" w14:textId="77777777" w:rsidR="00646A78" w:rsidRPr="00AB06C6" w:rsidRDefault="00646A78" w:rsidP="00AB06C6">
            <w:pPr>
              <w:spacing w:before="0" w:after="0"/>
              <w:rPr>
                <w:rFonts w:cs="Calibri"/>
                <w:b/>
                <w:bCs/>
                <w:color w:val="FFFFFF"/>
                <w:sz w:val="22"/>
                <w:szCs w:val="22"/>
                <w:lang w:eastAsia="en-GB"/>
              </w:rPr>
            </w:pPr>
            <w:r w:rsidRPr="00AB06C6">
              <w:rPr>
                <w:rFonts w:cs="Calibri"/>
                <w:b/>
                <w:bCs/>
                <w:color w:val="FFFFFF"/>
                <w:sz w:val="22"/>
                <w:szCs w:val="22"/>
                <w:lang w:eastAsia="en-GB"/>
              </w:rPr>
              <w:t>Housing Market Area</w:t>
            </w:r>
          </w:p>
        </w:tc>
        <w:tc>
          <w:tcPr>
            <w:tcW w:w="761" w:type="pct"/>
            <w:vMerge w:val="restart"/>
            <w:shd w:val="clear" w:color="auto" w:fill="009999"/>
          </w:tcPr>
          <w:p w14:paraId="3EAE0B54" w14:textId="77777777" w:rsidR="00646A78" w:rsidRDefault="00646A78" w:rsidP="00AB06C6">
            <w:pPr>
              <w:spacing w:before="0" w:after="0"/>
              <w:jc w:val="center"/>
              <w:rPr>
                <w:rFonts w:cs="Calibri"/>
                <w:b/>
                <w:bCs/>
                <w:color w:val="FFFFFF"/>
                <w:sz w:val="20"/>
                <w:szCs w:val="22"/>
                <w:lang w:eastAsia="en-GB"/>
              </w:rPr>
            </w:pPr>
            <w:r w:rsidRPr="00AB06C6">
              <w:rPr>
                <w:rFonts w:cs="Calibri"/>
                <w:b/>
                <w:bCs/>
                <w:color w:val="FFFFFF"/>
                <w:sz w:val="20"/>
                <w:szCs w:val="22"/>
                <w:lang w:eastAsia="en-GB"/>
              </w:rPr>
              <w:t xml:space="preserve">Total Dwellings </w:t>
            </w:r>
          </w:p>
          <w:p w14:paraId="7B3FC86D" w14:textId="4AD3E968" w:rsidR="00646A78" w:rsidRPr="00AB06C6" w:rsidRDefault="00646A78" w:rsidP="00AB06C6">
            <w:pPr>
              <w:spacing w:before="0" w:after="0"/>
              <w:jc w:val="center"/>
              <w:rPr>
                <w:rFonts w:cs="Calibri"/>
                <w:b/>
                <w:bCs/>
                <w:color w:val="FFFFFF"/>
                <w:sz w:val="20"/>
                <w:szCs w:val="22"/>
                <w:lang w:eastAsia="en-GB"/>
              </w:rPr>
            </w:pPr>
            <w:r w:rsidRPr="00AB06C6">
              <w:rPr>
                <w:rFonts w:cs="Calibri"/>
                <w:b/>
                <w:bCs/>
                <w:color w:val="FFFFFF"/>
                <w:sz w:val="20"/>
                <w:szCs w:val="22"/>
                <w:lang w:eastAsia="en-GB"/>
              </w:rPr>
              <w:t>(2018 Council Tax)</w:t>
            </w:r>
          </w:p>
        </w:tc>
        <w:tc>
          <w:tcPr>
            <w:tcW w:w="695" w:type="pct"/>
            <w:vMerge w:val="restart"/>
            <w:shd w:val="clear" w:color="auto" w:fill="009999"/>
            <w:vAlign w:val="bottom"/>
          </w:tcPr>
          <w:p w14:paraId="58F8F149" w14:textId="77777777" w:rsidR="00646A78" w:rsidRPr="00AB06C6" w:rsidRDefault="00646A78" w:rsidP="00AB06C6">
            <w:pPr>
              <w:spacing w:before="0" w:after="0"/>
              <w:jc w:val="center"/>
              <w:rPr>
                <w:rFonts w:cs="Calibri"/>
                <w:b/>
                <w:bCs/>
                <w:color w:val="FFFFFF"/>
                <w:sz w:val="20"/>
                <w:szCs w:val="22"/>
                <w:lang w:eastAsia="en-GB"/>
              </w:rPr>
            </w:pPr>
            <w:r w:rsidRPr="00AB06C6">
              <w:rPr>
                <w:rFonts w:cs="Calibri"/>
                <w:b/>
                <w:bCs/>
                <w:color w:val="FFFFFF"/>
                <w:sz w:val="20"/>
                <w:szCs w:val="22"/>
                <w:lang w:eastAsia="en-GB"/>
              </w:rPr>
              <w:t>Mail out</w:t>
            </w:r>
          </w:p>
        </w:tc>
        <w:tc>
          <w:tcPr>
            <w:tcW w:w="769" w:type="pct"/>
            <w:vMerge w:val="restart"/>
            <w:shd w:val="clear" w:color="auto" w:fill="009999"/>
            <w:tcMar>
              <w:left w:w="0" w:type="dxa"/>
              <w:right w:w="0" w:type="dxa"/>
            </w:tcMar>
            <w:vAlign w:val="bottom"/>
          </w:tcPr>
          <w:p w14:paraId="614D68BD" w14:textId="77777777" w:rsidR="00646A78" w:rsidRPr="00AB06C6" w:rsidRDefault="00646A78" w:rsidP="00AB06C6">
            <w:pPr>
              <w:spacing w:before="0" w:after="0"/>
              <w:jc w:val="center"/>
              <w:rPr>
                <w:rFonts w:cs="Calibri"/>
                <w:b/>
                <w:bCs/>
                <w:color w:val="FFFFFF"/>
                <w:sz w:val="20"/>
                <w:szCs w:val="22"/>
                <w:lang w:eastAsia="en-GB"/>
              </w:rPr>
            </w:pPr>
            <w:r w:rsidRPr="00AB06C6">
              <w:rPr>
                <w:rFonts w:cs="Calibri"/>
                <w:b/>
                <w:bCs/>
                <w:color w:val="FFFFFF"/>
                <w:sz w:val="20"/>
                <w:szCs w:val="22"/>
                <w:lang w:eastAsia="en-GB"/>
              </w:rPr>
              <w:t>Achieved Response</w:t>
            </w:r>
          </w:p>
        </w:tc>
        <w:tc>
          <w:tcPr>
            <w:tcW w:w="445" w:type="pct"/>
            <w:vMerge w:val="restart"/>
            <w:shd w:val="clear" w:color="auto" w:fill="009999"/>
            <w:tcMar>
              <w:left w:w="0" w:type="dxa"/>
              <w:right w:w="0" w:type="dxa"/>
            </w:tcMar>
            <w:vAlign w:val="bottom"/>
            <w:hideMark/>
          </w:tcPr>
          <w:p w14:paraId="71B81816" w14:textId="77777777" w:rsidR="00646A78" w:rsidRPr="00AB06C6" w:rsidRDefault="00646A78" w:rsidP="00AB06C6">
            <w:pPr>
              <w:spacing w:before="0" w:after="0"/>
              <w:jc w:val="center"/>
              <w:rPr>
                <w:rFonts w:cs="Calibri"/>
                <w:b/>
                <w:bCs/>
                <w:color w:val="FFFFFF"/>
                <w:sz w:val="20"/>
                <w:szCs w:val="22"/>
                <w:lang w:eastAsia="en-GB"/>
              </w:rPr>
            </w:pPr>
            <w:r w:rsidRPr="00AB06C6">
              <w:rPr>
                <w:rFonts w:cs="Calibri"/>
                <w:b/>
                <w:bCs/>
                <w:color w:val="FFFFFF"/>
                <w:sz w:val="20"/>
                <w:szCs w:val="22"/>
                <w:lang w:eastAsia="en-GB"/>
              </w:rPr>
              <w:t>Sampling Error</w:t>
            </w:r>
          </w:p>
        </w:tc>
        <w:tc>
          <w:tcPr>
            <w:tcW w:w="1086" w:type="pct"/>
            <w:gridSpan w:val="2"/>
            <w:shd w:val="clear" w:color="auto" w:fill="009999"/>
          </w:tcPr>
          <w:p w14:paraId="3E8106BE" w14:textId="77777777" w:rsidR="00646A78" w:rsidRPr="00AB06C6" w:rsidRDefault="00646A78" w:rsidP="00AB06C6">
            <w:pPr>
              <w:spacing w:before="0" w:after="0"/>
              <w:jc w:val="center"/>
              <w:rPr>
                <w:rFonts w:cs="Calibri"/>
                <w:b/>
                <w:bCs/>
                <w:color w:val="FFFFFF"/>
                <w:sz w:val="20"/>
                <w:szCs w:val="22"/>
                <w:lang w:eastAsia="en-GB"/>
              </w:rPr>
            </w:pPr>
            <w:r w:rsidRPr="00AB06C6">
              <w:rPr>
                <w:rFonts w:cs="Calibri"/>
                <w:b/>
                <w:bCs/>
                <w:color w:val="FFFFFF"/>
                <w:sz w:val="20"/>
                <w:szCs w:val="22"/>
                <w:lang w:eastAsia="en-GB"/>
              </w:rPr>
              <w:t>Achieved Response Rate</w:t>
            </w:r>
          </w:p>
        </w:tc>
      </w:tr>
      <w:tr w:rsidR="00646A78" w:rsidRPr="00AB06C6" w14:paraId="0AE71808" w14:textId="77777777" w:rsidTr="00646A78">
        <w:trPr>
          <w:trHeight w:val="277"/>
          <w:jc w:val="center"/>
        </w:trPr>
        <w:tc>
          <w:tcPr>
            <w:tcW w:w="1244" w:type="pct"/>
            <w:vMerge/>
            <w:shd w:val="clear" w:color="auto" w:fill="009999"/>
            <w:noWrap/>
            <w:tcMar>
              <w:left w:w="108" w:type="dxa"/>
              <w:right w:w="108" w:type="dxa"/>
            </w:tcMar>
            <w:vAlign w:val="bottom"/>
          </w:tcPr>
          <w:p w14:paraId="69E4B248" w14:textId="77777777" w:rsidR="00646A78" w:rsidRPr="00AB06C6" w:rsidRDefault="00646A78" w:rsidP="00AB06C6">
            <w:pPr>
              <w:spacing w:before="0" w:after="0"/>
              <w:rPr>
                <w:rFonts w:cs="Calibri"/>
                <w:b/>
                <w:bCs/>
                <w:color w:val="FFFFFF"/>
                <w:sz w:val="22"/>
                <w:szCs w:val="22"/>
                <w:lang w:eastAsia="en-GB"/>
              </w:rPr>
            </w:pPr>
          </w:p>
        </w:tc>
        <w:tc>
          <w:tcPr>
            <w:tcW w:w="761" w:type="pct"/>
            <w:vMerge/>
            <w:shd w:val="clear" w:color="auto" w:fill="009999"/>
          </w:tcPr>
          <w:p w14:paraId="4441C444" w14:textId="77777777" w:rsidR="00646A78" w:rsidRPr="00AB06C6" w:rsidRDefault="00646A78" w:rsidP="00AB06C6">
            <w:pPr>
              <w:spacing w:before="0" w:after="0"/>
              <w:jc w:val="center"/>
              <w:rPr>
                <w:rFonts w:cs="Calibri"/>
                <w:b/>
                <w:bCs/>
                <w:color w:val="FFFFFF"/>
                <w:sz w:val="20"/>
                <w:szCs w:val="22"/>
                <w:lang w:eastAsia="en-GB"/>
              </w:rPr>
            </w:pPr>
          </w:p>
        </w:tc>
        <w:tc>
          <w:tcPr>
            <w:tcW w:w="695" w:type="pct"/>
            <w:vMerge/>
            <w:shd w:val="clear" w:color="auto" w:fill="009999"/>
            <w:vAlign w:val="bottom"/>
          </w:tcPr>
          <w:p w14:paraId="2A13497C" w14:textId="77777777" w:rsidR="00646A78" w:rsidRPr="00AB06C6" w:rsidRDefault="00646A78" w:rsidP="00AB06C6">
            <w:pPr>
              <w:spacing w:before="0" w:after="0"/>
              <w:jc w:val="center"/>
              <w:rPr>
                <w:rFonts w:cs="Calibri"/>
                <w:b/>
                <w:bCs/>
                <w:color w:val="FFFFFF"/>
                <w:sz w:val="20"/>
                <w:szCs w:val="22"/>
                <w:lang w:eastAsia="en-GB"/>
              </w:rPr>
            </w:pPr>
          </w:p>
        </w:tc>
        <w:tc>
          <w:tcPr>
            <w:tcW w:w="769" w:type="pct"/>
            <w:vMerge/>
            <w:shd w:val="clear" w:color="auto" w:fill="009999"/>
            <w:tcMar>
              <w:left w:w="0" w:type="dxa"/>
              <w:right w:w="0" w:type="dxa"/>
            </w:tcMar>
            <w:vAlign w:val="bottom"/>
          </w:tcPr>
          <w:p w14:paraId="40F6D949" w14:textId="77777777" w:rsidR="00646A78" w:rsidRPr="00AB06C6" w:rsidRDefault="00646A78" w:rsidP="00AB06C6">
            <w:pPr>
              <w:spacing w:before="0" w:after="0"/>
              <w:jc w:val="center"/>
              <w:rPr>
                <w:rFonts w:cs="Calibri"/>
                <w:b/>
                <w:bCs/>
                <w:color w:val="FFFFFF"/>
                <w:sz w:val="20"/>
                <w:szCs w:val="22"/>
                <w:lang w:eastAsia="en-GB"/>
              </w:rPr>
            </w:pPr>
          </w:p>
        </w:tc>
        <w:tc>
          <w:tcPr>
            <w:tcW w:w="445" w:type="pct"/>
            <w:vMerge/>
            <w:shd w:val="clear" w:color="auto" w:fill="009999"/>
            <w:tcMar>
              <w:left w:w="0" w:type="dxa"/>
              <w:right w:w="0" w:type="dxa"/>
            </w:tcMar>
            <w:vAlign w:val="bottom"/>
          </w:tcPr>
          <w:p w14:paraId="58FAAB0C" w14:textId="77777777" w:rsidR="00646A78" w:rsidRPr="00AB06C6" w:rsidRDefault="00646A78" w:rsidP="00AB06C6">
            <w:pPr>
              <w:spacing w:before="0" w:after="0"/>
              <w:jc w:val="center"/>
              <w:rPr>
                <w:rFonts w:cs="Calibri"/>
                <w:b/>
                <w:bCs/>
                <w:color w:val="FFFFFF"/>
                <w:sz w:val="20"/>
                <w:szCs w:val="22"/>
                <w:lang w:eastAsia="en-GB"/>
              </w:rPr>
            </w:pPr>
          </w:p>
        </w:tc>
        <w:tc>
          <w:tcPr>
            <w:tcW w:w="572" w:type="pct"/>
            <w:shd w:val="clear" w:color="auto" w:fill="009999"/>
            <w:vAlign w:val="bottom"/>
          </w:tcPr>
          <w:p w14:paraId="2380C9EC" w14:textId="77777777" w:rsidR="00646A78" w:rsidRPr="00AB06C6" w:rsidRDefault="00646A78" w:rsidP="00AB06C6">
            <w:pPr>
              <w:spacing w:before="0" w:after="0"/>
              <w:jc w:val="center"/>
              <w:rPr>
                <w:rFonts w:cs="Calibri"/>
                <w:b/>
                <w:bCs/>
                <w:color w:val="FFFFFF"/>
                <w:sz w:val="20"/>
                <w:szCs w:val="22"/>
                <w:lang w:eastAsia="en-GB"/>
              </w:rPr>
            </w:pPr>
            <w:r w:rsidRPr="00AB06C6">
              <w:rPr>
                <w:rFonts w:cs="Calibri"/>
                <w:b/>
                <w:bCs/>
                <w:color w:val="FFFFFF"/>
                <w:sz w:val="20"/>
                <w:szCs w:val="22"/>
                <w:lang w:eastAsia="en-GB"/>
              </w:rPr>
              <w:t>Response Rate (%)</w:t>
            </w:r>
          </w:p>
        </w:tc>
        <w:tc>
          <w:tcPr>
            <w:tcW w:w="514" w:type="pct"/>
            <w:shd w:val="clear" w:color="auto" w:fill="009999"/>
            <w:tcMar>
              <w:left w:w="0" w:type="dxa"/>
              <w:right w:w="0" w:type="dxa"/>
            </w:tcMar>
            <w:vAlign w:val="bottom"/>
          </w:tcPr>
          <w:p w14:paraId="1ECF1F0E" w14:textId="77777777" w:rsidR="00646A78" w:rsidRPr="00AB06C6" w:rsidRDefault="00646A78" w:rsidP="00AB06C6">
            <w:pPr>
              <w:spacing w:before="0" w:after="0"/>
              <w:jc w:val="center"/>
              <w:rPr>
                <w:rFonts w:cs="Calibri"/>
                <w:b/>
                <w:bCs/>
                <w:color w:val="FFFFFF"/>
                <w:sz w:val="20"/>
                <w:szCs w:val="22"/>
                <w:lang w:eastAsia="en-GB"/>
              </w:rPr>
            </w:pPr>
            <w:r w:rsidRPr="00AB06C6">
              <w:rPr>
                <w:rFonts w:cs="Calibri"/>
                <w:b/>
                <w:bCs/>
                <w:color w:val="FFFFFF"/>
                <w:sz w:val="20"/>
                <w:szCs w:val="22"/>
                <w:lang w:eastAsia="en-GB"/>
              </w:rPr>
              <w:t>Census or Sample</w:t>
            </w:r>
          </w:p>
        </w:tc>
      </w:tr>
      <w:tr w:rsidR="00646A78" w:rsidRPr="00AB06C6" w14:paraId="6D63AFB5" w14:textId="77777777" w:rsidTr="00646A78">
        <w:trPr>
          <w:trHeight w:val="285"/>
          <w:jc w:val="center"/>
        </w:trPr>
        <w:tc>
          <w:tcPr>
            <w:tcW w:w="1244" w:type="pct"/>
            <w:shd w:val="clear" w:color="auto" w:fill="auto"/>
            <w:noWrap/>
            <w:tcMar>
              <w:left w:w="108" w:type="dxa"/>
              <w:right w:w="108" w:type="dxa"/>
            </w:tcMar>
            <w:vAlign w:val="bottom"/>
          </w:tcPr>
          <w:p w14:paraId="5E91AA5E" w14:textId="77777777" w:rsidR="00646A78" w:rsidRPr="00AB06C6" w:rsidRDefault="00646A78" w:rsidP="00AB06C6">
            <w:pPr>
              <w:spacing w:before="0" w:after="0"/>
              <w:rPr>
                <w:rFonts w:cs="Calibri"/>
                <w:sz w:val="22"/>
                <w:szCs w:val="22"/>
              </w:rPr>
            </w:pPr>
            <w:r w:rsidRPr="00AB06C6">
              <w:rPr>
                <w:rFonts w:cs="Calibri"/>
                <w:color w:val="000000"/>
                <w:sz w:val="22"/>
                <w:szCs w:val="22"/>
              </w:rPr>
              <w:t>HMA1A Penrith Urban</w:t>
            </w:r>
          </w:p>
        </w:tc>
        <w:tc>
          <w:tcPr>
            <w:tcW w:w="761" w:type="pct"/>
            <w:vAlign w:val="bottom"/>
          </w:tcPr>
          <w:p w14:paraId="19387054" w14:textId="24314E1B" w:rsidR="00646A78" w:rsidRPr="00AB06C6" w:rsidRDefault="00646A78" w:rsidP="00AB06C6">
            <w:pPr>
              <w:spacing w:before="0" w:after="0"/>
              <w:jc w:val="center"/>
              <w:rPr>
                <w:rFonts w:cs="Calibri"/>
                <w:color w:val="000000"/>
                <w:sz w:val="22"/>
                <w:szCs w:val="22"/>
                <w:lang w:eastAsia="en-GB"/>
              </w:rPr>
            </w:pPr>
            <w:r w:rsidRPr="00AB06C6">
              <w:rPr>
                <w:rFonts w:cs="Calibri"/>
                <w:bCs/>
                <w:color w:val="000000"/>
                <w:sz w:val="22"/>
                <w:szCs w:val="22"/>
              </w:rPr>
              <w:t>7,806</w:t>
            </w:r>
          </w:p>
        </w:tc>
        <w:tc>
          <w:tcPr>
            <w:tcW w:w="695" w:type="pct"/>
            <w:vAlign w:val="bottom"/>
          </w:tcPr>
          <w:p w14:paraId="253A03F5" w14:textId="77777777" w:rsidR="00646A78" w:rsidRPr="00AB06C6" w:rsidRDefault="00646A78" w:rsidP="00AB06C6">
            <w:pPr>
              <w:spacing w:before="0" w:after="0"/>
              <w:jc w:val="center"/>
              <w:rPr>
                <w:rFonts w:cs="Calibri"/>
                <w:color w:val="000000"/>
                <w:sz w:val="22"/>
                <w:szCs w:val="22"/>
                <w:lang w:eastAsia="en-GB"/>
              </w:rPr>
            </w:pPr>
            <w:r w:rsidRPr="00AB06C6">
              <w:rPr>
                <w:rFonts w:cs="Calibri"/>
                <w:sz w:val="22"/>
                <w:szCs w:val="22"/>
              </w:rPr>
              <w:t>1,667</w:t>
            </w:r>
          </w:p>
        </w:tc>
        <w:tc>
          <w:tcPr>
            <w:tcW w:w="769" w:type="pct"/>
            <w:shd w:val="clear" w:color="auto" w:fill="auto"/>
            <w:noWrap/>
            <w:tcMar>
              <w:left w:w="0" w:type="dxa"/>
              <w:right w:w="0" w:type="dxa"/>
            </w:tcMar>
            <w:vAlign w:val="bottom"/>
          </w:tcPr>
          <w:p w14:paraId="3DB6A5BF" w14:textId="77777777" w:rsidR="00646A78" w:rsidRPr="00AB06C6" w:rsidRDefault="00646A78" w:rsidP="00AB06C6">
            <w:pPr>
              <w:spacing w:before="0" w:after="0"/>
              <w:jc w:val="center"/>
              <w:rPr>
                <w:rFonts w:cs="Calibri"/>
                <w:color w:val="000000"/>
                <w:sz w:val="22"/>
                <w:szCs w:val="22"/>
                <w:lang w:eastAsia="en-GB"/>
              </w:rPr>
            </w:pPr>
            <w:r w:rsidRPr="00AB06C6">
              <w:rPr>
                <w:rFonts w:cs="Calibri"/>
                <w:sz w:val="22"/>
                <w:szCs w:val="22"/>
              </w:rPr>
              <w:t>227</w:t>
            </w:r>
          </w:p>
        </w:tc>
        <w:tc>
          <w:tcPr>
            <w:tcW w:w="445" w:type="pct"/>
            <w:shd w:val="clear" w:color="auto" w:fill="auto"/>
            <w:noWrap/>
            <w:tcMar>
              <w:left w:w="0" w:type="dxa"/>
              <w:right w:w="0" w:type="dxa"/>
            </w:tcMar>
            <w:vAlign w:val="bottom"/>
          </w:tcPr>
          <w:p w14:paraId="23015EC4" w14:textId="77777777" w:rsidR="00646A78" w:rsidRPr="00AB06C6" w:rsidRDefault="00646A78" w:rsidP="00AB06C6">
            <w:pPr>
              <w:spacing w:before="0" w:after="0"/>
              <w:jc w:val="center"/>
              <w:rPr>
                <w:rFonts w:cs="Calibri"/>
                <w:color w:val="000000"/>
                <w:sz w:val="22"/>
                <w:szCs w:val="22"/>
                <w:lang w:eastAsia="en-GB"/>
              </w:rPr>
            </w:pPr>
            <w:r w:rsidRPr="00AB06C6">
              <w:rPr>
                <w:rFonts w:cs="Calibri"/>
                <w:sz w:val="22"/>
                <w:szCs w:val="22"/>
              </w:rPr>
              <w:t>6.4%</w:t>
            </w:r>
          </w:p>
        </w:tc>
        <w:tc>
          <w:tcPr>
            <w:tcW w:w="572" w:type="pct"/>
            <w:vAlign w:val="bottom"/>
          </w:tcPr>
          <w:p w14:paraId="069D3888" w14:textId="77777777" w:rsidR="00646A78" w:rsidRPr="00AB06C6" w:rsidRDefault="00646A78" w:rsidP="00AB06C6">
            <w:pPr>
              <w:spacing w:before="0" w:after="0"/>
              <w:jc w:val="center"/>
              <w:rPr>
                <w:rFonts w:cs="Calibri"/>
                <w:color w:val="000000"/>
                <w:sz w:val="22"/>
                <w:szCs w:val="22"/>
                <w:lang w:eastAsia="en-GB"/>
              </w:rPr>
            </w:pPr>
            <w:r w:rsidRPr="00AB06C6">
              <w:rPr>
                <w:rFonts w:cs="Calibri"/>
                <w:sz w:val="22"/>
                <w:szCs w:val="22"/>
              </w:rPr>
              <w:t>13.6</w:t>
            </w:r>
          </w:p>
        </w:tc>
        <w:tc>
          <w:tcPr>
            <w:tcW w:w="514" w:type="pct"/>
            <w:shd w:val="clear" w:color="auto" w:fill="auto"/>
            <w:noWrap/>
            <w:tcMar>
              <w:left w:w="0" w:type="dxa"/>
              <w:right w:w="0" w:type="dxa"/>
            </w:tcMar>
            <w:vAlign w:val="center"/>
          </w:tcPr>
          <w:p w14:paraId="588E7D24" w14:textId="77777777" w:rsidR="00646A78" w:rsidRPr="00AB06C6" w:rsidRDefault="00646A78" w:rsidP="00AB06C6">
            <w:pPr>
              <w:spacing w:before="0" w:after="0"/>
              <w:jc w:val="center"/>
              <w:rPr>
                <w:rFonts w:cs="Calibri"/>
                <w:color w:val="000000"/>
                <w:sz w:val="22"/>
                <w:szCs w:val="22"/>
                <w:lang w:eastAsia="en-GB"/>
              </w:rPr>
            </w:pPr>
            <w:r w:rsidRPr="00AB06C6">
              <w:rPr>
                <w:rFonts w:cs="Calibri"/>
                <w:color w:val="000000"/>
                <w:sz w:val="22"/>
                <w:szCs w:val="22"/>
                <w:lang w:eastAsia="en-GB"/>
              </w:rPr>
              <w:t>Sample</w:t>
            </w:r>
          </w:p>
        </w:tc>
      </w:tr>
      <w:tr w:rsidR="00646A78" w:rsidRPr="00AB06C6" w14:paraId="760ACB85" w14:textId="77777777" w:rsidTr="00646A78">
        <w:trPr>
          <w:trHeight w:val="285"/>
          <w:jc w:val="center"/>
        </w:trPr>
        <w:tc>
          <w:tcPr>
            <w:tcW w:w="1244" w:type="pct"/>
            <w:shd w:val="clear" w:color="auto" w:fill="auto"/>
            <w:noWrap/>
            <w:tcMar>
              <w:left w:w="108" w:type="dxa"/>
              <w:right w:w="108" w:type="dxa"/>
            </w:tcMar>
            <w:vAlign w:val="bottom"/>
          </w:tcPr>
          <w:p w14:paraId="2458A698" w14:textId="77777777" w:rsidR="00646A78" w:rsidRPr="00AB06C6" w:rsidRDefault="00646A78" w:rsidP="00AB06C6">
            <w:pPr>
              <w:spacing w:before="0" w:after="0"/>
              <w:rPr>
                <w:rFonts w:cs="Calibri"/>
                <w:color w:val="000000"/>
                <w:sz w:val="22"/>
                <w:szCs w:val="22"/>
                <w:lang w:eastAsia="en-GB"/>
              </w:rPr>
            </w:pPr>
            <w:r w:rsidRPr="00AB06C6">
              <w:rPr>
                <w:rFonts w:cs="Calibri"/>
                <w:color w:val="000000"/>
                <w:sz w:val="22"/>
                <w:szCs w:val="22"/>
              </w:rPr>
              <w:t>HMA1B Penrith Rural</w:t>
            </w:r>
          </w:p>
        </w:tc>
        <w:tc>
          <w:tcPr>
            <w:tcW w:w="761" w:type="pct"/>
            <w:vAlign w:val="bottom"/>
          </w:tcPr>
          <w:p w14:paraId="16067006" w14:textId="3560C851" w:rsidR="00646A78" w:rsidRPr="00AB06C6" w:rsidRDefault="00646A78" w:rsidP="00AB06C6">
            <w:pPr>
              <w:spacing w:before="0" w:after="0"/>
              <w:jc w:val="center"/>
              <w:rPr>
                <w:rFonts w:cs="Calibri"/>
                <w:color w:val="000000"/>
                <w:sz w:val="22"/>
                <w:szCs w:val="22"/>
                <w:lang w:eastAsia="en-GB"/>
              </w:rPr>
            </w:pPr>
            <w:r w:rsidRPr="00AB06C6">
              <w:rPr>
                <w:rFonts w:cs="Calibri"/>
                <w:bCs/>
                <w:color w:val="000000"/>
                <w:sz w:val="22"/>
                <w:szCs w:val="22"/>
              </w:rPr>
              <w:t>5,352</w:t>
            </w:r>
          </w:p>
        </w:tc>
        <w:tc>
          <w:tcPr>
            <w:tcW w:w="695" w:type="pct"/>
            <w:vAlign w:val="bottom"/>
          </w:tcPr>
          <w:p w14:paraId="100444DD" w14:textId="77777777" w:rsidR="00646A78" w:rsidRPr="00AB06C6" w:rsidRDefault="00646A78" w:rsidP="00AB06C6">
            <w:pPr>
              <w:spacing w:before="0" w:after="0"/>
              <w:jc w:val="center"/>
              <w:rPr>
                <w:rFonts w:cs="Calibri"/>
                <w:color w:val="000000"/>
                <w:sz w:val="22"/>
                <w:szCs w:val="22"/>
                <w:lang w:eastAsia="en-GB"/>
              </w:rPr>
            </w:pPr>
            <w:r w:rsidRPr="00AB06C6">
              <w:rPr>
                <w:rFonts w:cs="Calibri"/>
                <w:sz w:val="22"/>
                <w:szCs w:val="22"/>
              </w:rPr>
              <w:t>1,667</w:t>
            </w:r>
          </w:p>
        </w:tc>
        <w:tc>
          <w:tcPr>
            <w:tcW w:w="769" w:type="pct"/>
            <w:shd w:val="clear" w:color="auto" w:fill="auto"/>
            <w:noWrap/>
            <w:tcMar>
              <w:left w:w="0" w:type="dxa"/>
              <w:right w:w="0" w:type="dxa"/>
            </w:tcMar>
            <w:vAlign w:val="bottom"/>
          </w:tcPr>
          <w:p w14:paraId="0ED28BFC" w14:textId="77777777" w:rsidR="00646A78" w:rsidRPr="00AB06C6" w:rsidRDefault="00646A78" w:rsidP="00AB06C6">
            <w:pPr>
              <w:spacing w:before="0" w:after="0"/>
              <w:jc w:val="center"/>
              <w:rPr>
                <w:rFonts w:cs="Calibri"/>
                <w:color w:val="000000"/>
                <w:sz w:val="22"/>
                <w:szCs w:val="22"/>
                <w:lang w:eastAsia="en-GB"/>
              </w:rPr>
            </w:pPr>
            <w:r w:rsidRPr="00AB06C6">
              <w:rPr>
                <w:rFonts w:cs="Calibri"/>
                <w:sz w:val="22"/>
                <w:szCs w:val="22"/>
              </w:rPr>
              <w:t>301</w:t>
            </w:r>
          </w:p>
        </w:tc>
        <w:tc>
          <w:tcPr>
            <w:tcW w:w="445" w:type="pct"/>
            <w:shd w:val="clear" w:color="auto" w:fill="auto"/>
            <w:noWrap/>
            <w:tcMar>
              <w:left w:w="0" w:type="dxa"/>
              <w:right w:w="0" w:type="dxa"/>
            </w:tcMar>
            <w:vAlign w:val="bottom"/>
          </w:tcPr>
          <w:p w14:paraId="3E50F0C7" w14:textId="77777777" w:rsidR="00646A78" w:rsidRPr="00AB06C6" w:rsidRDefault="00646A78" w:rsidP="00AB06C6">
            <w:pPr>
              <w:spacing w:before="0" w:after="0"/>
              <w:jc w:val="center"/>
              <w:rPr>
                <w:rFonts w:cs="Calibri"/>
                <w:color w:val="000000"/>
                <w:sz w:val="22"/>
                <w:szCs w:val="22"/>
                <w:lang w:eastAsia="en-GB"/>
              </w:rPr>
            </w:pPr>
            <w:r w:rsidRPr="00AB06C6">
              <w:rPr>
                <w:rFonts w:cs="Calibri"/>
                <w:sz w:val="22"/>
                <w:szCs w:val="22"/>
              </w:rPr>
              <w:t>5.5%</w:t>
            </w:r>
          </w:p>
        </w:tc>
        <w:tc>
          <w:tcPr>
            <w:tcW w:w="572" w:type="pct"/>
            <w:vAlign w:val="bottom"/>
          </w:tcPr>
          <w:p w14:paraId="4231DEE8" w14:textId="77777777" w:rsidR="00646A78" w:rsidRPr="00AB06C6" w:rsidRDefault="00646A78" w:rsidP="00AB06C6">
            <w:pPr>
              <w:spacing w:before="0" w:after="0"/>
              <w:jc w:val="center"/>
              <w:rPr>
                <w:rFonts w:cs="Calibri"/>
                <w:color w:val="000000"/>
                <w:sz w:val="22"/>
                <w:szCs w:val="22"/>
                <w:lang w:eastAsia="en-GB"/>
              </w:rPr>
            </w:pPr>
            <w:r w:rsidRPr="00AB06C6">
              <w:rPr>
                <w:rFonts w:cs="Calibri"/>
                <w:sz w:val="22"/>
                <w:szCs w:val="22"/>
              </w:rPr>
              <w:t>18.1</w:t>
            </w:r>
          </w:p>
        </w:tc>
        <w:tc>
          <w:tcPr>
            <w:tcW w:w="514" w:type="pct"/>
            <w:shd w:val="clear" w:color="auto" w:fill="auto"/>
            <w:noWrap/>
            <w:tcMar>
              <w:left w:w="0" w:type="dxa"/>
              <w:right w:w="0" w:type="dxa"/>
            </w:tcMar>
            <w:vAlign w:val="center"/>
          </w:tcPr>
          <w:p w14:paraId="0E41313E" w14:textId="77777777" w:rsidR="00646A78" w:rsidRPr="00AB06C6" w:rsidRDefault="00646A78" w:rsidP="00AB06C6">
            <w:pPr>
              <w:spacing w:before="0" w:after="0"/>
              <w:jc w:val="center"/>
              <w:rPr>
                <w:rFonts w:cs="Calibri"/>
                <w:color w:val="000000"/>
                <w:sz w:val="22"/>
                <w:szCs w:val="22"/>
                <w:lang w:eastAsia="en-GB"/>
              </w:rPr>
            </w:pPr>
            <w:r w:rsidRPr="00AB06C6">
              <w:rPr>
                <w:rFonts w:cs="Calibri"/>
                <w:color w:val="000000"/>
                <w:sz w:val="22"/>
                <w:szCs w:val="22"/>
                <w:lang w:eastAsia="en-GB"/>
              </w:rPr>
              <w:t>Sample</w:t>
            </w:r>
          </w:p>
        </w:tc>
      </w:tr>
      <w:tr w:rsidR="00646A78" w:rsidRPr="00AB06C6" w14:paraId="7F9E8F4B" w14:textId="77777777" w:rsidTr="00646A78">
        <w:trPr>
          <w:trHeight w:val="285"/>
          <w:jc w:val="center"/>
        </w:trPr>
        <w:tc>
          <w:tcPr>
            <w:tcW w:w="1244" w:type="pct"/>
            <w:shd w:val="clear" w:color="auto" w:fill="auto"/>
            <w:noWrap/>
            <w:tcMar>
              <w:left w:w="108" w:type="dxa"/>
              <w:right w:w="108" w:type="dxa"/>
            </w:tcMar>
            <w:vAlign w:val="bottom"/>
          </w:tcPr>
          <w:p w14:paraId="172EAFC5" w14:textId="77777777" w:rsidR="00646A78" w:rsidRPr="00AB06C6" w:rsidRDefault="00646A78" w:rsidP="00AB06C6">
            <w:pPr>
              <w:spacing w:before="0" w:after="0"/>
              <w:rPr>
                <w:rFonts w:cs="Calibri"/>
                <w:sz w:val="22"/>
                <w:szCs w:val="22"/>
              </w:rPr>
            </w:pPr>
            <w:r w:rsidRPr="00AB06C6">
              <w:rPr>
                <w:rFonts w:cs="Calibri"/>
                <w:color w:val="000000"/>
                <w:sz w:val="22"/>
                <w:szCs w:val="22"/>
              </w:rPr>
              <w:t>HMA2 Appleby</w:t>
            </w:r>
          </w:p>
        </w:tc>
        <w:tc>
          <w:tcPr>
            <w:tcW w:w="761" w:type="pct"/>
            <w:vAlign w:val="bottom"/>
          </w:tcPr>
          <w:p w14:paraId="7B1443E3" w14:textId="3F53E2EE" w:rsidR="00646A78" w:rsidRPr="00AB06C6" w:rsidRDefault="00646A78" w:rsidP="00AB06C6">
            <w:pPr>
              <w:spacing w:before="0" w:after="0"/>
              <w:jc w:val="center"/>
              <w:rPr>
                <w:rFonts w:cs="Calibri"/>
                <w:color w:val="000000"/>
                <w:sz w:val="22"/>
                <w:szCs w:val="22"/>
                <w:lang w:eastAsia="en-GB"/>
              </w:rPr>
            </w:pPr>
            <w:r w:rsidRPr="00AB06C6">
              <w:rPr>
                <w:rFonts w:cs="Calibri"/>
                <w:bCs/>
                <w:color w:val="000000"/>
                <w:sz w:val="22"/>
                <w:szCs w:val="22"/>
              </w:rPr>
              <w:t>4,524</w:t>
            </w:r>
          </w:p>
        </w:tc>
        <w:tc>
          <w:tcPr>
            <w:tcW w:w="695" w:type="pct"/>
            <w:vAlign w:val="bottom"/>
          </w:tcPr>
          <w:p w14:paraId="537D572C" w14:textId="77777777" w:rsidR="00646A78" w:rsidRPr="00AB06C6" w:rsidRDefault="00646A78" w:rsidP="00AB06C6">
            <w:pPr>
              <w:spacing w:before="0" w:after="0"/>
              <w:jc w:val="center"/>
              <w:rPr>
                <w:rFonts w:cs="Calibri"/>
                <w:color w:val="000000"/>
                <w:sz w:val="22"/>
                <w:szCs w:val="22"/>
                <w:lang w:eastAsia="en-GB"/>
              </w:rPr>
            </w:pPr>
            <w:r w:rsidRPr="00AB06C6">
              <w:rPr>
                <w:rFonts w:cs="Calibri"/>
                <w:sz w:val="22"/>
                <w:szCs w:val="22"/>
              </w:rPr>
              <w:t>1,667</w:t>
            </w:r>
          </w:p>
        </w:tc>
        <w:tc>
          <w:tcPr>
            <w:tcW w:w="769" w:type="pct"/>
            <w:shd w:val="clear" w:color="auto" w:fill="auto"/>
            <w:noWrap/>
            <w:tcMar>
              <w:left w:w="0" w:type="dxa"/>
              <w:right w:w="0" w:type="dxa"/>
            </w:tcMar>
            <w:vAlign w:val="bottom"/>
          </w:tcPr>
          <w:p w14:paraId="0A8608A2" w14:textId="77777777" w:rsidR="00646A78" w:rsidRPr="00AB06C6" w:rsidRDefault="00646A78" w:rsidP="00AB06C6">
            <w:pPr>
              <w:spacing w:before="0" w:after="0"/>
              <w:jc w:val="center"/>
              <w:rPr>
                <w:rFonts w:cs="Calibri"/>
                <w:color w:val="000000"/>
                <w:sz w:val="22"/>
                <w:szCs w:val="22"/>
                <w:lang w:eastAsia="en-GB"/>
              </w:rPr>
            </w:pPr>
            <w:r w:rsidRPr="00AB06C6">
              <w:rPr>
                <w:rFonts w:cs="Calibri"/>
                <w:sz w:val="22"/>
                <w:szCs w:val="22"/>
              </w:rPr>
              <w:t>263</w:t>
            </w:r>
          </w:p>
        </w:tc>
        <w:tc>
          <w:tcPr>
            <w:tcW w:w="445" w:type="pct"/>
            <w:shd w:val="clear" w:color="auto" w:fill="auto"/>
            <w:noWrap/>
            <w:tcMar>
              <w:left w:w="0" w:type="dxa"/>
              <w:right w:w="0" w:type="dxa"/>
            </w:tcMar>
            <w:vAlign w:val="bottom"/>
          </w:tcPr>
          <w:p w14:paraId="5305D391" w14:textId="77777777" w:rsidR="00646A78" w:rsidRPr="00AB06C6" w:rsidRDefault="00646A78" w:rsidP="00AB06C6">
            <w:pPr>
              <w:spacing w:before="0" w:after="0"/>
              <w:jc w:val="center"/>
              <w:rPr>
                <w:rFonts w:cs="Calibri"/>
                <w:color w:val="000000"/>
                <w:sz w:val="22"/>
                <w:szCs w:val="22"/>
                <w:lang w:eastAsia="en-GB"/>
              </w:rPr>
            </w:pPr>
            <w:r w:rsidRPr="00AB06C6">
              <w:rPr>
                <w:rFonts w:cs="Calibri"/>
                <w:sz w:val="22"/>
                <w:szCs w:val="22"/>
              </w:rPr>
              <w:t>5.8%</w:t>
            </w:r>
          </w:p>
        </w:tc>
        <w:tc>
          <w:tcPr>
            <w:tcW w:w="572" w:type="pct"/>
            <w:vAlign w:val="bottom"/>
          </w:tcPr>
          <w:p w14:paraId="21923BAB" w14:textId="77777777" w:rsidR="00646A78" w:rsidRPr="00AB06C6" w:rsidRDefault="00646A78" w:rsidP="00AB06C6">
            <w:pPr>
              <w:spacing w:before="0" w:after="0"/>
              <w:jc w:val="center"/>
              <w:rPr>
                <w:rFonts w:cs="Calibri"/>
                <w:color w:val="000000"/>
                <w:sz w:val="22"/>
                <w:szCs w:val="22"/>
                <w:lang w:eastAsia="en-GB"/>
              </w:rPr>
            </w:pPr>
            <w:r w:rsidRPr="00AB06C6">
              <w:rPr>
                <w:rFonts w:cs="Calibri"/>
                <w:sz w:val="22"/>
                <w:szCs w:val="22"/>
              </w:rPr>
              <w:t>15.8</w:t>
            </w:r>
          </w:p>
        </w:tc>
        <w:tc>
          <w:tcPr>
            <w:tcW w:w="514" w:type="pct"/>
            <w:shd w:val="clear" w:color="auto" w:fill="auto"/>
            <w:noWrap/>
            <w:tcMar>
              <w:left w:w="0" w:type="dxa"/>
              <w:right w:w="0" w:type="dxa"/>
            </w:tcMar>
            <w:vAlign w:val="center"/>
          </w:tcPr>
          <w:p w14:paraId="0207C85F" w14:textId="77777777" w:rsidR="00646A78" w:rsidRPr="00AB06C6" w:rsidRDefault="00646A78" w:rsidP="00AB06C6">
            <w:pPr>
              <w:spacing w:before="0" w:after="0"/>
              <w:jc w:val="center"/>
              <w:rPr>
                <w:rFonts w:cs="Calibri"/>
                <w:color w:val="000000"/>
                <w:sz w:val="22"/>
                <w:szCs w:val="22"/>
                <w:lang w:eastAsia="en-GB"/>
              </w:rPr>
            </w:pPr>
            <w:r w:rsidRPr="00AB06C6">
              <w:rPr>
                <w:rFonts w:cs="Calibri"/>
                <w:color w:val="000000"/>
                <w:sz w:val="22"/>
                <w:szCs w:val="22"/>
                <w:lang w:eastAsia="en-GB"/>
              </w:rPr>
              <w:t>Sample</w:t>
            </w:r>
          </w:p>
        </w:tc>
      </w:tr>
      <w:tr w:rsidR="00646A78" w:rsidRPr="00AB06C6" w14:paraId="5EA46467" w14:textId="77777777" w:rsidTr="00646A78">
        <w:trPr>
          <w:trHeight w:val="285"/>
          <w:jc w:val="center"/>
        </w:trPr>
        <w:tc>
          <w:tcPr>
            <w:tcW w:w="1244" w:type="pct"/>
            <w:shd w:val="clear" w:color="auto" w:fill="auto"/>
            <w:noWrap/>
            <w:tcMar>
              <w:left w:w="108" w:type="dxa"/>
              <w:right w:w="108" w:type="dxa"/>
            </w:tcMar>
            <w:vAlign w:val="bottom"/>
          </w:tcPr>
          <w:p w14:paraId="00EC2597" w14:textId="77777777" w:rsidR="00646A78" w:rsidRPr="00AB06C6" w:rsidRDefault="00646A78" w:rsidP="00AB06C6">
            <w:pPr>
              <w:spacing w:before="0" w:after="0"/>
              <w:rPr>
                <w:rFonts w:cs="Calibri"/>
                <w:color w:val="000000"/>
                <w:sz w:val="22"/>
                <w:szCs w:val="22"/>
                <w:lang w:eastAsia="en-GB"/>
              </w:rPr>
            </w:pPr>
            <w:r w:rsidRPr="00AB06C6">
              <w:rPr>
                <w:rFonts w:cs="Calibri"/>
                <w:color w:val="000000"/>
                <w:sz w:val="22"/>
                <w:szCs w:val="22"/>
              </w:rPr>
              <w:t>HMA3 Kirkby Stephen</w:t>
            </w:r>
          </w:p>
        </w:tc>
        <w:tc>
          <w:tcPr>
            <w:tcW w:w="761" w:type="pct"/>
            <w:vAlign w:val="bottom"/>
          </w:tcPr>
          <w:p w14:paraId="616BDC30" w14:textId="033424D7" w:rsidR="00646A78" w:rsidRPr="00AB06C6" w:rsidRDefault="00646A78" w:rsidP="00AB06C6">
            <w:pPr>
              <w:spacing w:before="0" w:after="0"/>
              <w:jc w:val="center"/>
              <w:rPr>
                <w:rFonts w:cs="Calibri"/>
                <w:color w:val="000000"/>
                <w:sz w:val="22"/>
                <w:szCs w:val="22"/>
                <w:lang w:eastAsia="en-GB"/>
              </w:rPr>
            </w:pPr>
            <w:r w:rsidRPr="00AB06C6">
              <w:rPr>
                <w:rFonts w:cs="Calibri"/>
                <w:bCs/>
                <w:color w:val="000000"/>
                <w:sz w:val="22"/>
                <w:szCs w:val="22"/>
              </w:rPr>
              <w:t>3,373</w:t>
            </w:r>
          </w:p>
        </w:tc>
        <w:tc>
          <w:tcPr>
            <w:tcW w:w="695" w:type="pct"/>
            <w:vAlign w:val="bottom"/>
          </w:tcPr>
          <w:p w14:paraId="01EB0A50" w14:textId="77777777" w:rsidR="00646A78" w:rsidRPr="00AB06C6" w:rsidRDefault="00646A78" w:rsidP="00AB06C6">
            <w:pPr>
              <w:spacing w:before="0" w:after="0"/>
              <w:jc w:val="center"/>
              <w:rPr>
                <w:rFonts w:cs="Calibri"/>
                <w:color w:val="000000"/>
                <w:sz w:val="22"/>
                <w:szCs w:val="22"/>
                <w:lang w:eastAsia="en-GB"/>
              </w:rPr>
            </w:pPr>
            <w:r w:rsidRPr="00AB06C6">
              <w:rPr>
                <w:rFonts w:cs="Calibri"/>
                <w:sz w:val="22"/>
                <w:szCs w:val="22"/>
              </w:rPr>
              <w:t>1,667</w:t>
            </w:r>
          </w:p>
        </w:tc>
        <w:tc>
          <w:tcPr>
            <w:tcW w:w="769" w:type="pct"/>
            <w:shd w:val="clear" w:color="auto" w:fill="auto"/>
            <w:noWrap/>
            <w:tcMar>
              <w:left w:w="0" w:type="dxa"/>
              <w:right w:w="0" w:type="dxa"/>
            </w:tcMar>
            <w:vAlign w:val="bottom"/>
          </w:tcPr>
          <w:p w14:paraId="30F74F9E" w14:textId="77777777" w:rsidR="00646A78" w:rsidRPr="00AB06C6" w:rsidRDefault="00646A78" w:rsidP="00AB06C6">
            <w:pPr>
              <w:spacing w:before="0" w:after="0"/>
              <w:jc w:val="center"/>
              <w:rPr>
                <w:rFonts w:cs="Calibri"/>
                <w:color w:val="000000"/>
                <w:sz w:val="22"/>
                <w:szCs w:val="22"/>
                <w:lang w:eastAsia="en-GB"/>
              </w:rPr>
            </w:pPr>
            <w:r w:rsidRPr="00AB06C6">
              <w:rPr>
                <w:rFonts w:cs="Calibri"/>
                <w:sz w:val="22"/>
                <w:szCs w:val="22"/>
              </w:rPr>
              <w:t>255</w:t>
            </w:r>
          </w:p>
        </w:tc>
        <w:tc>
          <w:tcPr>
            <w:tcW w:w="445" w:type="pct"/>
            <w:shd w:val="clear" w:color="auto" w:fill="auto"/>
            <w:noWrap/>
            <w:tcMar>
              <w:left w:w="0" w:type="dxa"/>
              <w:right w:w="0" w:type="dxa"/>
            </w:tcMar>
            <w:vAlign w:val="bottom"/>
          </w:tcPr>
          <w:p w14:paraId="1AB62EDA" w14:textId="77777777" w:rsidR="00646A78" w:rsidRPr="00AB06C6" w:rsidRDefault="00646A78" w:rsidP="00AB06C6">
            <w:pPr>
              <w:spacing w:before="0" w:after="0"/>
              <w:jc w:val="center"/>
              <w:rPr>
                <w:rFonts w:cs="Calibri"/>
                <w:color w:val="000000"/>
                <w:sz w:val="22"/>
                <w:szCs w:val="22"/>
                <w:lang w:eastAsia="en-GB"/>
              </w:rPr>
            </w:pPr>
            <w:r w:rsidRPr="00AB06C6">
              <w:rPr>
                <w:rFonts w:cs="Calibri"/>
                <w:sz w:val="22"/>
                <w:szCs w:val="22"/>
              </w:rPr>
              <w:t>5.9%</w:t>
            </w:r>
          </w:p>
        </w:tc>
        <w:tc>
          <w:tcPr>
            <w:tcW w:w="572" w:type="pct"/>
            <w:vAlign w:val="bottom"/>
          </w:tcPr>
          <w:p w14:paraId="5A30327E" w14:textId="77777777" w:rsidR="00646A78" w:rsidRPr="00AB06C6" w:rsidRDefault="00646A78" w:rsidP="00AB06C6">
            <w:pPr>
              <w:spacing w:before="0" w:after="0"/>
              <w:jc w:val="center"/>
              <w:rPr>
                <w:rFonts w:cs="Calibri"/>
                <w:color w:val="000000"/>
                <w:sz w:val="22"/>
                <w:szCs w:val="22"/>
                <w:lang w:eastAsia="en-GB"/>
              </w:rPr>
            </w:pPr>
            <w:r w:rsidRPr="00AB06C6">
              <w:rPr>
                <w:rFonts w:cs="Calibri"/>
                <w:sz w:val="22"/>
                <w:szCs w:val="22"/>
              </w:rPr>
              <w:t>15.3</w:t>
            </w:r>
          </w:p>
        </w:tc>
        <w:tc>
          <w:tcPr>
            <w:tcW w:w="514" w:type="pct"/>
            <w:shd w:val="clear" w:color="auto" w:fill="auto"/>
            <w:noWrap/>
            <w:tcMar>
              <w:left w:w="0" w:type="dxa"/>
              <w:right w:w="0" w:type="dxa"/>
            </w:tcMar>
            <w:vAlign w:val="center"/>
          </w:tcPr>
          <w:p w14:paraId="060DE8B0" w14:textId="77777777" w:rsidR="00646A78" w:rsidRPr="00AB06C6" w:rsidRDefault="00646A78" w:rsidP="00AB06C6">
            <w:pPr>
              <w:spacing w:before="0" w:after="0"/>
              <w:jc w:val="center"/>
              <w:rPr>
                <w:rFonts w:cs="Calibri"/>
                <w:color w:val="000000"/>
                <w:sz w:val="22"/>
                <w:szCs w:val="22"/>
                <w:lang w:eastAsia="en-GB"/>
              </w:rPr>
            </w:pPr>
            <w:r w:rsidRPr="00AB06C6">
              <w:rPr>
                <w:rFonts w:cs="Calibri"/>
                <w:color w:val="000000"/>
                <w:sz w:val="22"/>
                <w:szCs w:val="22"/>
                <w:lang w:eastAsia="en-GB"/>
              </w:rPr>
              <w:t>Sample</w:t>
            </w:r>
          </w:p>
        </w:tc>
      </w:tr>
      <w:tr w:rsidR="00646A78" w:rsidRPr="00AB06C6" w14:paraId="675C97DA" w14:textId="77777777" w:rsidTr="00646A78">
        <w:trPr>
          <w:trHeight w:val="285"/>
          <w:jc w:val="center"/>
        </w:trPr>
        <w:tc>
          <w:tcPr>
            <w:tcW w:w="1244" w:type="pct"/>
            <w:shd w:val="clear" w:color="auto" w:fill="auto"/>
            <w:noWrap/>
            <w:tcMar>
              <w:left w:w="108" w:type="dxa"/>
              <w:right w:w="108" w:type="dxa"/>
            </w:tcMar>
            <w:vAlign w:val="bottom"/>
          </w:tcPr>
          <w:p w14:paraId="63ACB3A9" w14:textId="77777777" w:rsidR="00646A78" w:rsidRPr="00AB06C6" w:rsidRDefault="00646A78" w:rsidP="00AB06C6">
            <w:pPr>
              <w:spacing w:before="0" w:after="0"/>
              <w:rPr>
                <w:rFonts w:cs="Calibri"/>
                <w:color w:val="000000"/>
                <w:sz w:val="22"/>
                <w:szCs w:val="22"/>
                <w:lang w:eastAsia="en-GB"/>
              </w:rPr>
            </w:pPr>
            <w:r w:rsidRPr="00AB06C6">
              <w:rPr>
                <w:rFonts w:cs="Calibri"/>
                <w:color w:val="000000"/>
                <w:sz w:val="22"/>
                <w:szCs w:val="22"/>
              </w:rPr>
              <w:t>HMA4 Alston</w:t>
            </w:r>
          </w:p>
        </w:tc>
        <w:tc>
          <w:tcPr>
            <w:tcW w:w="761" w:type="pct"/>
            <w:vAlign w:val="bottom"/>
          </w:tcPr>
          <w:p w14:paraId="72F16D00" w14:textId="34ED034B" w:rsidR="00646A78" w:rsidRPr="00AB06C6" w:rsidRDefault="00646A78" w:rsidP="00AB06C6">
            <w:pPr>
              <w:spacing w:before="0" w:after="0"/>
              <w:jc w:val="center"/>
              <w:rPr>
                <w:rFonts w:cs="Calibri"/>
                <w:color w:val="000000"/>
                <w:sz w:val="22"/>
                <w:szCs w:val="22"/>
                <w:lang w:eastAsia="en-GB"/>
              </w:rPr>
            </w:pPr>
            <w:r w:rsidRPr="00AB06C6">
              <w:rPr>
                <w:rFonts w:cs="Calibri"/>
                <w:bCs/>
                <w:color w:val="000000"/>
                <w:sz w:val="22"/>
                <w:szCs w:val="22"/>
              </w:rPr>
              <w:t>1,821</w:t>
            </w:r>
          </w:p>
        </w:tc>
        <w:tc>
          <w:tcPr>
            <w:tcW w:w="695" w:type="pct"/>
            <w:vAlign w:val="bottom"/>
          </w:tcPr>
          <w:p w14:paraId="32EF8A84" w14:textId="77777777" w:rsidR="00646A78" w:rsidRPr="00AB06C6" w:rsidRDefault="00646A78" w:rsidP="00AB06C6">
            <w:pPr>
              <w:spacing w:before="0" w:after="0"/>
              <w:jc w:val="center"/>
              <w:rPr>
                <w:rFonts w:cs="Calibri"/>
                <w:color w:val="000000"/>
                <w:sz w:val="22"/>
                <w:szCs w:val="22"/>
                <w:lang w:eastAsia="en-GB"/>
              </w:rPr>
            </w:pPr>
            <w:r w:rsidRPr="00AB06C6">
              <w:rPr>
                <w:rFonts w:cs="Calibri"/>
                <w:sz w:val="22"/>
                <w:szCs w:val="22"/>
              </w:rPr>
              <w:t>1,666</w:t>
            </w:r>
          </w:p>
        </w:tc>
        <w:tc>
          <w:tcPr>
            <w:tcW w:w="769" w:type="pct"/>
            <w:shd w:val="clear" w:color="auto" w:fill="auto"/>
            <w:noWrap/>
            <w:tcMar>
              <w:left w:w="0" w:type="dxa"/>
              <w:right w:w="0" w:type="dxa"/>
            </w:tcMar>
            <w:vAlign w:val="bottom"/>
          </w:tcPr>
          <w:p w14:paraId="2AA1CAFD" w14:textId="77777777" w:rsidR="00646A78" w:rsidRPr="00AB06C6" w:rsidRDefault="00646A78" w:rsidP="00AB06C6">
            <w:pPr>
              <w:spacing w:before="0" w:after="0"/>
              <w:jc w:val="center"/>
              <w:rPr>
                <w:rFonts w:cs="Calibri"/>
                <w:color w:val="000000"/>
                <w:sz w:val="22"/>
                <w:szCs w:val="22"/>
                <w:lang w:eastAsia="en-GB"/>
              </w:rPr>
            </w:pPr>
            <w:r w:rsidRPr="00AB06C6">
              <w:rPr>
                <w:rFonts w:cs="Calibri"/>
                <w:sz w:val="22"/>
                <w:szCs w:val="22"/>
              </w:rPr>
              <w:t>242</w:t>
            </w:r>
          </w:p>
        </w:tc>
        <w:tc>
          <w:tcPr>
            <w:tcW w:w="445" w:type="pct"/>
            <w:shd w:val="clear" w:color="auto" w:fill="auto"/>
            <w:noWrap/>
            <w:tcMar>
              <w:left w:w="0" w:type="dxa"/>
              <w:right w:w="0" w:type="dxa"/>
            </w:tcMar>
            <w:vAlign w:val="bottom"/>
          </w:tcPr>
          <w:p w14:paraId="1BF50801" w14:textId="77777777" w:rsidR="00646A78" w:rsidRPr="00AB06C6" w:rsidRDefault="00646A78" w:rsidP="00AB06C6">
            <w:pPr>
              <w:spacing w:before="0" w:after="0"/>
              <w:jc w:val="center"/>
              <w:rPr>
                <w:rFonts w:cs="Calibri"/>
                <w:color w:val="000000"/>
                <w:sz w:val="22"/>
                <w:szCs w:val="22"/>
                <w:lang w:eastAsia="en-GB"/>
              </w:rPr>
            </w:pPr>
            <w:r w:rsidRPr="00AB06C6">
              <w:rPr>
                <w:rFonts w:cs="Calibri"/>
                <w:sz w:val="22"/>
                <w:szCs w:val="22"/>
              </w:rPr>
              <w:t>5.8%</w:t>
            </w:r>
          </w:p>
        </w:tc>
        <w:tc>
          <w:tcPr>
            <w:tcW w:w="572" w:type="pct"/>
            <w:vAlign w:val="bottom"/>
          </w:tcPr>
          <w:p w14:paraId="2240DBC4" w14:textId="77777777" w:rsidR="00646A78" w:rsidRPr="00AB06C6" w:rsidRDefault="00646A78" w:rsidP="00AB06C6">
            <w:pPr>
              <w:spacing w:before="0" w:after="0"/>
              <w:jc w:val="center"/>
              <w:rPr>
                <w:rFonts w:cs="Calibri"/>
                <w:color w:val="000000"/>
                <w:sz w:val="22"/>
                <w:szCs w:val="22"/>
                <w:lang w:eastAsia="en-GB"/>
              </w:rPr>
            </w:pPr>
            <w:r w:rsidRPr="00AB06C6">
              <w:rPr>
                <w:rFonts w:cs="Calibri"/>
                <w:sz w:val="22"/>
                <w:szCs w:val="22"/>
              </w:rPr>
              <w:t>14.5</w:t>
            </w:r>
          </w:p>
        </w:tc>
        <w:tc>
          <w:tcPr>
            <w:tcW w:w="514" w:type="pct"/>
            <w:shd w:val="clear" w:color="auto" w:fill="auto"/>
            <w:noWrap/>
            <w:tcMar>
              <w:left w:w="0" w:type="dxa"/>
              <w:right w:w="0" w:type="dxa"/>
            </w:tcMar>
            <w:vAlign w:val="center"/>
          </w:tcPr>
          <w:p w14:paraId="2D3BBA08" w14:textId="77777777" w:rsidR="00646A78" w:rsidRPr="00AB06C6" w:rsidRDefault="00646A78" w:rsidP="00AB06C6">
            <w:pPr>
              <w:spacing w:before="0" w:after="0"/>
              <w:jc w:val="center"/>
              <w:rPr>
                <w:rFonts w:cs="Calibri"/>
                <w:color w:val="000000"/>
                <w:sz w:val="22"/>
                <w:szCs w:val="22"/>
                <w:lang w:eastAsia="en-GB"/>
              </w:rPr>
            </w:pPr>
            <w:r w:rsidRPr="00AB06C6">
              <w:rPr>
                <w:rFonts w:cs="Calibri"/>
                <w:color w:val="000000"/>
                <w:sz w:val="22"/>
                <w:szCs w:val="22"/>
                <w:lang w:eastAsia="en-GB"/>
              </w:rPr>
              <w:t>Sample</w:t>
            </w:r>
          </w:p>
        </w:tc>
      </w:tr>
      <w:tr w:rsidR="00646A78" w:rsidRPr="00AB06C6" w14:paraId="185A0DF7" w14:textId="77777777" w:rsidTr="00646A78">
        <w:trPr>
          <w:trHeight w:val="285"/>
          <w:jc w:val="center"/>
        </w:trPr>
        <w:tc>
          <w:tcPr>
            <w:tcW w:w="1244" w:type="pct"/>
            <w:shd w:val="clear" w:color="auto" w:fill="auto"/>
            <w:noWrap/>
            <w:tcMar>
              <w:left w:w="108" w:type="dxa"/>
              <w:right w:w="108" w:type="dxa"/>
            </w:tcMar>
            <w:vAlign w:val="bottom"/>
          </w:tcPr>
          <w:p w14:paraId="663A62F4" w14:textId="77777777" w:rsidR="00646A78" w:rsidRPr="00AB06C6" w:rsidRDefault="00646A78" w:rsidP="00AB06C6">
            <w:pPr>
              <w:spacing w:before="0" w:after="0"/>
              <w:rPr>
                <w:rFonts w:cs="Calibri"/>
                <w:color w:val="000000"/>
                <w:sz w:val="22"/>
                <w:szCs w:val="22"/>
                <w:lang w:eastAsia="en-GB"/>
              </w:rPr>
            </w:pPr>
            <w:r w:rsidRPr="00AB06C6">
              <w:rPr>
                <w:rFonts w:cs="Calibri"/>
                <w:color w:val="000000"/>
                <w:sz w:val="22"/>
                <w:szCs w:val="22"/>
              </w:rPr>
              <w:t>HMA5 West of M6</w:t>
            </w:r>
          </w:p>
        </w:tc>
        <w:tc>
          <w:tcPr>
            <w:tcW w:w="761" w:type="pct"/>
            <w:vAlign w:val="bottom"/>
          </w:tcPr>
          <w:p w14:paraId="5301BAAD" w14:textId="6AF93449" w:rsidR="00646A78" w:rsidRPr="00AB06C6" w:rsidRDefault="00646A78" w:rsidP="00AB06C6">
            <w:pPr>
              <w:spacing w:before="0" w:after="0"/>
              <w:jc w:val="center"/>
              <w:rPr>
                <w:rFonts w:cs="Calibri"/>
                <w:color w:val="000000"/>
                <w:sz w:val="22"/>
                <w:szCs w:val="22"/>
                <w:lang w:eastAsia="en-GB"/>
              </w:rPr>
            </w:pPr>
            <w:r w:rsidRPr="00AB06C6">
              <w:rPr>
                <w:rFonts w:cs="Calibri"/>
                <w:bCs/>
                <w:color w:val="000000"/>
                <w:sz w:val="22"/>
                <w:szCs w:val="22"/>
              </w:rPr>
              <w:t>3,121</w:t>
            </w:r>
          </w:p>
        </w:tc>
        <w:tc>
          <w:tcPr>
            <w:tcW w:w="695" w:type="pct"/>
            <w:vAlign w:val="bottom"/>
          </w:tcPr>
          <w:p w14:paraId="04635BB0" w14:textId="77777777" w:rsidR="00646A78" w:rsidRPr="00AB06C6" w:rsidRDefault="00646A78" w:rsidP="00AB06C6">
            <w:pPr>
              <w:spacing w:before="0" w:after="0"/>
              <w:jc w:val="center"/>
              <w:rPr>
                <w:rFonts w:cs="Calibri"/>
                <w:color w:val="000000"/>
                <w:sz w:val="22"/>
                <w:szCs w:val="22"/>
                <w:lang w:eastAsia="en-GB"/>
              </w:rPr>
            </w:pPr>
            <w:r w:rsidRPr="00AB06C6">
              <w:rPr>
                <w:rFonts w:cs="Calibri"/>
                <w:sz w:val="22"/>
                <w:szCs w:val="22"/>
              </w:rPr>
              <w:t>1,666</w:t>
            </w:r>
          </w:p>
        </w:tc>
        <w:tc>
          <w:tcPr>
            <w:tcW w:w="769" w:type="pct"/>
            <w:shd w:val="clear" w:color="auto" w:fill="auto"/>
            <w:noWrap/>
            <w:tcMar>
              <w:left w:w="0" w:type="dxa"/>
              <w:right w:w="0" w:type="dxa"/>
            </w:tcMar>
            <w:vAlign w:val="bottom"/>
          </w:tcPr>
          <w:p w14:paraId="72C1246F" w14:textId="77777777" w:rsidR="00646A78" w:rsidRPr="00AB06C6" w:rsidRDefault="00646A78" w:rsidP="00AB06C6">
            <w:pPr>
              <w:spacing w:before="0" w:after="0"/>
              <w:jc w:val="center"/>
              <w:rPr>
                <w:rFonts w:cs="Calibri"/>
                <w:color w:val="000000"/>
                <w:sz w:val="22"/>
                <w:szCs w:val="22"/>
                <w:lang w:eastAsia="en-GB"/>
              </w:rPr>
            </w:pPr>
            <w:r w:rsidRPr="00AB06C6">
              <w:rPr>
                <w:rFonts w:cs="Calibri"/>
                <w:sz w:val="22"/>
                <w:szCs w:val="22"/>
              </w:rPr>
              <w:t>286</w:t>
            </w:r>
          </w:p>
        </w:tc>
        <w:tc>
          <w:tcPr>
            <w:tcW w:w="445" w:type="pct"/>
            <w:shd w:val="clear" w:color="auto" w:fill="auto"/>
            <w:noWrap/>
            <w:tcMar>
              <w:left w:w="0" w:type="dxa"/>
              <w:right w:w="0" w:type="dxa"/>
            </w:tcMar>
            <w:vAlign w:val="bottom"/>
          </w:tcPr>
          <w:p w14:paraId="769FAAAF" w14:textId="77777777" w:rsidR="00646A78" w:rsidRPr="00AB06C6" w:rsidRDefault="00646A78" w:rsidP="00AB06C6">
            <w:pPr>
              <w:spacing w:before="0" w:after="0"/>
              <w:jc w:val="center"/>
              <w:rPr>
                <w:rFonts w:cs="Calibri"/>
                <w:color w:val="000000"/>
                <w:sz w:val="22"/>
                <w:szCs w:val="22"/>
                <w:lang w:eastAsia="en-GB"/>
              </w:rPr>
            </w:pPr>
            <w:r w:rsidRPr="00AB06C6">
              <w:rPr>
                <w:rFonts w:cs="Calibri"/>
                <w:sz w:val="22"/>
                <w:szCs w:val="22"/>
              </w:rPr>
              <w:t>5.5%</w:t>
            </w:r>
          </w:p>
        </w:tc>
        <w:tc>
          <w:tcPr>
            <w:tcW w:w="572" w:type="pct"/>
            <w:vAlign w:val="bottom"/>
          </w:tcPr>
          <w:p w14:paraId="6663FF39" w14:textId="77777777" w:rsidR="00646A78" w:rsidRPr="00AB06C6" w:rsidRDefault="00646A78" w:rsidP="00AB06C6">
            <w:pPr>
              <w:spacing w:before="0" w:after="0"/>
              <w:jc w:val="center"/>
              <w:rPr>
                <w:rFonts w:cs="Calibri"/>
                <w:color w:val="000000"/>
                <w:sz w:val="22"/>
                <w:szCs w:val="22"/>
                <w:lang w:eastAsia="en-GB"/>
              </w:rPr>
            </w:pPr>
            <w:r w:rsidRPr="00AB06C6">
              <w:rPr>
                <w:rFonts w:cs="Calibri"/>
                <w:sz w:val="22"/>
                <w:szCs w:val="22"/>
              </w:rPr>
              <w:t>17.2</w:t>
            </w:r>
          </w:p>
        </w:tc>
        <w:tc>
          <w:tcPr>
            <w:tcW w:w="514" w:type="pct"/>
            <w:shd w:val="clear" w:color="auto" w:fill="auto"/>
            <w:noWrap/>
            <w:tcMar>
              <w:left w:w="0" w:type="dxa"/>
              <w:right w:w="0" w:type="dxa"/>
            </w:tcMar>
            <w:vAlign w:val="center"/>
          </w:tcPr>
          <w:p w14:paraId="25430D18" w14:textId="77777777" w:rsidR="00646A78" w:rsidRPr="00AB06C6" w:rsidRDefault="00646A78" w:rsidP="00AB06C6">
            <w:pPr>
              <w:spacing w:before="0" w:after="0"/>
              <w:jc w:val="center"/>
              <w:rPr>
                <w:rFonts w:cs="Calibri"/>
                <w:color w:val="000000"/>
                <w:sz w:val="22"/>
                <w:szCs w:val="22"/>
                <w:lang w:eastAsia="en-GB"/>
              </w:rPr>
            </w:pPr>
            <w:r w:rsidRPr="00AB06C6">
              <w:rPr>
                <w:rFonts w:cs="Calibri"/>
                <w:color w:val="000000"/>
                <w:sz w:val="22"/>
                <w:szCs w:val="22"/>
                <w:lang w:eastAsia="en-GB"/>
              </w:rPr>
              <w:t>Sample</w:t>
            </w:r>
          </w:p>
        </w:tc>
      </w:tr>
      <w:tr w:rsidR="00646A78" w:rsidRPr="00AB06C6" w14:paraId="2945E196" w14:textId="77777777" w:rsidTr="00646A78">
        <w:trPr>
          <w:trHeight w:val="285"/>
          <w:jc w:val="center"/>
        </w:trPr>
        <w:tc>
          <w:tcPr>
            <w:tcW w:w="1244" w:type="pct"/>
            <w:shd w:val="clear" w:color="auto" w:fill="auto"/>
            <w:noWrap/>
            <w:tcMar>
              <w:left w:w="108" w:type="dxa"/>
              <w:right w:w="108" w:type="dxa"/>
            </w:tcMar>
            <w:vAlign w:val="bottom"/>
          </w:tcPr>
          <w:p w14:paraId="51D671B4" w14:textId="77777777" w:rsidR="00646A78" w:rsidRPr="00AB06C6" w:rsidRDefault="00646A78" w:rsidP="00AB06C6">
            <w:pPr>
              <w:spacing w:before="0" w:after="0"/>
              <w:rPr>
                <w:rFonts w:cs="Calibri"/>
                <w:color w:val="000000"/>
                <w:sz w:val="22"/>
                <w:szCs w:val="22"/>
                <w:lang w:eastAsia="en-GB"/>
              </w:rPr>
            </w:pPr>
            <w:r w:rsidRPr="00AB06C6">
              <w:rPr>
                <w:rFonts w:cs="Calibri"/>
                <w:color w:val="000000"/>
                <w:sz w:val="22"/>
                <w:szCs w:val="22"/>
              </w:rPr>
              <w:t>Total</w:t>
            </w:r>
          </w:p>
        </w:tc>
        <w:tc>
          <w:tcPr>
            <w:tcW w:w="761" w:type="pct"/>
            <w:vAlign w:val="bottom"/>
          </w:tcPr>
          <w:p w14:paraId="46150D4D" w14:textId="6D9A12E6" w:rsidR="00646A78" w:rsidRPr="00AB06C6" w:rsidRDefault="00646A78" w:rsidP="00AB06C6">
            <w:pPr>
              <w:spacing w:before="0" w:after="0"/>
              <w:jc w:val="center"/>
              <w:rPr>
                <w:rFonts w:cs="Calibri"/>
                <w:color w:val="000000"/>
                <w:sz w:val="22"/>
                <w:szCs w:val="22"/>
                <w:lang w:eastAsia="en-GB"/>
              </w:rPr>
            </w:pPr>
            <w:r w:rsidRPr="00AB06C6">
              <w:rPr>
                <w:rFonts w:cs="Calibri"/>
                <w:bCs/>
                <w:color w:val="000000"/>
                <w:sz w:val="22"/>
                <w:szCs w:val="22"/>
              </w:rPr>
              <w:t>25,997</w:t>
            </w:r>
          </w:p>
        </w:tc>
        <w:tc>
          <w:tcPr>
            <w:tcW w:w="695" w:type="pct"/>
            <w:vAlign w:val="center"/>
          </w:tcPr>
          <w:p w14:paraId="30AC18B1" w14:textId="77777777" w:rsidR="00646A78" w:rsidRPr="00AB06C6" w:rsidRDefault="00646A78" w:rsidP="00AB06C6">
            <w:pPr>
              <w:spacing w:before="0" w:after="0"/>
              <w:jc w:val="center"/>
              <w:rPr>
                <w:rFonts w:cs="Calibri"/>
                <w:color w:val="000000"/>
                <w:sz w:val="22"/>
                <w:szCs w:val="22"/>
                <w:lang w:eastAsia="en-GB"/>
              </w:rPr>
            </w:pPr>
            <w:r w:rsidRPr="00AB06C6">
              <w:rPr>
                <w:rFonts w:cs="Calibri"/>
                <w:color w:val="000000"/>
                <w:sz w:val="22"/>
                <w:szCs w:val="22"/>
                <w:lang w:eastAsia="en-GB"/>
              </w:rPr>
              <w:t>10,000</w:t>
            </w:r>
          </w:p>
        </w:tc>
        <w:tc>
          <w:tcPr>
            <w:tcW w:w="769" w:type="pct"/>
            <w:shd w:val="clear" w:color="auto" w:fill="auto"/>
            <w:noWrap/>
            <w:tcMar>
              <w:left w:w="0" w:type="dxa"/>
              <w:right w:w="0" w:type="dxa"/>
            </w:tcMar>
            <w:vAlign w:val="bottom"/>
          </w:tcPr>
          <w:p w14:paraId="553C1059" w14:textId="77777777" w:rsidR="00646A78" w:rsidRPr="00AB06C6" w:rsidRDefault="00646A78" w:rsidP="00AB06C6">
            <w:pPr>
              <w:spacing w:before="0" w:after="0"/>
              <w:jc w:val="center"/>
              <w:rPr>
                <w:rFonts w:cs="Calibri"/>
                <w:color w:val="000000"/>
                <w:sz w:val="22"/>
                <w:szCs w:val="22"/>
                <w:lang w:eastAsia="en-GB"/>
              </w:rPr>
            </w:pPr>
            <w:r w:rsidRPr="00AB06C6">
              <w:rPr>
                <w:rFonts w:cs="Calibri"/>
                <w:bCs/>
                <w:sz w:val="22"/>
                <w:szCs w:val="22"/>
              </w:rPr>
              <w:t>1,574</w:t>
            </w:r>
          </w:p>
        </w:tc>
        <w:tc>
          <w:tcPr>
            <w:tcW w:w="445" w:type="pct"/>
            <w:shd w:val="clear" w:color="auto" w:fill="auto"/>
            <w:noWrap/>
            <w:tcMar>
              <w:left w:w="0" w:type="dxa"/>
              <w:right w:w="0" w:type="dxa"/>
            </w:tcMar>
            <w:vAlign w:val="bottom"/>
          </w:tcPr>
          <w:p w14:paraId="7C4BFC32" w14:textId="77777777" w:rsidR="00646A78" w:rsidRPr="00AB06C6" w:rsidRDefault="00646A78" w:rsidP="00AB06C6">
            <w:pPr>
              <w:spacing w:before="0" w:after="0"/>
              <w:jc w:val="center"/>
              <w:rPr>
                <w:rFonts w:cs="Calibri"/>
                <w:color w:val="000000"/>
                <w:sz w:val="22"/>
                <w:szCs w:val="22"/>
                <w:lang w:eastAsia="en-GB"/>
              </w:rPr>
            </w:pPr>
            <w:r w:rsidRPr="00AB06C6">
              <w:rPr>
                <w:rFonts w:cs="Calibri"/>
                <w:sz w:val="22"/>
                <w:szCs w:val="22"/>
              </w:rPr>
              <w:t>2.4%</w:t>
            </w:r>
          </w:p>
        </w:tc>
        <w:tc>
          <w:tcPr>
            <w:tcW w:w="572" w:type="pct"/>
            <w:vAlign w:val="bottom"/>
          </w:tcPr>
          <w:p w14:paraId="0A171084" w14:textId="77777777" w:rsidR="00646A78" w:rsidRPr="00AB06C6" w:rsidRDefault="00646A78" w:rsidP="00AB06C6">
            <w:pPr>
              <w:spacing w:before="0" w:after="0"/>
              <w:jc w:val="center"/>
              <w:rPr>
                <w:rFonts w:cs="Calibri"/>
                <w:color w:val="000000"/>
                <w:sz w:val="22"/>
                <w:szCs w:val="22"/>
                <w:lang w:eastAsia="en-GB"/>
              </w:rPr>
            </w:pPr>
            <w:r w:rsidRPr="00AB06C6">
              <w:rPr>
                <w:rFonts w:cs="Calibri"/>
                <w:sz w:val="22"/>
                <w:szCs w:val="22"/>
              </w:rPr>
              <w:t>15.7</w:t>
            </w:r>
          </w:p>
        </w:tc>
        <w:tc>
          <w:tcPr>
            <w:tcW w:w="514" w:type="pct"/>
            <w:shd w:val="clear" w:color="auto" w:fill="auto"/>
            <w:noWrap/>
            <w:tcMar>
              <w:left w:w="0" w:type="dxa"/>
              <w:right w:w="0" w:type="dxa"/>
            </w:tcMar>
            <w:vAlign w:val="center"/>
          </w:tcPr>
          <w:p w14:paraId="31E13F4B" w14:textId="77777777" w:rsidR="00646A78" w:rsidRPr="00AB06C6" w:rsidRDefault="00646A78" w:rsidP="00AB06C6">
            <w:pPr>
              <w:spacing w:before="0" w:after="0"/>
              <w:jc w:val="center"/>
              <w:rPr>
                <w:rFonts w:cs="Calibri"/>
                <w:color w:val="000000"/>
                <w:sz w:val="22"/>
                <w:szCs w:val="22"/>
                <w:lang w:eastAsia="en-GB"/>
              </w:rPr>
            </w:pPr>
            <w:r w:rsidRPr="00AB06C6">
              <w:rPr>
                <w:rFonts w:cs="Calibri"/>
                <w:color w:val="000000"/>
                <w:sz w:val="22"/>
                <w:szCs w:val="22"/>
                <w:lang w:eastAsia="en-GB"/>
              </w:rPr>
              <w:t>Sample</w:t>
            </w:r>
          </w:p>
        </w:tc>
      </w:tr>
    </w:tbl>
    <w:p w14:paraId="78EBF9F3" w14:textId="77777777" w:rsidR="001F27D2" w:rsidRPr="002B2A7F" w:rsidRDefault="001F27D2" w:rsidP="001F27D2">
      <w:pPr>
        <w:pStyle w:val="Maintext"/>
        <w:numPr>
          <w:ilvl w:val="0"/>
          <w:numId w:val="0"/>
        </w:numPr>
        <w:rPr>
          <w:rFonts w:asciiTheme="minorHAnsi" w:hAnsiTheme="minorHAnsi" w:cs="Calibri"/>
          <w:sz w:val="20"/>
          <w:szCs w:val="20"/>
        </w:rPr>
      </w:pPr>
      <w:r w:rsidRPr="002B2A7F">
        <w:rPr>
          <w:rFonts w:asciiTheme="minorHAnsi" w:hAnsiTheme="minorHAnsi" w:cs="Calibri"/>
          <w:sz w:val="20"/>
          <w:szCs w:val="20"/>
        </w:rPr>
        <w:t>Source: Council Tax Data 2018</w:t>
      </w:r>
    </w:p>
    <w:p w14:paraId="0FE0E3E7" w14:textId="77777777" w:rsidR="001F27D2" w:rsidRPr="002B2A7F" w:rsidRDefault="001F27D2" w:rsidP="001F27D2">
      <w:pPr>
        <w:pStyle w:val="Maintext"/>
        <w:numPr>
          <w:ilvl w:val="0"/>
          <w:numId w:val="0"/>
        </w:numPr>
        <w:tabs>
          <w:tab w:val="left" w:pos="780"/>
        </w:tabs>
        <w:rPr>
          <w:rFonts w:asciiTheme="minorHAnsi" w:hAnsiTheme="minorHAnsi" w:cs="Calibri"/>
          <w:sz w:val="20"/>
        </w:rPr>
      </w:pPr>
      <w:r w:rsidRPr="002B2A7F">
        <w:rPr>
          <w:rFonts w:asciiTheme="minorHAnsi" w:hAnsiTheme="minorHAnsi" w:cs="Calibri"/>
          <w:sz w:val="20"/>
        </w:rPr>
        <w:t>Sample error is based on the 95% confidence interval which is the industry standard to establish result accuracy.</w:t>
      </w:r>
    </w:p>
    <w:p w14:paraId="4193DBE0" w14:textId="77777777" w:rsidR="001F27D2" w:rsidRPr="002B2A7F" w:rsidRDefault="001F27D2" w:rsidP="001F27D2">
      <w:pPr>
        <w:pStyle w:val="Maintext"/>
        <w:numPr>
          <w:ilvl w:val="0"/>
          <w:numId w:val="0"/>
        </w:numPr>
        <w:ind w:firstLine="360"/>
        <w:rPr>
          <w:rFonts w:asciiTheme="minorHAnsi" w:hAnsiTheme="minorHAnsi" w:cs="Calibri"/>
          <w:b/>
        </w:rPr>
      </w:pPr>
    </w:p>
    <w:p w14:paraId="6066FABD" w14:textId="77777777" w:rsidR="001F27D2" w:rsidRPr="002B2A7F" w:rsidRDefault="001F27D2" w:rsidP="001F27D2">
      <w:pPr>
        <w:pStyle w:val="Heading3"/>
        <w:rPr>
          <w:rFonts w:asciiTheme="minorHAnsi" w:hAnsiTheme="minorHAnsi"/>
        </w:rPr>
      </w:pPr>
      <w:r w:rsidRPr="002B2A7F">
        <w:rPr>
          <w:rFonts w:asciiTheme="minorHAnsi" w:hAnsiTheme="minorHAnsi"/>
        </w:rPr>
        <w:lastRenderedPageBreak/>
        <w:t>Weighting and grossing</w:t>
      </w:r>
    </w:p>
    <w:p w14:paraId="69AE00BF" w14:textId="77777777" w:rsidR="001F27D2" w:rsidRPr="002B2A7F" w:rsidRDefault="001F27D2" w:rsidP="00AB06C6">
      <w:pPr>
        <w:pStyle w:val="Maintext"/>
        <w:numPr>
          <w:ilvl w:val="1"/>
          <w:numId w:val="27"/>
        </w:numPr>
        <w:spacing w:before="0"/>
        <w:rPr>
          <w:rFonts w:asciiTheme="minorHAnsi" w:hAnsiTheme="minorHAnsi" w:cs="Calibri"/>
        </w:rPr>
      </w:pPr>
      <w:r w:rsidRPr="002B2A7F">
        <w:rPr>
          <w:rFonts w:asciiTheme="minorHAnsi" w:hAnsiTheme="minorHAnsi" w:cs="Calibri"/>
        </w:rPr>
        <w:t>In order to proceed with data analysis, it is critical that survey data is weighted to take into account response and non-response bias and grossed up to reflect the total number of households in 2018. Weighting for each survey area was based on:</w:t>
      </w:r>
    </w:p>
    <w:p w14:paraId="535F824B" w14:textId="48B284D7" w:rsidR="001F27D2" w:rsidRPr="002B2A7F" w:rsidRDefault="003E42B8" w:rsidP="001F27D2">
      <w:pPr>
        <w:pStyle w:val="bullet"/>
        <w:spacing w:before="0"/>
        <w:jc w:val="left"/>
        <w:rPr>
          <w:rFonts w:asciiTheme="minorHAnsi" w:hAnsiTheme="minorHAnsi" w:cs="Calibri"/>
        </w:rPr>
      </w:pPr>
      <w:r w:rsidRPr="002B2A7F">
        <w:rPr>
          <w:rFonts w:asciiTheme="minorHAnsi" w:hAnsiTheme="minorHAnsi" w:cs="Calibri"/>
          <w:b/>
        </w:rPr>
        <w:t>T</w:t>
      </w:r>
      <w:r w:rsidR="001F27D2" w:rsidRPr="002B2A7F">
        <w:rPr>
          <w:rFonts w:asciiTheme="minorHAnsi" w:hAnsiTheme="minorHAnsi" w:cs="Calibri"/>
          <w:b/>
        </w:rPr>
        <w:t>enure</w:t>
      </w:r>
      <w:r w:rsidR="001F27D2" w:rsidRPr="002B2A7F">
        <w:rPr>
          <w:rFonts w:asciiTheme="minorHAnsi" w:hAnsiTheme="minorHAnsi" w:cs="Calibri"/>
        </w:rPr>
        <w:t xml:space="preserve"> (the proportion of affordable (social rented and intermediate tenure) and open market dwellings based on 2011 Census data);</w:t>
      </w:r>
    </w:p>
    <w:p w14:paraId="12164819" w14:textId="0489C406" w:rsidR="001F27D2" w:rsidRPr="002B2A7F" w:rsidRDefault="003E42B8" w:rsidP="001F27D2">
      <w:pPr>
        <w:pStyle w:val="bullet"/>
        <w:spacing w:before="0"/>
        <w:jc w:val="left"/>
        <w:rPr>
          <w:rFonts w:asciiTheme="minorHAnsi" w:hAnsiTheme="minorHAnsi" w:cs="Calibri"/>
        </w:rPr>
      </w:pPr>
      <w:r w:rsidRPr="002B2A7F">
        <w:rPr>
          <w:rFonts w:asciiTheme="minorHAnsi" w:hAnsiTheme="minorHAnsi" w:cs="Calibri"/>
          <w:b/>
        </w:rPr>
        <w:t>A</w:t>
      </w:r>
      <w:r w:rsidR="001F27D2" w:rsidRPr="002B2A7F">
        <w:rPr>
          <w:rFonts w:asciiTheme="minorHAnsi" w:hAnsiTheme="minorHAnsi" w:cs="Calibri"/>
          <w:b/>
        </w:rPr>
        <w:t>ge of household reference person</w:t>
      </w:r>
      <w:r w:rsidR="001F27D2" w:rsidRPr="002B2A7F">
        <w:rPr>
          <w:rFonts w:asciiTheme="minorHAnsi" w:hAnsiTheme="minorHAnsi" w:cs="Calibri"/>
        </w:rPr>
        <w:t xml:space="preserve"> based on the proportions of household reference people aged under 65 and 65 or over living in affordable and open market provision derived from the 2011 Census; and</w:t>
      </w:r>
    </w:p>
    <w:p w14:paraId="7BD89A2E" w14:textId="77777777" w:rsidR="001F27D2" w:rsidRPr="002B2A7F" w:rsidRDefault="001F27D2" w:rsidP="001F27D2">
      <w:pPr>
        <w:pStyle w:val="bullet"/>
        <w:spacing w:before="0"/>
        <w:jc w:val="left"/>
        <w:rPr>
          <w:rFonts w:asciiTheme="minorHAnsi" w:hAnsiTheme="minorHAnsi" w:cs="Calibri"/>
        </w:rPr>
      </w:pPr>
      <w:r w:rsidRPr="002B2A7F">
        <w:rPr>
          <w:rFonts w:asciiTheme="minorHAnsi" w:hAnsiTheme="minorHAnsi" w:cs="Calibri"/>
          <w:b/>
        </w:rPr>
        <w:t>Council Tax occupied dwellings</w:t>
      </w:r>
      <w:r w:rsidRPr="002B2A7F">
        <w:rPr>
          <w:rFonts w:asciiTheme="minorHAnsi" w:hAnsiTheme="minorHAnsi" w:cs="Calibri"/>
        </w:rPr>
        <w:t xml:space="preserve"> based on the number of occupied dwellings in 2018 and used as a grossing factor in the weighting to ensure that there is a suitable uplift on the Census 2011 data. </w:t>
      </w:r>
    </w:p>
    <w:p w14:paraId="3F9FD245" w14:textId="77777777" w:rsidR="001F27D2" w:rsidRPr="002B2A7F" w:rsidRDefault="001F27D2" w:rsidP="00AB06C6">
      <w:pPr>
        <w:pStyle w:val="Maintext"/>
        <w:numPr>
          <w:ilvl w:val="1"/>
          <w:numId w:val="27"/>
        </w:numPr>
        <w:spacing w:before="0"/>
        <w:rPr>
          <w:rFonts w:asciiTheme="minorHAnsi" w:hAnsiTheme="minorHAnsi" w:cs="Calibri"/>
        </w:rPr>
      </w:pPr>
      <w:r w:rsidRPr="002B2A7F">
        <w:rPr>
          <w:rFonts w:asciiTheme="minorHAnsi" w:hAnsiTheme="minorHAnsi" w:cs="Calibri"/>
        </w:rPr>
        <w:t>Ultimately, the survey element of the assessment is sufficiently statistically robust to undertake detailed analysis and underpin core outputs of the study down to the survey areas presented in Table A1. Furthermore, the survey findings are enhanced and corroborated through analysis of secondary data and stakeholder consultation.</w:t>
      </w:r>
    </w:p>
    <w:p w14:paraId="715268C5" w14:textId="68EC79CB" w:rsidR="001F27D2" w:rsidRDefault="001F27D2" w:rsidP="001F27D2">
      <w:pPr>
        <w:pStyle w:val="Maintext"/>
        <w:numPr>
          <w:ilvl w:val="0"/>
          <w:numId w:val="0"/>
        </w:numPr>
        <w:rPr>
          <w:rFonts w:asciiTheme="minorHAnsi" w:hAnsiTheme="minorHAnsi" w:cs="Calibri"/>
        </w:rPr>
      </w:pPr>
    </w:p>
    <w:p w14:paraId="48728C88" w14:textId="5E751A0E" w:rsidR="00976C8A" w:rsidRPr="002B2A7F" w:rsidRDefault="00976C8A" w:rsidP="00976C8A">
      <w:pPr>
        <w:pStyle w:val="Heading3"/>
        <w:rPr>
          <w:rFonts w:asciiTheme="minorHAnsi" w:hAnsiTheme="minorHAnsi"/>
        </w:rPr>
      </w:pPr>
      <w:r>
        <w:rPr>
          <w:rFonts w:asciiTheme="minorHAnsi" w:hAnsiTheme="minorHAnsi"/>
        </w:rPr>
        <w:t>Geography</w:t>
      </w:r>
    </w:p>
    <w:p w14:paraId="2F11C2B7" w14:textId="77777777" w:rsidR="00976C8A" w:rsidRDefault="00976C8A" w:rsidP="008B1919">
      <w:pPr>
        <w:pStyle w:val="Maintext"/>
        <w:numPr>
          <w:ilvl w:val="1"/>
          <w:numId w:val="27"/>
        </w:numPr>
        <w:spacing w:before="0"/>
        <w:rPr>
          <w:rFonts w:asciiTheme="minorHAnsi" w:hAnsiTheme="minorHAnsi" w:cs="Calibri"/>
        </w:rPr>
      </w:pPr>
      <w:r>
        <w:rPr>
          <w:rFonts w:asciiTheme="minorHAnsi" w:hAnsiTheme="minorHAnsi" w:cs="Calibri"/>
        </w:rPr>
        <w:t>Table A2 provides details of the parishes and wards located in each housing market area</w:t>
      </w:r>
    </w:p>
    <w:p w14:paraId="53094AD8" w14:textId="2689221A" w:rsidR="00976C8A" w:rsidRDefault="00976C8A" w:rsidP="001F27D2">
      <w:pPr>
        <w:pStyle w:val="Maintext"/>
        <w:numPr>
          <w:ilvl w:val="0"/>
          <w:numId w:val="0"/>
        </w:numPr>
        <w:rPr>
          <w:rFonts w:asciiTheme="minorHAnsi" w:hAnsiTheme="minorHAnsi" w:cs="Calibri"/>
        </w:rPr>
      </w:pPr>
    </w:p>
    <w:p w14:paraId="75EE0CEB" w14:textId="77777777" w:rsidR="00976C8A" w:rsidRDefault="00976C8A" w:rsidP="001F27D2">
      <w:pPr>
        <w:pStyle w:val="Maintext"/>
        <w:numPr>
          <w:ilvl w:val="0"/>
          <w:numId w:val="0"/>
        </w:numPr>
        <w:rPr>
          <w:rFonts w:asciiTheme="minorHAnsi" w:hAnsiTheme="minorHAnsi" w:cs="Calibri"/>
        </w:rPr>
      </w:pPr>
    </w:p>
    <w:p w14:paraId="21018C8B" w14:textId="77777777" w:rsidR="00976C8A" w:rsidRDefault="00976C8A" w:rsidP="00976C8A">
      <w:pPr>
        <w:pStyle w:val="Tableheading1"/>
        <w:rPr>
          <w:color w:val="009193"/>
          <w:lang w:eastAsia="en-GB"/>
        </w:rPr>
        <w:sectPr w:rsidR="00976C8A" w:rsidSect="00BA2B77">
          <w:headerReference w:type="default" r:id="rId69"/>
          <w:footerReference w:type="default" r:id="rId70"/>
          <w:pgSz w:w="11906" w:h="16838"/>
          <w:pgMar w:top="1440" w:right="1276" w:bottom="1134" w:left="1440" w:header="708" w:footer="708" w:gutter="0"/>
          <w:cols w:space="708"/>
          <w:docGrid w:linePitch="360"/>
        </w:sectPr>
      </w:pPr>
    </w:p>
    <w:tbl>
      <w:tblPr>
        <w:tblW w:w="9067"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720"/>
        <w:gridCol w:w="2662"/>
        <w:gridCol w:w="3685"/>
      </w:tblGrid>
      <w:tr w:rsidR="005B7C19" w:rsidRPr="000B3C8A" w14:paraId="203E4EBB" w14:textId="77777777" w:rsidTr="00811860">
        <w:trPr>
          <w:tblHeader/>
        </w:trPr>
        <w:tc>
          <w:tcPr>
            <w:tcW w:w="9067" w:type="dxa"/>
            <w:gridSpan w:val="3"/>
            <w:shd w:val="clear" w:color="auto" w:fill="009999"/>
            <w:noWrap/>
          </w:tcPr>
          <w:p w14:paraId="6101E1BF" w14:textId="31BF56DE" w:rsidR="005B7C19" w:rsidRPr="000B3C8A" w:rsidRDefault="005B7C19" w:rsidP="000B3C8A">
            <w:pPr>
              <w:pStyle w:val="Tableheading1"/>
              <w:rPr>
                <w:color w:val="000000"/>
              </w:rPr>
            </w:pPr>
            <w:bookmarkStart w:id="685" w:name="_Toc532812514"/>
            <w:r w:rsidRPr="000B3C8A">
              <w:rPr>
                <w:lang w:eastAsia="en-GB"/>
              </w:rPr>
              <w:lastRenderedPageBreak/>
              <w:t>Table A2</w:t>
            </w:r>
            <w:r w:rsidRPr="000B3C8A">
              <w:rPr>
                <w:lang w:eastAsia="en-GB"/>
              </w:rPr>
              <w:tab/>
            </w:r>
            <w:r w:rsidRPr="000B3C8A">
              <w:t>Housing</w:t>
            </w:r>
            <w:r w:rsidRPr="000B3C8A">
              <w:rPr>
                <w:lang w:eastAsia="en-GB"/>
              </w:rPr>
              <w:t xml:space="preserve"> Market </w:t>
            </w:r>
            <w:r w:rsidRPr="000B3C8A">
              <w:t>Areas</w:t>
            </w:r>
            <w:r w:rsidRPr="000B3C8A">
              <w:rPr>
                <w:lang w:eastAsia="en-GB"/>
              </w:rPr>
              <w:t xml:space="preserve"> and constituent wards and parishes</w:t>
            </w:r>
            <w:bookmarkEnd w:id="685"/>
          </w:p>
        </w:tc>
      </w:tr>
      <w:tr w:rsidR="005B7C19" w:rsidRPr="000B3C8A" w14:paraId="675CB050" w14:textId="77777777" w:rsidTr="00811860">
        <w:trPr>
          <w:tblHeader/>
        </w:trPr>
        <w:tc>
          <w:tcPr>
            <w:tcW w:w="2720" w:type="dxa"/>
            <w:shd w:val="clear" w:color="auto" w:fill="009999"/>
            <w:noWrap/>
            <w:hideMark/>
          </w:tcPr>
          <w:p w14:paraId="12708618" w14:textId="77777777" w:rsidR="00976C8A" w:rsidRPr="000B3C8A" w:rsidRDefault="00976C8A" w:rsidP="000B3C8A">
            <w:pPr>
              <w:spacing w:before="10" w:after="10"/>
              <w:jc w:val="left"/>
              <w:rPr>
                <w:rFonts w:cs="Calibri"/>
                <w:b/>
                <w:bCs/>
                <w:color w:val="FFFFFF" w:themeColor="background1"/>
                <w:sz w:val="22"/>
                <w:szCs w:val="22"/>
              </w:rPr>
            </w:pPr>
            <w:r w:rsidRPr="000B3C8A">
              <w:rPr>
                <w:rFonts w:cs="Calibri"/>
                <w:b/>
                <w:bCs/>
                <w:color w:val="FFFFFF" w:themeColor="background1"/>
                <w:sz w:val="22"/>
                <w:szCs w:val="22"/>
              </w:rPr>
              <w:t>HMA</w:t>
            </w:r>
          </w:p>
        </w:tc>
        <w:tc>
          <w:tcPr>
            <w:tcW w:w="2662" w:type="dxa"/>
            <w:shd w:val="clear" w:color="auto" w:fill="009999"/>
            <w:noWrap/>
            <w:hideMark/>
          </w:tcPr>
          <w:p w14:paraId="01D4EF1C" w14:textId="77777777" w:rsidR="00976C8A" w:rsidRPr="000B3C8A" w:rsidRDefault="00976C8A" w:rsidP="000B3C8A">
            <w:pPr>
              <w:spacing w:before="10" w:after="10"/>
              <w:jc w:val="left"/>
              <w:rPr>
                <w:rFonts w:cs="Calibri"/>
                <w:b/>
                <w:bCs/>
                <w:color w:val="FFFFFF" w:themeColor="background1"/>
                <w:sz w:val="22"/>
                <w:szCs w:val="22"/>
              </w:rPr>
            </w:pPr>
            <w:r w:rsidRPr="000B3C8A">
              <w:rPr>
                <w:rFonts w:cs="Calibri"/>
                <w:b/>
                <w:bCs/>
                <w:color w:val="FFFFFF" w:themeColor="background1"/>
                <w:sz w:val="22"/>
                <w:szCs w:val="22"/>
              </w:rPr>
              <w:t>Ward</w:t>
            </w:r>
          </w:p>
        </w:tc>
        <w:tc>
          <w:tcPr>
            <w:tcW w:w="3685" w:type="dxa"/>
            <w:shd w:val="clear" w:color="auto" w:fill="009999"/>
            <w:noWrap/>
            <w:hideMark/>
          </w:tcPr>
          <w:p w14:paraId="60E5B4F9" w14:textId="77777777" w:rsidR="00976C8A" w:rsidRPr="000B3C8A" w:rsidRDefault="00976C8A" w:rsidP="000B3C8A">
            <w:pPr>
              <w:spacing w:before="10" w:after="10"/>
              <w:jc w:val="left"/>
              <w:rPr>
                <w:rFonts w:cs="Calibri"/>
                <w:b/>
                <w:bCs/>
                <w:color w:val="FFFFFF" w:themeColor="background1"/>
                <w:sz w:val="22"/>
                <w:szCs w:val="22"/>
              </w:rPr>
            </w:pPr>
            <w:r w:rsidRPr="000B3C8A">
              <w:rPr>
                <w:rFonts w:cs="Calibri"/>
                <w:b/>
                <w:bCs/>
                <w:color w:val="FFFFFF" w:themeColor="background1"/>
                <w:sz w:val="22"/>
                <w:szCs w:val="22"/>
              </w:rPr>
              <w:t>Parish</w:t>
            </w:r>
          </w:p>
        </w:tc>
      </w:tr>
      <w:tr w:rsidR="00976C8A" w:rsidRPr="000B3C8A" w14:paraId="05672E86" w14:textId="77777777" w:rsidTr="00811860">
        <w:tc>
          <w:tcPr>
            <w:tcW w:w="2720" w:type="dxa"/>
            <w:shd w:val="clear" w:color="auto" w:fill="auto"/>
            <w:noWrap/>
            <w:hideMark/>
          </w:tcPr>
          <w:p w14:paraId="69E4E791" w14:textId="77777777" w:rsidR="00976C8A" w:rsidRPr="000B3C8A" w:rsidRDefault="00976C8A" w:rsidP="000B3C8A">
            <w:pPr>
              <w:spacing w:before="10" w:after="10"/>
              <w:jc w:val="left"/>
              <w:rPr>
                <w:rFonts w:cs="Calibri"/>
                <w:b/>
                <w:bCs/>
                <w:color w:val="000000"/>
                <w:sz w:val="22"/>
                <w:szCs w:val="22"/>
              </w:rPr>
            </w:pPr>
            <w:r w:rsidRPr="000B3C8A">
              <w:rPr>
                <w:rFonts w:cs="Calibri"/>
                <w:b/>
                <w:bCs/>
                <w:color w:val="000000"/>
                <w:sz w:val="22"/>
                <w:szCs w:val="22"/>
              </w:rPr>
              <w:t>HMA 1A Penrith Urban</w:t>
            </w:r>
          </w:p>
        </w:tc>
        <w:tc>
          <w:tcPr>
            <w:tcW w:w="2662" w:type="dxa"/>
            <w:shd w:val="clear" w:color="auto" w:fill="auto"/>
            <w:noWrap/>
            <w:hideMark/>
          </w:tcPr>
          <w:p w14:paraId="0D94A535" w14:textId="77777777" w:rsidR="00976C8A" w:rsidRPr="000B3C8A" w:rsidRDefault="00976C8A" w:rsidP="000B3C8A">
            <w:pPr>
              <w:spacing w:before="10" w:after="10"/>
              <w:jc w:val="left"/>
              <w:rPr>
                <w:rFonts w:cs="Calibri"/>
                <w:color w:val="000000"/>
                <w:sz w:val="22"/>
                <w:szCs w:val="22"/>
              </w:rPr>
            </w:pPr>
            <w:r w:rsidRPr="000B3C8A">
              <w:rPr>
                <w:rFonts w:cs="Calibri"/>
                <w:color w:val="000000"/>
                <w:sz w:val="22"/>
                <w:szCs w:val="22"/>
              </w:rPr>
              <w:t>Penrith</w:t>
            </w:r>
          </w:p>
        </w:tc>
        <w:tc>
          <w:tcPr>
            <w:tcW w:w="3685" w:type="dxa"/>
            <w:shd w:val="clear" w:color="auto" w:fill="auto"/>
            <w:noWrap/>
            <w:hideMark/>
          </w:tcPr>
          <w:p w14:paraId="1A929B94" w14:textId="77777777" w:rsidR="00976C8A" w:rsidRPr="000B3C8A" w:rsidRDefault="00976C8A" w:rsidP="000B3C8A">
            <w:pPr>
              <w:spacing w:before="10" w:after="10"/>
              <w:jc w:val="left"/>
              <w:rPr>
                <w:rFonts w:cs="Calibri"/>
                <w:color w:val="000000"/>
                <w:sz w:val="22"/>
                <w:szCs w:val="22"/>
              </w:rPr>
            </w:pPr>
            <w:r w:rsidRPr="000B3C8A">
              <w:rPr>
                <w:rFonts w:cs="Calibri"/>
                <w:color w:val="000000"/>
                <w:sz w:val="22"/>
                <w:szCs w:val="22"/>
              </w:rPr>
              <w:t>Penrith</w:t>
            </w:r>
          </w:p>
        </w:tc>
      </w:tr>
      <w:tr w:rsidR="005B7C19" w:rsidRPr="000B3C8A" w14:paraId="6C4849D3" w14:textId="77777777" w:rsidTr="00811860">
        <w:tc>
          <w:tcPr>
            <w:tcW w:w="2720" w:type="dxa"/>
            <w:vMerge w:val="restart"/>
            <w:shd w:val="clear" w:color="auto" w:fill="auto"/>
            <w:noWrap/>
            <w:hideMark/>
          </w:tcPr>
          <w:p w14:paraId="62706F2B" w14:textId="26068030" w:rsidR="005B7C19" w:rsidRPr="000B3C8A" w:rsidRDefault="005B7C19" w:rsidP="000B3C8A">
            <w:pPr>
              <w:spacing w:before="10" w:after="10"/>
              <w:jc w:val="left"/>
              <w:rPr>
                <w:rFonts w:cs="Calibri"/>
                <w:b/>
                <w:bCs/>
                <w:color w:val="000000"/>
                <w:sz w:val="22"/>
                <w:szCs w:val="22"/>
              </w:rPr>
            </w:pPr>
            <w:r w:rsidRPr="000B3C8A">
              <w:rPr>
                <w:rFonts w:cs="Calibri"/>
                <w:b/>
                <w:bCs/>
                <w:color w:val="000000"/>
                <w:sz w:val="22"/>
                <w:szCs w:val="22"/>
              </w:rPr>
              <w:t>HMA 1B Penrith Rural</w:t>
            </w:r>
            <w:r w:rsidRPr="000B3C8A">
              <w:rPr>
                <w:rFonts w:cs="Calibri"/>
                <w:color w:val="000000"/>
                <w:sz w:val="22"/>
                <w:szCs w:val="22"/>
              </w:rPr>
              <w:t> </w:t>
            </w:r>
          </w:p>
        </w:tc>
        <w:tc>
          <w:tcPr>
            <w:tcW w:w="2662" w:type="dxa"/>
            <w:vMerge w:val="restart"/>
            <w:shd w:val="clear" w:color="auto" w:fill="auto"/>
            <w:noWrap/>
            <w:hideMark/>
          </w:tcPr>
          <w:p w14:paraId="0E65B012" w14:textId="3174E38C"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Eamont</w:t>
            </w:r>
          </w:p>
        </w:tc>
        <w:tc>
          <w:tcPr>
            <w:tcW w:w="3685" w:type="dxa"/>
            <w:shd w:val="clear" w:color="auto" w:fill="auto"/>
            <w:noWrap/>
            <w:hideMark/>
          </w:tcPr>
          <w:p w14:paraId="6E206825" w14:textId="7777777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Clifton</w:t>
            </w:r>
          </w:p>
        </w:tc>
      </w:tr>
      <w:tr w:rsidR="005B7C19" w:rsidRPr="000B3C8A" w14:paraId="6A20301B" w14:textId="77777777" w:rsidTr="00811860">
        <w:tc>
          <w:tcPr>
            <w:tcW w:w="2720" w:type="dxa"/>
            <w:vMerge/>
            <w:shd w:val="clear" w:color="auto" w:fill="auto"/>
            <w:noWrap/>
            <w:hideMark/>
          </w:tcPr>
          <w:p w14:paraId="2C45238E" w14:textId="0B573F30" w:rsidR="005B7C19" w:rsidRPr="000B3C8A" w:rsidRDefault="005B7C19" w:rsidP="000B3C8A">
            <w:pPr>
              <w:spacing w:before="10" w:after="10"/>
              <w:jc w:val="left"/>
              <w:rPr>
                <w:rFonts w:cs="Calibri"/>
                <w:color w:val="000000"/>
                <w:sz w:val="22"/>
                <w:szCs w:val="22"/>
              </w:rPr>
            </w:pPr>
          </w:p>
        </w:tc>
        <w:tc>
          <w:tcPr>
            <w:tcW w:w="2662" w:type="dxa"/>
            <w:vMerge/>
            <w:shd w:val="clear" w:color="auto" w:fill="auto"/>
            <w:noWrap/>
            <w:hideMark/>
          </w:tcPr>
          <w:p w14:paraId="7371DAD2" w14:textId="303F4C43" w:rsidR="005B7C19" w:rsidRPr="000B3C8A" w:rsidRDefault="005B7C19" w:rsidP="000B3C8A">
            <w:pPr>
              <w:spacing w:before="10" w:after="10"/>
              <w:jc w:val="left"/>
              <w:rPr>
                <w:rFonts w:cs="Calibri"/>
                <w:color w:val="000000"/>
                <w:sz w:val="22"/>
                <w:szCs w:val="22"/>
              </w:rPr>
            </w:pPr>
          </w:p>
        </w:tc>
        <w:tc>
          <w:tcPr>
            <w:tcW w:w="3685" w:type="dxa"/>
            <w:shd w:val="clear" w:color="auto" w:fill="auto"/>
            <w:noWrap/>
            <w:hideMark/>
          </w:tcPr>
          <w:p w14:paraId="71E49B21" w14:textId="7777777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Sockbridge and Tirril</w:t>
            </w:r>
          </w:p>
        </w:tc>
      </w:tr>
      <w:tr w:rsidR="005B7C19" w:rsidRPr="000B3C8A" w14:paraId="31967E84" w14:textId="77777777" w:rsidTr="00811860">
        <w:tc>
          <w:tcPr>
            <w:tcW w:w="2720" w:type="dxa"/>
            <w:vMerge/>
            <w:shd w:val="clear" w:color="auto" w:fill="auto"/>
            <w:noWrap/>
            <w:hideMark/>
          </w:tcPr>
          <w:p w14:paraId="6FE26408" w14:textId="77777777" w:rsidR="005B7C19" w:rsidRPr="000B3C8A" w:rsidRDefault="005B7C19" w:rsidP="000B3C8A">
            <w:pPr>
              <w:spacing w:before="10" w:after="10"/>
              <w:jc w:val="left"/>
              <w:rPr>
                <w:rFonts w:cs="Calibri"/>
                <w:color w:val="000000"/>
                <w:sz w:val="22"/>
                <w:szCs w:val="22"/>
              </w:rPr>
            </w:pPr>
          </w:p>
        </w:tc>
        <w:tc>
          <w:tcPr>
            <w:tcW w:w="2662" w:type="dxa"/>
            <w:vMerge/>
            <w:shd w:val="clear" w:color="auto" w:fill="auto"/>
            <w:noWrap/>
            <w:hideMark/>
          </w:tcPr>
          <w:p w14:paraId="5B247A25" w14:textId="4E84F337" w:rsidR="005B7C19" w:rsidRPr="000B3C8A" w:rsidRDefault="005B7C19" w:rsidP="000B3C8A">
            <w:pPr>
              <w:spacing w:before="10" w:after="10"/>
              <w:jc w:val="left"/>
              <w:rPr>
                <w:rFonts w:cs="Calibri"/>
                <w:color w:val="000000"/>
                <w:sz w:val="22"/>
                <w:szCs w:val="22"/>
              </w:rPr>
            </w:pPr>
          </w:p>
        </w:tc>
        <w:tc>
          <w:tcPr>
            <w:tcW w:w="3685" w:type="dxa"/>
            <w:shd w:val="clear" w:color="auto" w:fill="auto"/>
            <w:noWrap/>
            <w:hideMark/>
          </w:tcPr>
          <w:p w14:paraId="216EC55E" w14:textId="7777777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Yanwath and Eamont Bridge</w:t>
            </w:r>
          </w:p>
        </w:tc>
      </w:tr>
      <w:tr w:rsidR="005B7C19" w:rsidRPr="000B3C8A" w14:paraId="257DA513" w14:textId="77777777" w:rsidTr="00811860">
        <w:tc>
          <w:tcPr>
            <w:tcW w:w="2720" w:type="dxa"/>
            <w:vMerge/>
            <w:shd w:val="clear" w:color="auto" w:fill="auto"/>
            <w:noWrap/>
            <w:hideMark/>
          </w:tcPr>
          <w:p w14:paraId="75805FD9" w14:textId="77777777" w:rsidR="005B7C19" w:rsidRPr="000B3C8A" w:rsidRDefault="005B7C19" w:rsidP="000B3C8A">
            <w:pPr>
              <w:spacing w:before="10" w:after="10"/>
              <w:jc w:val="left"/>
              <w:rPr>
                <w:rFonts w:cs="Calibri"/>
                <w:color w:val="000000"/>
                <w:sz w:val="22"/>
                <w:szCs w:val="22"/>
              </w:rPr>
            </w:pPr>
          </w:p>
        </w:tc>
        <w:tc>
          <w:tcPr>
            <w:tcW w:w="2662" w:type="dxa"/>
            <w:vMerge w:val="restart"/>
            <w:shd w:val="clear" w:color="auto" w:fill="auto"/>
            <w:noWrap/>
            <w:hideMark/>
          </w:tcPr>
          <w:p w14:paraId="58E9F620" w14:textId="6C4A43FA"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Hesket</w:t>
            </w:r>
          </w:p>
        </w:tc>
        <w:tc>
          <w:tcPr>
            <w:tcW w:w="3685" w:type="dxa"/>
            <w:shd w:val="clear" w:color="auto" w:fill="auto"/>
            <w:noWrap/>
            <w:hideMark/>
          </w:tcPr>
          <w:p w14:paraId="229411DA" w14:textId="7777777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Hesket</w:t>
            </w:r>
          </w:p>
        </w:tc>
      </w:tr>
      <w:tr w:rsidR="005B7C19" w:rsidRPr="000B3C8A" w14:paraId="7182BC35" w14:textId="77777777" w:rsidTr="00811860">
        <w:tc>
          <w:tcPr>
            <w:tcW w:w="2720" w:type="dxa"/>
            <w:vMerge/>
            <w:shd w:val="clear" w:color="auto" w:fill="auto"/>
            <w:noWrap/>
            <w:hideMark/>
          </w:tcPr>
          <w:p w14:paraId="60328B50" w14:textId="77777777" w:rsidR="005B7C19" w:rsidRPr="000B3C8A" w:rsidRDefault="005B7C19" w:rsidP="000B3C8A">
            <w:pPr>
              <w:spacing w:before="10" w:after="10"/>
              <w:jc w:val="left"/>
              <w:rPr>
                <w:rFonts w:cs="Calibri"/>
                <w:color w:val="000000"/>
                <w:sz w:val="22"/>
                <w:szCs w:val="22"/>
              </w:rPr>
            </w:pPr>
          </w:p>
        </w:tc>
        <w:tc>
          <w:tcPr>
            <w:tcW w:w="2662" w:type="dxa"/>
            <w:vMerge/>
            <w:shd w:val="clear" w:color="auto" w:fill="auto"/>
            <w:noWrap/>
            <w:hideMark/>
          </w:tcPr>
          <w:p w14:paraId="0E176BDC" w14:textId="707EB987" w:rsidR="005B7C19" w:rsidRPr="000B3C8A" w:rsidRDefault="005B7C19" w:rsidP="000B3C8A">
            <w:pPr>
              <w:spacing w:before="10" w:after="10"/>
              <w:jc w:val="left"/>
              <w:rPr>
                <w:rFonts w:cs="Calibri"/>
                <w:color w:val="000000"/>
                <w:sz w:val="22"/>
                <w:szCs w:val="22"/>
              </w:rPr>
            </w:pPr>
          </w:p>
        </w:tc>
        <w:tc>
          <w:tcPr>
            <w:tcW w:w="3685" w:type="dxa"/>
            <w:shd w:val="clear" w:color="auto" w:fill="auto"/>
            <w:noWrap/>
            <w:hideMark/>
          </w:tcPr>
          <w:p w14:paraId="33918AB3" w14:textId="7777777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Catterlen</w:t>
            </w:r>
          </w:p>
        </w:tc>
      </w:tr>
      <w:tr w:rsidR="005B7C19" w:rsidRPr="000B3C8A" w14:paraId="03EF72F4" w14:textId="77777777" w:rsidTr="00811860">
        <w:tc>
          <w:tcPr>
            <w:tcW w:w="2720" w:type="dxa"/>
            <w:vMerge/>
            <w:shd w:val="clear" w:color="auto" w:fill="auto"/>
            <w:noWrap/>
            <w:hideMark/>
          </w:tcPr>
          <w:p w14:paraId="3F7B2C86" w14:textId="77777777" w:rsidR="005B7C19" w:rsidRPr="000B3C8A" w:rsidRDefault="005B7C19" w:rsidP="000B3C8A">
            <w:pPr>
              <w:spacing w:before="10" w:after="10"/>
              <w:jc w:val="left"/>
              <w:rPr>
                <w:rFonts w:cs="Calibri"/>
                <w:color w:val="000000"/>
                <w:sz w:val="22"/>
                <w:szCs w:val="22"/>
              </w:rPr>
            </w:pPr>
          </w:p>
        </w:tc>
        <w:tc>
          <w:tcPr>
            <w:tcW w:w="2662" w:type="dxa"/>
            <w:vMerge w:val="restart"/>
            <w:shd w:val="clear" w:color="auto" w:fill="auto"/>
            <w:noWrap/>
            <w:hideMark/>
          </w:tcPr>
          <w:p w14:paraId="7367E07A" w14:textId="781ED104"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Kirkoswald</w:t>
            </w:r>
          </w:p>
        </w:tc>
        <w:tc>
          <w:tcPr>
            <w:tcW w:w="3685" w:type="dxa"/>
            <w:shd w:val="clear" w:color="auto" w:fill="auto"/>
            <w:noWrap/>
            <w:hideMark/>
          </w:tcPr>
          <w:p w14:paraId="731B9351" w14:textId="7777777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Ainstable</w:t>
            </w:r>
          </w:p>
        </w:tc>
      </w:tr>
      <w:tr w:rsidR="005B7C19" w:rsidRPr="000B3C8A" w14:paraId="490DBABD" w14:textId="77777777" w:rsidTr="00811860">
        <w:tc>
          <w:tcPr>
            <w:tcW w:w="2720" w:type="dxa"/>
            <w:vMerge/>
            <w:shd w:val="clear" w:color="auto" w:fill="auto"/>
            <w:noWrap/>
            <w:hideMark/>
          </w:tcPr>
          <w:p w14:paraId="1419BD1B" w14:textId="77777777" w:rsidR="005B7C19" w:rsidRPr="000B3C8A" w:rsidRDefault="005B7C19" w:rsidP="000B3C8A">
            <w:pPr>
              <w:spacing w:before="10" w:after="10"/>
              <w:jc w:val="left"/>
              <w:rPr>
                <w:rFonts w:cs="Calibri"/>
                <w:color w:val="000000"/>
                <w:sz w:val="22"/>
                <w:szCs w:val="22"/>
              </w:rPr>
            </w:pPr>
          </w:p>
        </w:tc>
        <w:tc>
          <w:tcPr>
            <w:tcW w:w="2662" w:type="dxa"/>
            <w:vMerge/>
            <w:shd w:val="clear" w:color="auto" w:fill="auto"/>
            <w:noWrap/>
            <w:hideMark/>
          </w:tcPr>
          <w:p w14:paraId="3A786CB5" w14:textId="6116F934" w:rsidR="005B7C19" w:rsidRPr="000B3C8A" w:rsidRDefault="005B7C19" w:rsidP="000B3C8A">
            <w:pPr>
              <w:spacing w:before="10" w:after="10"/>
              <w:jc w:val="left"/>
              <w:rPr>
                <w:rFonts w:cs="Calibri"/>
                <w:color w:val="000000"/>
                <w:sz w:val="22"/>
                <w:szCs w:val="22"/>
              </w:rPr>
            </w:pPr>
          </w:p>
        </w:tc>
        <w:tc>
          <w:tcPr>
            <w:tcW w:w="3685" w:type="dxa"/>
            <w:shd w:val="clear" w:color="auto" w:fill="auto"/>
            <w:noWrap/>
            <w:hideMark/>
          </w:tcPr>
          <w:p w14:paraId="38EF2290" w14:textId="7777777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Kirkoswald</w:t>
            </w:r>
          </w:p>
        </w:tc>
      </w:tr>
      <w:tr w:rsidR="005B7C19" w:rsidRPr="000B3C8A" w14:paraId="6E05D07C" w14:textId="77777777" w:rsidTr="00811860">
        <w:tc>
          <w:tcPr>
            <w:tcW w:w="2720" w:type="dxa"/>
            <w:vMerge/>
            <w:shd w:val="clear" w:color="auto" w:fill="auto"/>
            <w:noWrap/>
            <w:hideMark/>
          </w:tcPr>
          <w:p w14:paraId="2EC1C8FE" w14:textId="77777777" w:rsidR="005B7C19" w:rsidRPr="000B3C8A" w:rsidRDefault="005B7C19" w:rsidP="000B3C8A">
            <w:pPr>
              <w:spacing w:before="10" w:after="10"/>
              <w:jc w:val="left"/>
              <w:rPr>
                <w:rFonts w:cs="Calibri"/>
                <w:color w:val="000000"/>
                <w:sz w:val="22"/>
                <w:szCs w:val="22"/>
              </w:rPr>
            </w:pPr>
          </w:p>
        </w:tc>
        <w:tc>
          <w:tcPr>
            <w:tcW w:w="2662" w:type="dxa"/>
            <w:vMerge w:val="restart"/>
            <w:shd w:val="clear" w:color="auto" w:fill="auto"/>
            <w:noWrap/>
            <w:hideMark/>
          </w:tcPr>
          <w:p w14:paraId="5B487411" w14:textId="514588C1"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Langwathby</w:t>
            </w:r>
          </w:p>
        </w:tc>
        <w:tc>
          <w:tcPr>
            <w:tcW w:w="3685" w:type="dxa"/>
            <w:shd w:val="clear" w:color="auto" w:fill="auto"/>
            <w:noWrap/>
            <w:hideMark/>
          </w:tcPr>
          <w:p w14:paraId="05998812" w14:textId="7777777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Glassonby</w:t>
            </w:r>
          </w:p>
        </w:tc>
      </w:tr>
      <w:tr w:rsidR="005B7C19" w:rsidRPr="000B3C8A" w14:paraId="347A28E7" w14:textId="77777777" w:rsidTr="00811860">
        <w:tc>
          <w:tcPr>
            <w:tcW w:w="2720" w:type="dxa"/>
            <w:vMerge/>
            <w:shd w:val="clear" w:color="auto" w:fill="auto"/>
            <w:noWrap/>
            <w:hideMark/>
          </w:tcPr>
          <w:p w14:paraId="701C1CDB" w14:textId="77777777" w:rsidR="005B7C19" w:rsidRPr="000B3C8A" w:rsidRDefault="005B7C19" w:rsidP="000B3C8A">
            <w:pPr>
              <w:spacing w:before="10" w:after="10"/>
              <w:jc w:val="left"/>
              <w:rPr>
                <w:rFonts w:cs="Calibri"/>
                <w:color w:val="000000"/>
                <w:sz w:val="22"/>
                <w:szCs w:val="22"/>
              </w:rPr>
            </w:pPr>
          </w:p>
        </w:tc>
        <w:tc>
          <w:tcPr>
            <w:tcW w:w="2662" w:type="dxa"/>
            <w:vMerge/>
            <w:shd w:val="clear" w:color="auto" w:fill="auto"/>
            <w:noWrap/>
            <w:hideMark/>
          </w:tcPr>
          <w:p w14:paraId="018BE87C" w14:textId="31244076" w:rsidR="005B7C19" w:rsidRPr="000B3C8A" w:rsidRDefault="005B7C19" w:rsidP="000B3C8A">
            <w:pPr>
              <w:spacing w:before="10" w:after="10"/>
              <w:jc w:val="left"/>
              <w:rPr>
                <w:rFonts w:cs="Calibri"/>
                <w:color w:val="000000"/>
                <w:sz w:val="22"/>
                <w:szCs w:val="22"/>
              </w:rPr>
            </w:pPr>
          </w:p>
        </w:tc>
        <w:tc>
          <w:tcPr>
            <w:tcW w:w="3685" w:type="dxa"/>
            <w:shd w:val="clear" w:color="auto" w:fill="auto"/>
            <w:noWrap/>
            <w:hideMark/>
          </w:tcPr>
          <w:p w14:paraId="6F629850" w14:textId="7777777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Hunsonby</w:t>
            </w:r>
          </w:p>
        </w:tc>
      </w:tr>
      <w:tr w:rsidR="005B7C19" w:rsidRPr="000B3C8A" w14:paraId="0445968F" w14:textId="77777777" w:rsidTr="00811860">
        <w:tc>
          <w:tcPr>
            <w:tcW w:w="2720" w:type="dxa"/>
            <w:vMerge/>
            <w:shd w:val="clear" w:color="auto" w:fill="auto"/>
            <w:noWrap/>
            <w:hideMark/>
          </w:tcPr>
          <w:p w14:paraId="4D800441" w14:textId="77777777" w:rsidR="005B7C19" w:rsidRPr="000B3C8A" w:rsidRDefault="005B7C19" w:rsidP="000B3C8A">
            <w:pPr>
              <w:spacing w:before="10" w:after="10"/>
              <w:jc w:val="left"/>
              <w:rPr>
                <w:rFonts w:cs="Calibri"/>
                <w:color w:val="000000"/>
                <w:sz w:val="22"/>
                <w:szCs w:val="22"/>
              </w:rPr>
            </w:pPr>
          </w:p>
        </w:tc>
        <w:tc>
          <w:tcPr>
            <w:tcW w:w="2662" w:type="dxa"/>
            <w:vMerge/>
            <w:shd w:val="clear" w:color="auto" w:fill="auto"/>
            <w:noWrap/>
            <w:hideMark/>
          </w:tcPr>
          <w:p w14:paraId="432FFF64" w14:textId="3BB1AAA0" w:rsidR="005B7C19" w:rsidRPr="000B3C8A" w:rsidRDefault="005B7C19" w:rsidP="000B3C8A">
            <w:pPr>
              <w:spacing w:before="10" w:after="10"/>
              <w:jc w:val="left"/>
              <w:rPr>
                <w:rFonts w:cs="Calibri"/>
                <w:color w:val="000000"/>
                <w:sz w:val="22"/>
                <w:szCs w:val="22"/>
              </w:rPr>
            </w:pPr>
          </w:p>
        </w:tc>
        <w:tc>
          <w:tcPr>
            <w:tcW w:w="3685" w:type="dxa"/>
            <w:shd w:val="clear" w:color="auto" w:fill="auto"/>
            <w:noWrap/>
            <w:hideMark/>
          </w:tcPr>
          <w:p w14:paraId="236567A3" w14:textId="7777777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Langwathby</w:t>
            </w:r>
          </w:p>
        </w:tc>
      </w:tr>
      <w:tr w:rsidR="005B7C19" w:rsidRPr="000B3C8A" w14:paraId="400F4D73" w14:textId="77777777" w:rsidTr="00811860">
        <w:tc>
          <w:tcPr>
            <w:tcW w:w="2720" w:type="dxa"/>
            <w:vMerge/>
            <w:shd w:val="clear" w:color="auto" w:fill="auto"/>
            <w:noWrap/>
            <w:hideMark/>
          </w:tcPr>
          <w:p w14:paraId="7CADA438" w14:textId="77777777" w:rsidR="005B7C19" w:rsidRPr="000B3C8A" w:rsidRDefault="005B7C19" w:rsidP="000B3C8A">
            <w:pPr>
              <w:spacing w:before="10" w:after="10"/>
              <w:jc w:val="left"/>
              <w:rPr>
                <w:rFonts w:cs="Calibri"/>
                <w:color w:val="000000"/>
                <w:sz w:val="22"/>
                <w:szCs w:val="22"/>
              </w:rPr>
            </w:pPr>
          </w:p>
        </w:tc>
        <w:tc>
          <w:tcPr>
            <w:tcW w:w="2662" w:type="dxa"/>
            <w:vMerge w:val="restart"/>
            <w:shd w:val="clear" w:color="auto" w:fill="auto"/>
            <w:noWrap/>
            <w:hideMark/>
          </w:tcPr>
          <w:p w14:paraId="2C81E1FF" w14:textId="739C292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Lazonby</w:t>
            </w:r>
          </w:p>
        </w:tc>
        <w:tc>
          <w:tcPr>
            <w:tcW w:w="3685" w:type="dxa"/>
            <w:shd w:val="clear" w:color="auto" w:fill="auto"/>
            <w:noWrap/>
            <w:hideMark/>
          </w:tcPr>
          <w:p w14:paraId="0DC7AB9D" w14:textId="7777777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Great Salkeld</w:t>
            </w:r>
          </w:p>
        </w:tc>
      </w:tr>
      <w:tr w:rsidR="005B7C19" w:rsidRPr="000B3C8A" w14:paraId="2898A551" w14:textId="77777777" w:rsidTr="00811860">
        <w:tc>
          <w:tcPr>
            <w:tcW w:w="2720" w:type="dxa"/>
            <w:vMerge/>
            <w:shd w:val="clear" w:color="auto" w:fill="auto"/>
            <w:noWrap/>
            <w:hideMark/>
          </w:tcPr>
          <w:p w14:paraId="261AFD16" w14:textId="77777777" w:rsidR="005B7C19" w:rsidRPr="000B3C8A" w:rsidRDefault="005B7C19" w:rsidP="000B3C8A">
            <w:pPr>
              <w:spacing w:before="10" w:after="10"/>
              <w:jc w:val="left"/>
              <w:rPr>
                <w:rFonts w:cs="Calibri"/>
                <w:color w:val="000000"/>
                <w:sz w:val="22"/>
                <w:szCs w:val="22"/>
              </w:rPr>
            </w:pPr>
          </w:p>
        </w:tc>
        <w:tc>
          <w:tcPr>
            <w:tcW w:w="2662" w:type="dxa"/>
            <w:vMerge/>
            <w:shd w:val="clear" w:color="auto" w:fill="auto"/>
            <w:noWrap/>
            <w:hideMark/>
          </w:tcPr>
          <w:p w14:paraId="746BF354" w14:textId="16AD3512" w:rsidR="005B7C19" w:rsidRPr="000B3C8A" w:rsidRDefault="005B7C19" w:rsidP="000B3C8A">
            <w:pPr>
              <w:spacing w:before="10" w:after="10"/>
              <w:jc w:val="left"/>
              <w:rPr>
                <w:rFonts w:cs="Calibri"/>
                <w:color w:val="000000"/>
                <w:sz w:val="22"/>
                <w:szCs w:val="22"/>
              </w:rPr>
            </w:pPr>
          </w:p>
        </w:tc>
        <w:tc>
          <w:tcPr>
            <w:tcW w:w="3685" w:type="dxa"/>
            <w:shd w:val="clear" w:color="auto" w:fill="auto"/>
            <w:noWrap/>
            <w:hideMark/>
          </w:tcPr>
          <w:p w14:paraId="6C62E283" w14:textId="7777777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Lazonby</w:t>
            </w:r>
          </w:p>
        </w:tc>
      </w:tr>
      <w:tr w:rsidR="005B7C19" w:rsidRPr="000B3C8A" w14:paraId="5E4450EF" w14:textId="77777777" w:rsidTr="00811860">
        <w:tc>
          <w:tcPr>
            <w:tcW w:w="2720" w:type="dxa"/>
            <w:vMerge/>
            <w:shd w:val="clear" w:color="auto" w:fill="auto"/>
            <w:noWrap/>
            <w:hideMark/>
          </w:tcPr>
          <w:p w14:paraId="030AD34B" w14:textId="77777777" w:rsidR="005B7C19" w:rsidRPr="000B3C8A" w:rsidRDefault="005B7C19" w:rsidP="000B3C8A">
            <w:pPr>
              <w:spacing w:before="10" w:after="10"/>
              <w:jc w:val="left"/>
              <w:rPr>
                <w:rFonts w:cs="Calibri"/>
                <w:color w:val="000000"/>
                <w:sz w:val="22"/>
                <w:szCs w:val="22"/>
              </w:rPr>
            </w:pPr>
          </w:p>
        </w:tc>
        <w:tc>
          <w:tcPr>
            <w:tcW w:w="2662" w:type="dxa"/>
            <w:vMerge w:val="restart"/>
            <w:shd w:val="clear" w:color="auto" w:fill="auto"/>
            <w:noWrap/>
            <w:hideMark/>
          </w:tcPr>
          <w:p w14:paraId="5158A6EE" w14:textId="2C389D5A"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Morland</w:t>
            </w:r>
          </w:p>
        </w:tc>
        <w:tc>
          <w:tcPr>
            <w:tcW w:w="3685" w:type="dxa"/>
            <w:shd w:val="clear" w:color="auto" w:fill="auto"/>
            <w:noWrap/>
            <w:hideMark/>
          </w:tcPr>
          <w:p w14:paraId="5108EBA1" w14:textId="7777777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Cliburn</w:t>
            </w:r>
          </w:p>
        </w:tc>
      </w:tr>
      <w:tr w:rsidR="005B7C19" w:rsidRPr="000B3C8A" w14:paraId="6436AED1" w14:textId="77777777" w:rsidTr="00811860">
        <w:tc>
          <w:tcPr>
            <w:tcW w:w="2720" w:type="dxa"/>
            <w:vMerge/>
            <w:shd w:val="clear" w:color="auto" w:fill="auto"/>
            <w:noWrap/>
            <w:hideMark/>
          </w:tcPr>
          <w:p w14:paraId="7DE1CBAB" w14:textId="77777777" w:rsidR="005B7C19" w:rsidRPr="000B3C8A" w:rsidRDefault="005B7C19" w:rsidP="000B3C8A">
            <w:pPr>
              <w:spacing w:before="10" w:after="10"/>
              <w:jc w:val="left"/>
              <w:rPr>
                <w:rFonts w:cs="Calibri"/>
                <w:color w:val="000000"/>
                <w:sz w:val="22"/>
                <w:szCs w:val="22"/>
              </w:rPr>
            </w:pPr>
          </w:p>
        </w:tc>
        <w:tc>
          <w:tcPr>
            <w:tcW w:w="2662" w:type="dxa"/>
            <w:vMerge/>
            <w:shd w:val="clear" w:color="auto" w:fill="auto"/>
            <w:noWrap/>
            <w:hideMark/>
          </w:tcPr>
          <w:p w14:paraId="5A4F6012" w14:textId="44C01583" w:rsidR="005B7C19" w:rsidRPr="000B3C8A" w:rsidRDefault="005B7C19" w:rsidP="000B3C8A">
            <w:pPr>
              <w:spacing w:before="10" w:after="10"/>
              <w:jc w:val="left"/>
              <w:rPr>
                <w:rFonts w:cs="Calibri"/>
                <w:color w:val="000000"/>
                <w:sz w:val="22"/>
                <w:szCs w:val="22"/>
              </w:rPr>
            </w:pPr>
          </w:p>
        </w:tc>
        <w:tc>
          <w:tcPr>
            <w:tcW w:w="3685" w:type="dxa"/>
            <w:shd w:val="clear" w:color="auto" w:fill="auto"/>
            <w:noWrap/>
            <w:hideMark/>
          </w:tcPr>
          <w:p w14:paraId="3225839B" w14:textId="7777777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Great Strickland</w:t>
            </w:r>
          </w:p>
        </w:tc>
      </w:tr>
      <w:tr w:rsidR="005B7C19" w:rsidRPr="000B3C8A" w14:paraId="3C5B8BE1" w14:textId="77777777" w:rsidTr="00811860">
        <w:tc>
          <w:tcPr>
            <w:tcW w:w="2720" w:type="dxa"/>
            <w:vMerge/>
            <w:shd w:val="clear" w:color="auto" w:fill="auto"/>
            <w:noWrap/>
            <w:hideMark/>
          </w:tcPr>
          <w:p w14:paraId="20DD7C24" w14:textId="77777777" w:rsidR="005B7C19" w:rsidRPr="000B3C8A" w:rsidRDefault="005B7C19" w:rsidP="000B3C8A">
            <w:pPr>
              <w:spacing w:before="10" w:after="10"/>
              <w:jc w:val="left"/>
              <w:rPr>
                <w:rFonts w:cs="Calibri"/>
                <w:color w:val="000000"/>
                <w:sz w:val="22"/>
                <w:szCs w:val="22"/>
              </w:rPr>
            </w:pPr>
          </w:p>
        </w:tc>
        <w:tc>
          <w:tcPr>
            <w:tcW w:w="2662" w:type="dxa"/>
            <w:vMerge/>
            <w:shd w:val="clear" w:color="auto" w:fill="auto"/>
            <w:noWrap/>
            <w:hideMark/>
          </w:tcPr>
          <w:p w14:paraId="6BF0405A" w14:textId="69B187FF" w:rsidR="005B7C19" w:rsidRPr="000B3C8A" w:rsidRDefault="005B7C19" w:rsidP="000B3C8A">
            <w:pPr>
              <w:spacing w:before="10" w:after="10"/>
              <w:jc w:val="left"/>
              <w:rPr>
                <w:rFonts w:cs="Calibri"/>
                <w:color w:val="000000"/>
                <w:sz w:val="22"/>
                <w:szCs w:val="22"/>
              </w:rPr>
            </w:pPr>
          </w:p>
        </w:tc>
        <w:tc>
          <w:tcPr>
            <w:tcW w:w="3685" w:type="dxa"/>
            <w:shd w:val="clear" w:color="auto" w:fill="auto"/>
            <w:noWrap/>
            <w:hideMark/>
          </w:tcPr>
          <w:p w14:paraId="7AE19D46" w14:textId="7777777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Little Strickland</w:t>
            </w:r>
          </w:p>
        </w:tc>
      </w:tr>
      <w:tr w:rsidR="005B7C19" w:rsidRPr="000B3C8A" w14:paraId="62BF9AFC" w14:textId="77777777" w:rsidTr="00811860">
        <w:tc>
          <w:tcPr>
            <w:tcW w:w="2720" w:type="dxa"/>
            <w:vMerge/>
            <w:shd w:val="clear" w:color="auto" w:fill="auto"/>
            <w:noWrap/>
            <w:hideMark/>
          </w:tcPr>
          <w:p w14:paraId="1F11FD8C" w14:textId="77777777" w:rsidR="005B7C19" w:rsidRPr="000B3C8A" w:rsidRDefault="005B7C19" w:rsidP="000B3C8A">
            <w:pPr>
              <w:spacing w:before="10" w:after="10"/>
              <w:jc w:val="left"/>
              <w:rPr>
                <w:rFonts w:cs="Calibri"/>
                <w:color w:val="000000"/>
                <w:sz w:val="22"/>
                <w:szCs w:val="22"/>
              </w:rPr>
            </w:pPr>
          </w:p>
        </w:tc>
        <w:tc>
          <w:tcPr>
            <w:tcW w:w="2662" w:type="dxa"/>
            <w:vMerge/>
            <w:shd w:val="clear" w:color="auto" w:fill="auto"/>
            <w:noWrap/>
            <w:hideMark/>
          </w:tcPr>
          <w:p w14:paraId="1038B04A" w14:textId="10F850DE" w:rsidR="005B7C19" w:rsidRPr="000B3C8A" w:rsidRDefault="005B7C19" w:rsidP="000B3C8A">
            <w:pPr>
              <w:spacing w:before="10" w:after="10"/>
              <w:jc w:val="left"/>
              <w:rPr>
                <w:rFonts w:cs="Calibri"/>
                <w:color w:val="000000"/>
                <w:sz w:val="22"/>
                <w:szCs w:val="22"/>
              </w:rPr>
            </w:pPr>
          </w:p>
        </w:tc>
        <w:tc>
          <w:tcPr>
            <w:tcW w:w="3685" w:type="dxa"/>
            <w:shd w:val="clear" w:color="auto" w:fill="auto"/>
            <w:noWrap/>
            <w:hideMark/>
          </w:tcPr>
          <w:p w14:paraId="69CFC4D9" w14:textId="7777777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Morland</w:t>
            </w:r>
          </w:p>
        </w:tc>
      </w:tr>
      <w:tr w:rsidR="005B7C19" w:rsidRPr="000B3C8A" w14:paraId="7DFBA313" w14:textId="77777777" w:rsidTr="00811860">
        <w:tc>
          <w:tcPr>
            <w:tcW w:w="2720" w:type="dxa"/>
            <w:vMerge/>
            <w:shd w:val="clear" w:color="auto" w:fill="auto"/>
            <w:noWrap/>
            <w:hideMark/>
          </w:tcPr>
          <w:p w14:paraId="6BA9B3CC" w14:textId="77777777" w:rsidR="005B7C19" w:rsidRPr="000B3C8A" w:rsidRDefault="005B7C19" w:rsidP="000B3C8A">
            <w:pPr>
              <w:spacing w:before="10" w:after="10"/>
              <w:jc w:val="left"/>
              <w:rPr>
                <w:rFonts w:cs="Calibri"/>
                <w:color w:val="000000"/>
                <w:sz w:val="22"/>
                <w:szCs w:val="22"/>
              </w:rPr>
            </w:pPr>
          </w:p>
        </w:tc>
        <w:tc>
          <w:tcPr>
            <w:tcW w:w="2662" w:type="dxa"/>
            <w:vMerge/>
            <w:shd w:val="clear" w:color="auto" w:fill="auto"/>
            <w:noWrap/>
            <w:hideMark/>
          </w:tcPr>
          <w:p w14:paraId="68639BC8" w14:textId="3454DFE9" w:rsidR="005B7C19" w:rsidRPr="000B3C8A" w:rsidRDefault="005B7C19" w:rsidP="000B3C8A">
            <w:pPr>
              <w:spacing w:before="10" w:after="10"/>
              <w:jc w:val="left"/>
              <w:rPr>
                <w:rFonts w:cs="Calibri"/>
                <w:color w:val="000000"/>
                <w:sz w:val="22"/>
                <w:szCs w:val="22"/>
              </w:rPr>
            </w:pPr>
          </w:p>
        </w:tc>
        <w:tc>
          <w:tcPr>
            <w:tcW w:w="3685" w:type="dxa"/>
            <w:shd w:val="clear" w:color="auto" w:fill="auto"/>
            <w:noWrap/>
            <w:hideMark/>
          </w:tcPr>
          <w:p w14:paraId="505C3F77" w14:textId="7777777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Newby</w:t>
            </w:r>
          </w:p>
        </w:tc>
      </w:tr>
      <w:tr w:rsidR="005B7C19" w:rsidRPr="000B3C8A" w14:paraId="7CA1300B" w14:textId="77777777" w:rsidTr="00811860">
        <w:tc>
          <w:tcPr>
            <w:tcW w:w="2720" w:type="dxa"/>
            <w:vMerge/>
            <w:shd w:val="clear" w:color="auto" w:fill="auto"/>
            <w:noWrap/>
            <w:hideMark/>
          </w:tcPr>
          <w:p w14:paraId="39AC10DB" w14:textId="77777777" w:rsidR="005B7C19" w:rsidRPr="000B3C8A" w:rsidRDefault="005B7C19" w:rsidP="000B3C8A">
            <w:pPr>
              <w:spacing w:before="10" w:after="10"/>
              <w:jc w:val="left"/>
              <w:rPr>
                <w:rFonts w:cs="Calibri"/>
                <w:color w:val="000000"/>
                <w:sz w:val="22"/>
                <w:szCs w:val="22"/>
              </w:rPr>
            </w:pPr>
          </w:p>
        </w:tc>
        <w:tc>
          <w:tcPr>
            <w:tcW w:w="2662" w:type="dxa"/>
            <w:vMerge/>
            <w:shd w:val="clear" w:color="auto" w:fill="auto"/>
            <w:noWrap/>
            <w:hideMark/>
          </w:tcPr>
          <w:p w14:paraId="190F6C44" w14:textId="337AFB24" w:rsidR="005B7C19" w:rsidRPr="000B3C8A" w:rsidRDefault="005B7C19" w:rsidP="000B3C8A">
            <w:pPr>
              <w:spacing w:before="10" w:after="10"/>
              <w:jc w:val="left"/>
              <w:rPr>
                <w:rFonts w:cs="Calibri"/>
                <w:color w:val="000000"/>
                <w:sz w:val="22"/>
                <w:szCs w:val="22"/>
              </w:rPr>
            </w:pPr>
          </w:p>
        </w:tc>
        <w:tc>
          <w:tcPr>
            <w:tcW w:w="3685" w:type="dxa"/>
            <w:shd w:val="clear" w:color="auto" w:fill="auto"/>
            <w:noWrap/>
            <w:hideMark/>
          </w:tcPr>
          <w:p w14:paraId="7FB923D9" w14:textId="7777777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Sleagill</w:t>
            </w:r>
          </w:p>
        </w:tc>
      </w:tr>
      <w:tr w:rsidR="005B7C19" w:rsidRPr="000B3C8A" w14:paraId="69CA1019" w14:textId="77777777" w:rsidTr="00811860">
        <w:tc>
          <w:tcPr>
            <w:tcW w:w="2720" w:type="dxa"/>
            <w:vMerge/>
            <w:shd w:val="clear" w:color="auto" w:fill="auto"/>
            <w:noWrap/>
            <w:hideMark/>
          </w:tcPr>
          <w:p w14:paraId="4EBD0BB5" w14:textId="77777777" w:rsidR="005B7C19" w:rsidRPr="000B3C8A" w:rsidRDefault="005B7C19" w:rsidP="000B3C8A">
            <w:pPr>
              <w:spacing w:before="10" w:after="10"/>
              <w:jc w:val="left"/>
              <w:rPr>
                <w:rFonts w:cs="Calibri"/>
                <w:color w:val="000000"/>
                <w:sz w:val="22"/>
                <w:szCs w:val="22"/>
              </w:rPr>
            </w:pPr>
          </w:p>
        </w:tc>
        <w:tc>
          <w:tcPr>
            <w:tcW w:w="2662" w:type="dxa"/>
            <w:vMerge/>
            <w:shd w:val="clear" w:color="auto" w:fill="auto"/>
            <w:noWrap/>
            <w:hideMark/>
          </w:tcPr>
          <w:p w14:paraId="45770661" w14:textId="1721F5B5" w:rsidR="005B7C19" w:rsidRPr="000B3C8A" w:rsidRDefault="005B7C19" w:rsidP="000B3C8A">
            <w:pPr>
              <w:spacing w:before="10" w:after="10"/>
              <w:jc w:val="left"/>
              <w:rPr>
                <w:rFonts w:cs="Calibri"/>
                <w:color w:val="000000"/>
                <w:sz w:val="22"/>
                <w:szCs w:val="22"/>
              </w:rPr>
            </w:pPr>
          </w:p>
        </w:tc>
        <w:tc>
          <w:tcPr>
            <w:tcW w:w="3685" w:type="dxa"/>
            <w:shd w:val="clear" w:color="auto" w:fill="auto"/>
            <w:noWrap/>
            <w:hideMark/>
          </w:tcPr>
          <w:p w14:paraId="023C9919" w14:textId="7777777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Thrimby</w:t>
            </w:r>
          </w:p>
        </w:tc>
      </w:tr>
      <w:tr w:rsidR="005B7C19" w:rsidRPr="000B3C8A" w14:paraId="1ABFE7F2" w14:textId="77777777" w:rsidTr="00811860">
        <w:tc>
          <w:tcPr>
            <w:tcW w:w="2720" w:type="dxa"/>
            <w:vMerge/>
            <w:shd w:val="clear" w:color="auto" w:fill="auto"/>
            <w:noWrap/>
            <w:hideMark/>
          </w:tcPr>
          <w:p w14:paraId="07D87BE2" w14:textId="77777777" w:rsidR="005B7C19" w:rsidRPr="000B3C8A" w:rsidRDefault="005B7C19" w:rsidP="000B3C8A">
            <w:pPr>
              <w:spacing w:before="10" w:after="10"/>
              <w:jc w:val="left"/>
              <w:rPr>
                <w:rFonts w:cs="Calibri"/>
                <w:color w:val="000000"/>
                <w:sz w:val="22"/>
                <w:szCs w:val="22"/>
              </w:rPr>
            </w:pPr>
          </w:p>
        </w:tc>
        <w:tc>
          <w:tcPr>
            <w:tcW w:w="2662" w:type="dxa"/>
            <w:shd w:val="clear" w:color="auto" w:fill="auto"/>
            <w:noWrap/>
            <w:hideMark/>
          </w:tcPr>
          <w:p w14:paraId="17154DB1" w14:textId="7777777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Skelton</w:t>
            </w:r>
          </w:p>
        </w:tc>
        <w:tc>
          <w:tcPr>
            <w:tcW w:w="3685" w:type="dxa"/>
            <w:shd w:val="clear" w:color="auto" w:fill="auto"/>
            <w:noWrap/>
            <w:hideMark/>
          </w:tcPr>
          <w:p w14:paraId="275248CF" w14:textId="7777777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Skelton</w:t>
            </w:r>
          </w:p>
        </w:tc>
      </w:tr>
      <w:tr w:rsidR="005B7C19" w:rsidRPr="000B3C8A" w14:paraId="5171F1BA" w14:textId="77777777" w:rsidTr="00811860">
        <w:tc>
          <w:tcPr>
            <w:tcW w:w="2720" w:type="dxa"/>
            <w:vMerge w:val="restart"/>
            <w:shd w:val="clear" w:color="auto" w:fill="auto"/>
            <w:noWrap/>
            <w:hideMark/>
          </w:tcPr>
          <w:p w14:paraId="4F31F1F9" w14:textId="031D74FB" w:rsidR="005B7C19" w:rsidRPr="000B3C8A" w:rsidRDefault="005B7C19" w:rsidP="000B3C8A">
            <w:pPr>
              <w:spacing w:before="10" w:after="10"/>
              <w:jc w:val="left"/>
              <w:rPr>
                <w:rFonts w:cs="Calibri"/>
                <w:b/>
                <w:bCs/>
                <w:color w:val="000000"/>
                <w:sz w:val="22"/>
                <w:szCs w:val="22"/>
              </w:rPr>
            </w:pPr>
            <w:r w:rsidRPr="000B3C8A">
              <w:rPr>
                <w:rFonts w:cs="Calibri"/>
                <w:b/>
                <w:bCs/>
                <w:color w:val="000000"/>
                <w:sz w:val="22"/>
                <w:szCs w:val="22"/>
              </w:rPr>
              <w:t>HMA2 Appleby</w:t>
            </w:r>
          </w:p>
        </w:tc>
        <w:tc>
          <w:tcPr>
            <w:tcW w:w="2662" w:type="dxa"/>
            <w:shd w:val="clear" w:color="auto" w:fill="auto"/>
            <w:noWrap/>
            <w:hideMark/>
          </w:tcPr>
          <w:p w14:paraId="4A1CCD1A" w14:textId="7777777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Appleby</w:t>
            </w:r>
          </w:p>
        </w:tc>
        <w:tc>
          <w:tcPr>
            <w:tcW w:w="3685" w:type="dxa"/>
            <w:shd w:val="clear" w:color="auto" w:fill="auto"/>
            <w:noWrap/>
            <w:hideMark/>
          </w:tcPr>
          <w:p w14:paraId="4DF52AA6" w14:textId="7777777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Appleby-in-Westmorland</w:t>
            </w:r>
          </w:p>
        </w:tc>
      </w:tr>
      <w:tr w:rsidR="005B7C19" w:rsidRPr="000B3C8A" w14:paraId="70A11B9D" w14:textId="77777777" w:rsidTr="00811860">
        <w:tc>
          <w:tcPr>
            <w:tcW w:w="2720" w:type="dxa"/>
            <w:vMerge/>
            <w:shd w:val="clear" w:color="auto" w:fill="auto"/>
            <w:noWrap/>
            <w:hideMark/>
          </w:tcPr>
          <w:p w14:paraId="1B535B18" w14:textId="64633682" w:rsidR="005B7C19" w:rsidRPr="000B3C8A" w:rsidRDefault="005B7C19" w:rsidP="000B3C8A">
            <w:pPr>
              <w:spacing w:before="10" w:after="10"/>
              <w:jc w:val="left"/>
              <w:rPr>
                <w:rFonts w:cs="Calibri"/>
                <w:color w:val="000000"/>
                <w:sz w:val="22"/>
                <w:szCs w:val="22"/>
              </w:rPr>
            </w:pPr>
          </w:p>
        </w:tc>
        <w:tc>
          <w:tcPr>
            <w:tcW w:w="2662" w:type="dxa"/>
            <w:shd w:val="clear" w:color="auto" w:fill="auto"/>
            <w:noWrap/>
            <w:hideMark/>
          </w:tcPr>
          <w:p w14:paraId="67DA581F" w14:textId="7777777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Askham</w:t>
            </w:r>
          </w:p>
        </w:tc>
        <w:tc>
          <w:tcPr>
            <w:tcW w:w="3685" w:type="dxa"/>
            <w:shd w:val="clear" w:color="auto" w:fill="auto"/>
            <w:noWrap/>
            <w:hideMark/>
          </w:tcPr>
          <w:p w14:paraId="3E738424" w14:textId="7777777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Barton</w:t>
            </w:r>
          </w:p>
        </w:tc>
      </w:tr>
      <w:tr w:rsidR="005B7C19" w:rsidRPr="000B3C8A" w14:paraId="2B2F138F" w14:textId="77777777" w:rsidTr="00811860">
        <w:tc>
          <w:tcPr>
            <w:tcW w:w="2720" w:type="dxa"/>
            <w:vMerge/>
            <w:shd w:val="clear" w:color="auto" w:fill="auto"/>
            <w:noWrap/>
            <w:hideMark/>
          </w:tcPr>
          <w:p w14:paraId="6FAD3B43" w14:textId="3AEBFD3C" w:rsidR="005B7C19" w:rsidRPr="000B3C8A" w:rsidRDefault="005B7C19" w:rsidP="000B3C8A">
            <w:pPr>
              <w:spacing w:before="10" w:after="10"/>
              <w:jc w:val="left"/>
              <w:rPr>
                <w:rFonts w:cs="Calibri"/>
                <w:color w:val="000000"/>
                <w:sz w:val="22"/>
                <w:szCs w:val="22"/>
              </w:rPr>
            </w:pPr>
          </w:p>
        </w:tc>
        <w:tc>
          <w:tcPr>
            <w:tcW w:w="2662" w:type="dxa"/>
            <w:vMerge w:val="restart"/>
            <w:shd w:val="clear" w:color="auto" w:fill="auto"/>
            <w:noWrap/>
            <w:hideMark/>
          </w:tcPr>
          <w:p w14:paraId="63C76276" w14:textId="67CACD00"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Crosby Ravensworth</w:t>
            </w:r>
          </w:p>
        </w:tc>
        <w:tc>
          <w:tcPr>
            <w:tcW w:w="3685" w:type="dxa"/>
            <w:shd w:val="clear" w:color="auto" w:fill="auto"/>
            <w:noWrap/>
            <w:hideMark/>
          </w:tcPr>
          <w:p w14:paraId="73194313" w14:textId="7777777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Asby</w:t>
            </w:r>
          </w:p>
        </w:tc>
      </w:tr>
      <w:tr w:rsidR="005B7C19" w:rsidRPr="000B3C8A" w14:paraId="204D8A90" w14:textId="77777777" w:rsidTr="00811860">
        <w:tc>
          <w:tcPr>
            <w:tcW w:w="2720" w:type="dxa"/>
            <w:vMerge/>
            <w:shd w:val="clear" w:color="auto" w:fill="auto"/>
            <w:noWrap/>
            <w:hideMark/>
          </w:tcPr>
          <w:p w14:paraId="480E1EE7" w14:textId="7006D4F4" w:rsidR="005B7C19" w:rsidRPr="000B3C8A" w:rsidRDefault="005B7C19" w:rsidP="000B3C8A">
            <w:pPr>
              <w:spacing w:before="10" w:after="10"/>
              <w:jc w:val="left"/>
              <w:rPr>
                <w:rFonts w:cs="Calibri"/>
                <w:color w:val="000000"/>
                <w:sz w:val="22"/>
                <w:szCs w:val="22"/>
              </w:rPr>
            </w:pPr>
          </w:p>
        </w:tc>
        <w:tc>
          <w:tcPr>
            <w:tcW w:w="2662" w:type="dxa"/>
            <w:vMerge/>
            <w:shd w:val="clear" w:color="auto" w:fill="auto"/>
            <w:noWrap/>
            <w:hideMark/>
          </w:tcPr>
          <w:p w14:paraId="60C46878" w14:textId="304B3438" w:rsidR="005B7C19" w:rsidRPr="000B3C8A" w:rsidRDefault="005B7C19" w:rsidP="000B3C8A">
            <w:pPr>
              <w:spacing w:before="10" w:after="10"/>
              <w:jc w:val="left"/>
              <w:rPr>
                <w:rFonts w:cs="Calibri"/>
                <w:color w:val="000000"/>
                <w:sz w:val="22"/>
                <w:szCs w:val="22"/>
              </w:rPr>
            </w:pPr>
          </w:p>
        </w:tc>
        <w:tc>
          <w:tcPr>
            <w:tcW w:w="3685" w:type="dxa"/>
            <w:shd w:val="clear" w:color="auto" w:fill="auto"/>
            <w:noWrap/>
            <w:hideMark/>
          </w:tcPr>
          <w:p w14:paraId="69E8BAA7" w14:textId="7777777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Bolton</w:t>
            </w:r>
          </w:p>
        </w:tc>
      </w:tr>
      <w:tr w:rsidR="005B7C19" w:rsidRPr="000B3C8A" w14:paraId="398F2647" w14:textId="77777777" w:rsidTr="00811860">
        <w:tc>
          <w:tcPr>
            <w:tcW w:w="2720" w:type="dxa"/>
            <w:vMerge/>
            <w:shd w:val="clear" w:color="auto" w:fill="auto"/>
            <w:noWrap/>
            <w:hideMark/>
          </w:tcPr>
          <w:p w14:paraId="59C96D62" w14:textId="22CF9EAE" w:rsidR="005B7C19" w:rsidRPr="000B3C8A" w:rsidRDefault="005B7C19" w:rsidP="000B3C8A">
            <w:pPr>
              <w:spacing w:before="10" w:after="10"/>
              <w:jc w:val="left"/>
              <w:rPr>
                <w:rFonts w:cs="Calibri"/>
                <w:color w:val="000000"/>
                <w:sz w:val="22"/>
                <w:szCs w:val="22"/>
              </w:rPr>
            </w:pPr>
          </w:p>
        </w:tc>
        <w:tc>
          <w:tcPr>
            <w:tcW w:w="2662" w:type="dxa"/>
            <w:vMerge/>
            <w:shd w:val="clear" w:color="auto" w:fill="auto"/>
            <w:noWrap/>
            <w:hideMark/>
          </w:tcPr>
          <w:p w14:paraId="1F7635D9" w14:textId="3C102381" w:rsidR="005B7C19" w:rsidRPr="000B3C8A" w:rsidRDefault="005B7C19" w:rsidP="000B3C8A">
            <w:pPr>
              <w:spacing w:before="10" w:after="10"/>
              <w:jc w:val="left"/>
              <w:rPr>
                <w:rFonts w:cs="Calibri"/>
                <w:color w:val="000000"/>
                <w:sz w:val="22"/>
                <w:szCs w:val="22"/>
              </w:rPr>
            </w:pPr>
          </w:p>
        </w:tc>
        <w:tc>
          <w:tcPr>
            <w:tcW w:w="3685" w:type="dxa"/>
            <w:shd w:val="clear" w:color="auto" w:fill="auto"/>
            <w:noWrap/>
            <w:hideMark/>
          </w:tcPr>
          <w:p w14:paraId="14FC993B" w14:textId="7777777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Crosby Ravensworth</w:t>
            </w:r>
          </w:p>
        </w:tc>
      </w:tr>
      <w:tr w:rsidR="005B7C19" w:rsidRPr="000B3C8A" w14:paraId="310B9D49" w14:textId="77777777" w:rsidTr="00811860">
        <w:tc>
          <w:tcPr>
            <w:tcW w:w="2720" w:type="dxa"/>
            <w:vMerge/>
            <w:shd w:val="clear" w:color="auto" w:fill="auto"/>
            <w:noWrap/>
            <w:hideMark/>
          </w:tcPr>
          <w:p w14:paraId="43BC5453" w14:textId="4BE3B058" w:rsidR="005B7C19" w:rsidRPr="000B3C8A" w:rsidRDefault="005B7C19" w:rsidP="000B3C8A">
            <w:pPr>
              <w:spacing w:before="10" w:after="10"/>
              <w:jc w:val="left"/>
              <w:rPr>
                <w:rFonts w:cs="Calibri"/>
                <w:color w:val="000000"/>
                <w:sz w:val="22"/>
                <w:szCs w:val="22"/>
              </w:rPr>
            </w:pPr>
          </w:p>
        </w:tc>
        <w:tc>
          <w:tcPr>
            <w:tcW w:w="2662" w:type="dxa"/>
            <w:vMerge/>
            <w:shd w:val="clear" w:color="auto" w:fill="auto"/>
            <w:noWrap/>
            <w:hideMark/>
          </w:tcPr>
          <w:p w14:paraId="2AFBC886" w14:textId="7FAAC287" w:rsidR="005B7C19" w:rsidRPr="000B3C8A" w:rsidRDefault="005B7C19" w:rsidP="000B3C8A">
            <w:pPr>
              <w:spacing w:before="10" w:after="10"/>
              <w:jc w:val="left"/>
              <w:rPr>
                <w:rFonts w:cs="Calibri"/>
                <w:color w:val="000000"/>
                <w:sz w:val="22"/>
                <w:szCs w:val="22"/>
              </w:rPr>
            </w:pPr>
          </w:p>
        </w:tc>
        <w:tc>
          <w:tcPr>
            <w:tcW w:w="3685" w:type="dxa"/>
            <w:shd w:val="clear" w:color="auto" w:fill="auto"/>
            <w:noWrap/>
            <w:hideMark/>
          </w:tcPr>
          <w:p w14:paraId="18488464" w14:textId="7777777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King's Meaburn</w:t>
            </w:r>
          </w:p>
        </w:tc>
      </w:tr>
      <w:tr w:rsidR="005B7C19" w:rsidRPr="000B3C8A" w14:paraId="49D3BAC6" w14:textId="77777777" w:rsidTr="00811860">
        <w:tc>
          <w:tcPr>
            <w:tcW w:w="2720" w:type="dxa"/>
            <w:vMerge/>
            <w:shd w:val="clear" w:color="auto" w:fill="auto"/>
            <w:noWrap/>
            <w:hideMark/>
          </w:tcPr>
          <w:p w14:paraId="259DD2C3" w14:textId="039B3B06" w:rsidR="005B7C19" w:rsidRPr="000B3C8A" w:rsidRDefault="005B7C19" w:rsidP="000B3C8A">
            <w:pPr>
              <w:spacing w:before="10" w:after="10"/>
              <w:jc w:val="left"/>
              <w:rPr>
                <w:rFonts w:cs="Calibri"/>
                <w:color w:val="000000"/>
                <w:sz w:val="22"/>
                <w:szCs w:val="22"/>
              </w:rPr>
            </w:pPr>
          </w:p>
        </w:tc>
        <w:tc>
          <w:tcPr>
            <w:tcW w:w="2662" w:type="dxa"/>
            <w:vMerge w:val="restart"/>
            <w:shd w:val="clear" w:color="auto" w:fill="auto"/>
            <w:noWrap/>
            <w:hideMark/>
          </w:tcPr>
          <w:p w14:paraId="32AB4321" w14:textId="1604AF4F"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Kirkby Thore</w:t>
            </w:r>
          </w:p>
        </w:tc>
        <w:tc>
          <w:tcPr>
            <w:tcW w:w="3685" w:type="dxa"/>
            <w:shd w:val="clear" w:color="auto" w:fill="auto"/>
            <w:noWrap/>
            <w:hideMark/>
          </w:tcPr>
          <w:p w14:paraId="6F3B1CFB" w14:textId="7777777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Brougham</w:t>
            </w:r>
          </w:p>
        </w:tc>
      </w:tr>
      <w:tr w:rsidR="005B7C19" w:rsidRPr="000B3C8A" w14:paraId="359E8092" w14:textId="77777777" w:rsidTr="00811860">
        <w:tc>
          <w:tcPr>
            <w:tcW w:w="2720" w:type="dxa"/>
            <w:vMerge/>
            <w:shd w:val="clear" w:color="auto" w:fill="auto"/>
            <w:noWrap/>
            <w:hideMark/>
          </w:tcPr>
          <w:p w14:paraId="5AB125DB" w14:textId="31A25D7D" w:rsidR="005B7C19" w:rsidRPr="000B3C8A" w:rsidRDefault="005B7C19" w:rsidP="000B3C8A">
            <w:pPr>
              <w:spacing w:before="10" w:after="10"/>
              <w:jc w:val="left"/>
              <w:rPr>
                <w:rFonts w:cs="Calibri"/>
                <w:color w:val="000000"/>
                <w:sz w:val="22"/>
                <w:szCs w:val="22"/>
              </w:rPr>
            </w:pPr>
          </w:p>
        </w:tc>
        <w:tc>
          <w:tcPr>
            <w:tcW w:w="2662" w:type="dxa"/>
            <w:vMerge/>
            <w:shd w:val="clear" w:color="auto" w:fill="auto"/>
            <w:noWrap/>
            <w:hideMark/>
          </w:tcPr>
          <w:p w14:paraId="590619EC" w14:textId="107F7DE7" w:rsidR="005B7C19" w:rsidRPr="000B3C8A" w:rsidRDefault="005B7C19" w:rsidP="000B3C8A">
            <w:pPr>
              <w:spacing w:before="10" w:after="10"/>
              <w:jc w:val="left"/>
              <w:rPr>
                <w:rFonts w:cs="Calibri"/>
                <w:color w:val="000000"/>
                <w:sz w:val="22"/>
                <w:szCs w:val="22"/>
              </w:rPr>
            </w:pPr>
          </w:p>
        </w:tc>
        <w:tc>
          <w:tcPr>
            <w:tcW w:w="3685" w:type="dxa"/>
            <w:shd w:val="clear" w:color="auto" w:fill="auto"/>
            <w:noWrap/>
            <w:hideMark/>
          </w:tcPr>
          <w:p w14:paraId="5A1D6AFE" w14:textId="7777777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Kirkby Thore</w:t>
            </w:r>
          </w:p>
        </w:tc>
      </w:tr>
      <w:tr w:rsidR="005B7C19" w:rsidRPr="000B3C8A" w14:paraId="7FCFE91B" w14:textId="77777777" w:rsidTr="00811860">
        <w:tc>
          <w:tcPr>
            <w:tcW w:w="2720" w:type="dxa"/>
            <w:vMerge/>
            <w:shd w:val="clear" w:color="auto" w:fill="auto"/>
            <w:noWrap/>
            <w:hideMark/>
          </w:tcPr>
          <w:p w14:paraId="1CB722E7" w14:textId="3253D056" w:rsidR="005B7C19" w:rsidRPr="000B3C8A" w:rsidRDefault="005B7C19" w:rsidP="000B3C8A">
            <w:pPr>
              <w:spacing w:before="10" w:after="10"/>
              <w:jc w:val="left"/>
              <w:rPr>
                <w:rFonts w:cs="Calibri"/>
                <w:color w:val="000000"/>
                <w:sz w:val="22"/>
                <w:szCs w:val="22"/>
              </w:rPr>
            </w:pPr>
          </w:p>
        </w:tc>
        <w:tc>
          <w:tcPr>
            <w:tcW w:w="2662" w:type="dxa"/>
            <w:vMerge/>
            <w:shd w:val="clear" w:color="auto" w:fill="auto"/>
            <w:noWrap/>
            <w:hideMark/>
          </w:tcPr>
          <w:p w14:paraId="38C2C4CC" w14:textId="65C5003F" w:rsidR="005B7C19" w:rsidRPr="000B3C8A" w:rsidRDefault="005B7C19" w:rsidP="000B3C8A">
            <w:pPr>
              <w:spacing w:before="10" w:after="10"/>
              <w:jc w:val="left"/>
              <w:rPr>
                <w:rFonts w:cs="Calibri"/>
                <w:color w:val="000000"/>
                <w:sz w:val="22"/>
                <w:szCs w:val="22"/>
              </w:rPr>
            </w:pPr>
          </w:p>
        </w:tc>
        <w:tc>
          <w:tcPr>
            <w:tcW w:w="3685" w:type="dxa"/>
            <w:shd w:val="clear" w:color="auto" w:fill="auto"/>
            <w:noWrap/>
            <w:hideMark/>
          </w:tcPr>
          <w:p w14:paraId="23048786" w14:textId="7777777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Newbiggin</w:t>
            </w:r>
          </w:p>
        </w:tc>
      </w:tr>
      <w:tr w:rsidR="005B7C19" w:rsidRPr="000B3C8A" w14:paraId="5451B35C" w14:textId="77777777" w:rsidTr="00811860">
        <w:tc>
          <w:tcPr>
            <w:tcW w:w="2720" w:type="dxa"/>
            <w:vMerge/>
            <w:shd w:val="clear" w:color="auto" w:fill="auto"/>
            <w:noWrap/>
            <w:hideMark/>
          </w:tcPr>
          <w:p w14:paraId="662EB14F" w14:textId="7AD97C7B" w:rsidR="005B7C19" w:rsidRPr="000B3C8A" w:rsidRDefault="005B7C19" w:rsidP="000B3C8A">
            <w:pPr>
              <w:spacing w:before="10" w:after="10"/>
              <w:jc w:val="left"/>
              <w:rPr>
                <w:rFonts w:cs="Calibri"/>
                <w:color w:val="000000"/>
                <w:sz w:val="22"/>
                <w:szCs w:val="22"/>
              </w:rPr>
            </w:pPr>
          </w:p>
        </w:tc>
        <w:tc>
          <w:tcPr>
            <w:tcW w:w="2662" w:type="dxa"/>
            <w:vMerge/>
            <w:shd w:val="clear" w:color="auto" w:fill="auto"/>
            <w:noWrap/>
            <w:hideMark/>
          </w:tcPr>
          <w:p w14:paraId="28551152" w14:textId="423A6FB3" w:rsidR="005B7C19" w:rsidRPr="000B3C8A" w:rsidRDefault="005B7C19" w:rsidP="000B3C8A">
            <w:pPr>
              <w:spacing w:before="10" w:after="10"/>
              <w:jc w:val="left"/>
              <w:rPr>
                <w:rFonts w:cs="Calibri"/>
                <w:color w:val="000000"/>
                <w:sz w:val="22"/>
                <w:szCs w:val="22"/>
              </w:rPr>
            </w:pPr>
          </w:p>
        </w:tc>
        <w:tc>
          <w:tcPr>
            <w:tcW w:w="3685" w:type="dxa"/>
            <w:shd w:val="clear" w:color="auto" w:fill="auto"/>
            <w:noWrap/>
            <w:hideMark/>
          </w:tcPr>
          <w:p w14:paraId="628646A9" w14:textId="7777777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Temple Sowerby</w:t>
            </w:r>
          </w:p>
        </w:tc>
      </w:tr>
      <w:tr w:rsidR="005B7C19" w:rsidRPr="000B3C8A" w14:paraId="483813A6" w14:textId="77777777" w:rsidTr="00811860">
        <w:tc>
          <w:tcPr>
            <w:tcW w:w="2720" w:type="dxa"/>
            <w:vMerge/>
            <w:shd w:val="clear" w:color="auto" w:fill="auto"/>
            <w:noWrap/>
            <w:hideMark/>
          </w:tcPr>
          <w:p w14:paraId="5D5AB4D3" w14:textId="191F5DFF" w:rsidR="005B7C19" w:rsidRPr="000B3C8A" w:rsidRDefault="005B7C19" w:rsidP="000B3C8A">
            <w:pPr>
              <w:spacing w:before="10" w:after="10"/>
              <w:jc w:val="left"/>
              <w:rPr>
                <w:rFonts w:cs="Calibri"/>
                <w:color w:val="000000"/>
                <w:sz w:val="22"/>
                <w:szCs w:val="22"/>
              </w:rPr>
            </w:pPr>
          </w:p>
        </w:tc>
        <w:tc>
          <w:tcPr>
            <w:tcW w:w="2662" w:type="dxa"/>
            <w:vMerge w:val="restart"/>
            <w:shd w:val="clear" w:color="auto" w:fill="auto"/>
            <w:noWrap/>
            <w:hideMark/>
          </w:tcPr>
          <w:p w14:paraId="7BD7EBC6" w14:textId="0E215DA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Long Marton</w:t>
            </w:r>
          </w:p>
        </w:tc>
        <w:tc>
          <w:tcPr>
            <w:tcW w:w="3685" w:type="dxa"/>
            <w:shd w:val="clear" w:color="auto" w:fill="auto"/>
            <w:noWrap/>
            <w:hideMark/>
          </w:tcPr>
          <w:p w14:paraId="257D0511" w14:textId="7777777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Crackenthorpe</w:t>
            </w:r>
          </w:p>
        </w:tc>
      </w:tr>
      <w:tr w:rsidR="005B7C19" w:rsidRPr="000B3C8A" w14:paraId="3E4EBECC" w14:textId="77777777" w:rsidTr="00811860">
        <w:tc>
          <w:tcPr>
            <w:tcW w:w="2720" w:type="dxa"/>
            <w:vMerge/>
            <w:shd w:val="clear" w:color="auto" w:fill="auto"/>
            <w:noWrap/>
            <w:hideMark/>
          </w:tcPr>
          <w:p w14:paraId="2A56A32B" w14:textId="0469DC84" w:rsidR="005B7C19" w:rsidRPr="000B3C8A" w:rsidRDefault="005B7C19" w:rsidP="000B3C8A">
            <w:pPr>
              <w:spacing w:before="10" w:after="10"/>
              <w:jc w:val="left"/>
              <w:rPr>
                <w:rFonts w:cs="Calibri"/>
                <w:color w:val="000000"/>
                <w:sz w:val="22"/>
                <w:szCs w:val="22"/>
              </w:rPr>
            </w:pPr>
          </w:p>
        </w:tc>
        <w:tc>
          <w:tcPr>
            <w:tcW w:w="2662" w:type="dxa"/>
            <w:vMerge/>
            <w:shd w:val="clear" w:color="auto" w:fill="auto"/>
            <w:noWrap/>
            <w:hideMark/>
          </w:tcPr>
          <w:p w14:paraId="58BE769F" w14:textId="2D0818CF" w:rsidR="005B7C19" w:rsidRPr="000B3C8A" w:rsidRDefault="005B7C19" w:rsidP="000B3C8A">
            <w:pPr>
              <w:spacing w:before="10" w:after="10"/>
              <w:jc w:val="left"/>
              <w:rPr>
                <w:rFonts w:cs="Calibri"/>
                <w:color w:val="000000"/>
                <w:sz w:val="22"/>
                <w:szCs w:val="22"/>
              </w:rPr>
            </w:pPr>
          </w:p>
        </w:tc>
        <w:tc>
          <w:tcPr>
            <w:tcW w:w="3685" w:type="dxa"/>
            <w:shd w:val="clear" w:color="auto" w:fill="auto"/>
            <w:noWrap/>
            <w:hideMark/>
          </w:tcPr>
          <w:p w14:paraId="1DD98EFA" w14:textId="7777777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Dufton</w:t>
            </w:r>
          </w:p>
        </w:tc>
      </w:tr>
      <w:tr w:rsidR="005B7C19" w:rsidRPr="000B3C8A" w14:paraId="78EFED3B" w14:textId="77777777" w:rsidTr="00811860">
        <w:tc>
          <w:tcPr>
            <w:tcW w:w="2720" w:type="dxa"/>
            <w:vMerge/>
            <w:shd w:val="clear" w:color="auto" w:fill="auto"/>
            <w:noWrap/>
            <w:hideMark/>
          </w:tcPr>
          <w:p w14:paraId="6DFA77DE" w14:textId="066AF7D1" w:rsidR="005B7C19" w:rsidRPr="000B3C8A" w:rsidRDefault="005B7C19" w:rsidP="000B3C8A">
            <w:pPr>
              <w:spacing w:before="10" w:after="10"/>
              <w:jc w:val="left"/>
              <w:rPr>
                <w:rFonts w:cs="Calibri"/>
                <w:color w:val="000000"/>
                <w:sz w:val="22"/>
                <w:szCs w:val="22"/>
              </w:rPr>
            </w:pPr>
          </w:p>
        </w:tc>
        <w:tc>
          <w:tcPr>
            <w:tcW w:w="2662" w:type="dxa"/>
            <w:vMerge/>
            <w:shd w:val="clear" w:color="auto" w:fill="auto"/>
            <w:noWrap/>
            <w:hideMark/>
          </w:tcPr>
          <w:p w14:paraId="3CD55EBC" w14:textId="342FEC1D" w:rsidR="005B7C19" w:rsidRPr="000B3C8A" w:rsidRDefault="005B7C19" w:rsidP="000B3C8A">
            <w:pPr>
              <w:spacing w:before="10" w:after="10"/>
              <w:jc w:val="left"/>
              <w:rPr>
                <w:rFonts w:cs="Calibri"/>
                <w:color w:val="000000"/>
                <w:sz w:val="22"/>
                <w:szCs w:val="22"/>
              </w:rPr>
            </w:pPr>
          </w:p>
        </w:tc>
        <w:tc>
          <w:tcPr>
            <w:tcW w:w="3685" w:type="dxa"/>
            <w:shd w:val="clear" w:color="auto" w:fill="auto"/>
            <w:noWrap/>
            <w:hideMark/>
          </w:tcPr>
          <w:p w14:paraId="60A0191A" w14:textId="7777777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Long Marton</w:t>
            </w:r>
          </w:p>
        </w:tc>
      </w:tr>
      <w:tr w:rsidR="005B7C19" w:rsidRPr="000B3C8A" w14:paraId="6DA88D0F" w14:textId="77777777" w:rsidTr="00811860">
        <w:tc>
          <w:tcPr>
            <w:tcW w:w="2720" w:type="dxa"/>
            <w:vMerge/>
            <w:shd w:val="clear" w:color="auto" w:fill="auto"/>
            <w:noWrap/>
            <w:hideMark/>
          </w:tcPr>
          <w:p w14:paraId="276CFB21" w14:textId="2492E13D" w:rsidR="005B7C19" w:rsidRPr="000B3C8A" w:rsidRDefault="005B7C19" w:rsidP="000B3C8A">
            <w:pPr>
              <w:spacing w:before="10" w:after="10"/>
              <w:jc w:val="left"/>
              <w:rPr>
                <w:rFonts w:cs="Calibri"/>
                <w:color w:val="000000"/>
                <w:sz w:val="22"/>
                <w:szCs w:val="22"/>
              </w:rPr>
            </w:pPr>
          </w:p>
        </w:tc>
        <w:tc>
          <w:tcPr>
            <w:tcW w:w="2662" w:type="dxa"/>
            <w:vMerge/>
            <w:shd w:val="clear" w:color="auto" w:fill="auto"/>
            <w:noWrap/>
            <w:hideMark/>
          </w:tcPr>
          <w:p w14:paraId="1AEADCDC" w14:textId="19656BDF" w:rsidR="005B7C19" w:rsidRPr="000B3C8A" w:rsidRDefault="005B7C19" w:rsidP="000B3C8A">
            <w:pPr>
              <w:spacing w:before="10" w:after="10"/>
              <w:jc w:val="left"/>
              <w:rPr>
                <w:rFonts w:cs="Calibri"/>
                <w:color w:val="000000"/>
                <w:sz w:val="22"/>
                <w:szCs w:val="22"/>
              </w:rPr>
            </w:pPr>
          </w:p>
        </w:tc>
        <w:tc>
          <w:tcPr>
            <w:tcW w:w="3685" w:type="dxa"/>
            <w:shd w:val="clear" w:color="auto" w:fill="auto"/>
            <w:noWrap/>
            <w:hideMark/>
          </w:tcPr>
          <w:p w14:paraId="3F279C6B" w14:textId="7777777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Milburn</w:t>
            </w:r>
          </w:p>
        </w:tc>
      </w:tr>
      <w:tr w:rsidR="005B7C19" w:rsidRPr="000B3C8A" w14:paraId="284C691D" w14:textId="77777777" w:rsidTr="00811860">
        <w:tc>
          <w:tcPr>
            <w:tcW w:w="2720" w:type="dxa"/>
            <w:vMerge/>
            <w:shd w:val="clear" w:color="auto" w:fill="auto"/>
            <w:noWrap/>
            <w:hideMark/>
          </w:tcPr>
          <w:p w14:paraId="763870A2" w14:textId="4B942CCB" w:rsidR="005B7C19" w:rsidRPr="000B3C8A" w:rsidRDefault="005B7C19" w:rsidP="000B3C8A">
            <w:pPr>
              <w:spacing w:before="10" w:after="10"/>
              <w:jc w:val="left"/>
              <w:rPr>
                <w:rFonts w:cs="Calibri"/>
                <w:color w:val="000000"/>
                <w:sz w:val="22"/>
                <w:szCs w:val="22"/>
              </w:rPr>
            </w:pPr>
          </w:p>
        </w:tc>
        <w:tc>
          <w:tcPr>
            <w:tcW w:w="2662" w:type="dxa"/>
            <w:vMerge w:val="restart"/>
            <w:shd w:val="clear" w:color="auto" w:fill="auto"/>
            <w:noWrap/>
            <w:hideMark/>
          </w:tcPr>
          <w:p w14:paraId="6E45DE2D" w14:textId="0682B6D5"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Warcop</w:t>
            </w:r>
          </w:p>
        </w:tc>
        <w:tc>
          <w:tcPr>
            <w:tcW w:w="3685" w:type="dxa"/>
            <w:shd w:val="clear" w:color="auto" w:fill="auto"/>
            <w:hideMark/>
          </w:tcPr>
          <w:p w14:paraId="096950C6" w14:textId="7777777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Bandleyside (Colby, Hoff &amp; Ormside)</w:t>
            </w:r>
          </w:p>
        </w:tc>
      </w:tr>
      <w:tr w:rsidR="005B7C19" w:rsidRPr="000B3C8A" w14:paraId="7BC76F9B" w14:textId="77777777" w:rsidTr="00811860">
        <w:tc>
          <w:tcPr>
            <w:tcW w:w="2720" w:type="dxa"/>
            <w:vMerge/>
            <w:shd w:val="clear" w:color="auto" w:fill="auto"/>
            <w:noWrap/>
            <w:hideMark/>
          </w:tcPr>
          <w:p w14:paraId="16694552" w14:textId="578E8F0A" w:rsidR="005B7C19" w:rsidRPr="000B3C8A" w:rsidRDefault="005B7C19" w:rsidP="000B3C8A">
            <w:pPr>
              <w:spacing w:before="10" w:after="10"/>
              <w:jc w:val="left"/>
              <w:rPr>
                <w:rFonts w:cs="Calibri"/>
                <w:color w:val="000000"/>
                <w:sz w:val="22"/>
                <w:szCs w:val="22"/>
              </w:rPr>
            </w:pPr>
          </w:p>
        </w:tc>
        <w:tc>
          <w:tcPr>
            <w:tcW w:w="2662" w:type="dxa"/>
            <w:vMerge/>
            <w:shd w:val="clear" w:color="auto" w:fill="auto"/>
            <w:noWrap/>
            <w:hideMark/>
          </w:tcPr>
          <w:p w14:paraId="5F950EB6" w14:textId="6DB7F801" w:rsidR="005B7C19" w:rsidRPr="000B3C8A" w:rsidRDefault="005B7C19" w:rsidP="000B3C8A">
            <w:pPr>
              <w:spacing w:before="10" w:after="10"/>
              <w:jc w:val="left"/>
              <w:rPr>
                <w:rFonts w:cs="Calibri"/>
                <w:color w:val="000000"/>
                <w:sz w:val="22"/>
                <w:szCs w:val="22"/>
              </w:rPr>
            </w:pPr>
          </w:p>
        </w:tc>
        <w:tc>
          <w:tcPr>
            <w:tcW w:w="3685" w:type="dxa"/>
            <w:shd w:val="clear" w:color="auto" w:fill="auto"/>
            <w:noWrap/>
            <w:hideMark/>
          </w:tcPr>
          <w:p w14:paraId="74625799" w14:textId="7777777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Murton</w:t>
            </w:r>
          </w:p>
        </w:tc>
      </w:tr>
      <w:tr w:rsidR="005B7C19" w:rsidRPr="000B3C8A" w14:paraId="0A5BE7E9" w14:textId="77777777" w:rsidTr="00811860">
        <w:tc>
          <w:tcPr>
            <w:tcW w:w="2720" w:type="dxa"/>
            <w:vMerge/>
            <w:shd w:val="clear" w:color="auto" w:fill="auto"/>
            <w:noWrap/>
            <w:hideMark/>
          </w:tcPr>
          <w:p w14:paraId="2D118439" w14:textId="22B05EA4" w:rsidR="005B7C19" w:rsidRPr="000B3C8A" w:rsidRDefault="005B7C19" w:rsidP="000B3C8A">
            <w:pPr>
              <w:spacing w:before="10" w:after="10"/>
              <w:jc w:val="left"/>
              <w:rPr>
                <w:rFonts w:cs="Calibri"/>
                <w:color w:val="000000"/>
                <w:sz w:val="22"/>
                <w:szCs w:val="22"/>
              </w:rPr>
            </w:pPr>
          </w:p>
        </w:tc>
        <w:tc>
          <w:tcPr>
            <w:tcW w:w="2662" w:type="dxa"/>
            <w:vMerge/>
            <w:shd w:val="clear" w:color="auto" w:fill="auto"/>
            <w:noWrap/>
            <w:hideMark/>
          </w:tcPr>
          <w:p w14:paraId="140A3C60" w14:textId="2557ED7F" w:rsidR="005B7C19" w:rsidRPr="000B3C8A" w:rsidRDefault="005B7C19" w:rsidP="000B3C8A">
            <w:pPr>
              <w:spacing w:before="10" w:after="10"/>
              <w:jc w:val="left"/>
              <w:rPr>
                <w:rFonts w:cs="Calibri"/>
                <w:color w:val="000000"/>
                <w:sz w:val="22"/>
                <w:szCs w:val="22"/>
              </w:rPr>
            </w:pPr>
          </w:p>
        </w:tc>
        <w:tc>
          <w:tcPr>
            <w:tcW w:w="3685" w:type="dxa"/>
            <w:shd w:val="clear" w:color="auto" w:fill="auto"/>
            <w:noWrap/>
            <w:hideMark/>
          </w:tcPr>
          <w:p w14:paraId="67BAF528" w14:textId="7777777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Warcop and Bleatarn</w:t>
            </w:r>
          </w:p>
        </w:tc>
      </w:tr>
      <w:tr w:rsidR="005B7C19" w:rsidRPr="000B3C8A" w14:paraId="35253A40" w14:textId="77777777" w:rsidTr="00811860">
        <w:tc>
          <w:tcPr>
            <w:tcW w:w="2720" w:type="dxa"/>
            <w:vMerge w:val="restart"/>
            <w:shd w:val="clear" w:color="auto" w:fill="auto"/>
            <w:noWrap/>
            <w:hideMark/>
          </w:tcPr>
          <w:p w14:paraId="07C00EA1" w14:textId="77777777" w:rsidR="005B7C19" w:rsidRPr="000B3C8A" w:rsidRDefault="005B7C19" w:rsidP="000B3C8A">
            <w:pPr>
              <w:spacing w:before="10" w:after="10"/>
              <w:jc w:val="left"/>
              <w:rPr>
                <w:rFonts w:cs="Calibri"/>
                <w:b/>
                <w:bCs/>
                <w:color w:val="000000"/>
                <w:sz w:val="22"/>
                <w:szCs w:val="22"/>
              </w:rPr>
            </w:pPr>
            <w:r w:rsidRPr="000B3C8A">
              <w:rPr>
                <w:rFonts w:cs="Calibri"/>
                <w:b/>
                <w:bCs/>
                <w:color w:val="000000"/>
                <w:sz w:val="22"/>
                <w:szCs w:val="22"/>
              </w:rPr>
              <w:t>HMA3 Kirkby Stephen</w:t>
            </w:r>
          </w:p>
        </w:tc>
        <w:tc>
          <w:tcPr>
            <w:tcW w:w="2662" w:type="dxa"/>
            <w:vMerge w:val="restart"/>
            <w:shd w:val="clear" w:color="auto" w:fill="auto"/>
            <w:noWrap/>
            <w:hideMark/>
          </w:tcPr>
          <w:p w14:paraId="6DFDF979" w14:textId="2F5B260E"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Brough</w:t>
            </w:r>
          </w:p>
        </w:tc>
        <w:tc>
          <w:tcPr>
            <w:tcW w:w="3685" w:type="dxa"/>
            <w:shd w:val="clear" w:color="auto" w:fill="auto"/>
            <w:noWrap/>
            <w:hideMark/>
          </w:tcPr>
          <w:p w14:paraId="43587FA2" w14:textId="7777777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Brough</w:t>
            </w:r>
          </w:p>
        </w:tc>
      </w:tr>
      <w:tr w:rsidR="005B7C19" w:rsidRPr="000B3C8A" w14:paraId="2575A895" w14:textId="77777777" w:rsidTr="00811860">
        <w:tc>
          <w:tcPr>
            <w:tcW w:w="2720" w:type="dxa"/>
            <w:vMerge/>
            <w:shd w:val="clear" w:color="auto" w:fill="auto"/>
            <w:noWrap/>
            <w:hideMark/>
          </w:tcPr>
          <w:p w14:paraId="70387F44" w14:textId="77777777" w:rsidR="005B7C19" w:rsidRPr="000B3C8A" w:rsidRDefault="005B7C19" w:rsidP="000B3C8A">
            <w:pPr>
              <w:spacing w:before="10" w:after="10"/>
              <w:jc w:val="left"/>
              <w:rPr>
                <w:rFonts w:cs="Calibri"/>
                <w:color w:val="000000"/>
                <w:sz w:val="22"/>
                <w:szCs w:val="22"/>
              </w:rPr>
            </w:pPr>
          </w:p>
        </w:tc>
        <w:tc>
          <w:tcPr>
            <w:tcW w:w="2662" w:type="dxa"/>
            <w:vMerge/>
            <w:shd w:val="clear" w:color="auto" w:fill="auto"/>
            <w:noWrap/>
            <w:hideMark/>
          </w:tcPr>
          <w:p w14:paraId="427741A0" w14:textId="13BFEAB6" w:rsidR="005B7C19" w:rsidRPr="000B3C8A" w:rsidRDefault="005B7C19" w:rsidP="000B3C8A">
            <w:pPr>
              <w:spacing w:before="10" w:after="10"/>
              <w:jc w:val="left"/>
              <w:rPr>
                <w:rFonts w:cs="Calibri"/>
                <w:color w:val="000000"/>
                <w:sz w:val="22"/>
                <w:szCs w:val="22"/>
              </w:rPr>
            </w:pPr>
          </w:p>
        </w:tc>
        <w:tc>
          <w:tcPr>
            <w:tcW w:w="3685" w:type="dxa"/>
            <w:shd w:val="clear" w:color="auto" w:fill="auto"/>
            <w:noWrap/>
            <w:hideMark/>
          </w:tcPr>
          <w:p w14:paraId="741D5C95" w14:textId="7777777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Brough Sowerby</w:t>
            </w:r>
          </w:p>
        </w:tc>
      </w:tr>
      <w:tr w:rsidR="005B7C19" w:rsidRPr="000B3C8A" w14:paraId="14667787" w14:textId="77777777" w:rsidTr="00811860">
        <w:tc>
          <w:tcPr>
            <w:tcW w:w="2720" w:type="dxa"/>
            <w:vMerge/>
            <w:shd w:val="clear" w:color="auto" w:fill="auto"/>
            <w:noWrap/>
            <w:hideMark/>
          </w:tcPr>
          <w:p w14:paraId="2DD117B3" w14:textId="77777777" w:rsidR="005B7C19" w:rsidRPr="000B3C8A" w:rsidRDefault="005B7C19" w:rsidP="000B3C8A">
            <w:pPr>
              <w:spacing w:before="10" w:after="10"/>
              <w:jc w:val="left"/>
              <w:rPr>
                <w:rFonts w:cs="Calibri"/>
                <w:color w:val="000000"/>
                <w:sz w:val="22"/>
                <w:szCs w:val="22"/>
              </w:rPr>
            </w:pPr>
          </w:p>
        </w:tc>
        <w:tc>
          <w:tcPr>
            <w:tcW w:w="2662" w:type="dxa"/>
            <w:vMerge/>
            <w:shd w:val="clear" w:color="auto" w:fill="auto"/>
            <w:noWrap/>
            <w:hideMark/>
          </w:tcPr>
          <w:p w14:paraId="4986F103" w14:textId="2A72CFFB" w:rsidR="005B7C19" w:rsidRPr="000B3C8A" w:rsidRDefault="005B7C19" w:rsidP="000B3C8A">
            <w:pPr>
              <w:spacing w:before="10" w:after="10"/>
              <w:jc w:val="left"/>
              <w:rPr>
                <w:rFonts w:cs="Calibri"/>
                <w:color w:val="000000"/>
                <w:sz w:val="22"/>
                <w:szCs w:val="22"/>
              </w:rPr>
            </w:pPr>
          </w:p>
        </w:tc>
        <w:tc>
          <w:tcPr>
            <w:tcW w:w="3685" w:type="dxa"/>
            <w:shd w:val="clear" w:color="auto" w:fill="auto"/>
            <w:noWrap/>
            <w:hideMark/>
          </w:tcPr>
          <w:p w14:paraId="58D8E8C3" w14:textId="7777777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Helbeck</w:t>
            </w:r>
          </w:p>
        </w:tc>
      </w:tr>
      <w:tr w:rsidR="005B7C19" w:rsidRPr="000B3C8A" w14:paraId="6B043DD0" w14:textId="77777777" w:rsidTr="00811860">
        <w:tc>
          <w:tcPr>
            <w:tcW w:w="2720" w:type="dxa"/>
            <w:vMerge/>
            <w:shd w:val="clear" w:color="auto" w:fill="auto"/>
            <w:noWrap/>
            <w:hideMark/>
          </w:tcPr>
          <w:p w14:paraId="3A044518" w14:textId="77777777" w:rsidR="005B7C19" w:rsidRPr="000B3C8A" w:rsidRDefault="005B7C19" w:rsidP="000B3C8A">
            <w:pPr>
              <w:spacing w:before="10" w:after="10"/>
              <w:jc w:val="left"/>
              <w:rPr>
                <w:rFonts w:cs="Calibri"/>
                <w:color w:val="000000"/>
                <w:sz w:val="22"/>
                <w:szCs w:val="22"/>
              </w:rPr>
            </w:pPr>
          </w:p>
        </w:tc>
        <w:tc>
          <w:tcPr>
            <w:tcW w:w="2662" w:type="dxa"/>
            <w:vMerge/>
            <w:shd w:val="clear" w:color="auto" w:fill="auto"/>
            <w:noWrap/>
            <w:hideMark/>
          </w:tcPr>
          <w:p w14:paraId="50DB7565" w14:textId="0B660DF0" w:rsidR="005B7C19" w:rsidRPr="000B3C8A" w:rsidRDefault="005B7C19" w:rsidP="000B3C8A">
            <w:pPr>
              <w:spacing w:before="10" w:after="10"/>
              <w:jc w:val="left"/>
              <w:rPr>
                <w:rFonts w:cs="Calibri"/>
                <w:color w:val="000000"/>
                <w:sz w:val="22"/>
                <w:szCs w:val="22"/>
              </w:rPr>
            </w:pPr>
          </w:p>
        </w:tc>
        <w:tc>
          <w:tcPr>
            <w:tcW w:w="3685" w:type="dxa"/>
            <w:shd w:val="clear" w:color="auto" w:fill="auto"/>
            <w:noWrap/>
            <w:hideMark/>
          </w:tcPr>
          <w:p w14:paraId="0E338F11" w14:textId="7777777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Musgrave</w:t>
            </w:r>
          </w:p>
        </w:tc>
      </w:tr>
      <w:tr w:rsidR="005B7C19" w:rsidRPr="000B3C8A" w14:paraId="49669DE9" w14:textId="77777777" w:rsidTr="00811860">
        <w:tc>
          <w:tcPr>
            <w:tcW w:w="2720" w:type="dxa"/>
            <w:vMerge/>
            <w:shd w:val="clear" w:color="auto" w:fill="auto"/>
            <w:noWrap/>
            <w:hideMark/>
          </w:tcPr>
          <w:p w14:paraId="1CC44F13" w14:textId="77777777" w:rsidR="005B7C19" w:rsidRPr="000B3C8A" w:rsidRDefault="005B7C19" w:rsidP="000B3C8A">
            <w:pPr>
              <w:spacing w:before="10" w:after="10"/>
              <w:jc w:val="left"/>
              <w:rPr>
                <w:rFonts w:cs="Calibri"/>
                <w:color w:val="000000"/>
                <w:sz w:val="22"/>
                <w:szCs w:val="22"/>
              </w:rPr>
            </w:pPr>
          </w:p>
        </w:tc>
        <w:tc>
          <w:tcPr>
            <w:tcW w:w="2662" w:type="dxa"/>
            <w:vMerge/>
            <w:shd w:val="clear" w:color="auto" w:fill="auto"/>
            <w:noWrap/>
            <w:hideMark/>
          </w:tcPr>
          <w:p w14:paraId="321A3EC8" w14:textId="38B3C14A" w:rsidR="005B7C19" w:rsidRPr="000B3C8A" w:rsidRDefault="005B7C19" w:rsidP="000B3C8A">
            <w:pPr>
              <w:spacing w:before="10" w:after="10"/>
              <w:jc w:val="left"/>
              <w:rPr>
                <w:rFonts w:cs="Calibri"/>
                <w:color w:val="000000"/>
                <w:sz w:val="22"/>
                <w:szCs w:val="22"/>
              </w:rPr>
            </w:pPr>
          </w:p>
        </w:tc>
        <w:tc>
          <w:tcPr>
            <w:tcW w:w="3685" w:type="dxa"/>
            <w:shd w:val="clear" w:color="auto" w:fill="auto"/>
            <w:noWrap/>
            <w:hideMark/>
          </w:tcPr>
          <w:p w14:paraId="33E73EF2" w14:textId="7777777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Stainmore</w:t>
            </w:r>
          </w:p>
        </w:tc>
      </w:tr>
      <w:tr w:rsidR="005B7C19" w:rsidRPr="000B3C8A" w14:paraId="44A112FC" w14:textId="77777777" w:rsidTr="00811860">
        <w:tc>
          <w:tcPr>
            <w:tcW w:w="2720" w:type="dxa"/>
            <w:vMerge/>
            <w:shd w:val="clear" w:color="auto" w:fill="auto"/>
            <w:noWrap/>
            <w:hideMark/>
          </w:tcPr>
          <w:p w14:paraId="00C4BEE0" w14:textId="77777777" w:rsidR="005B7C19" w:rsidRPr="000B3C8A" w:rsidRDefault="005B7C19" w:rsidP="000B3C8A">
            <w:pPr>
              <w:spacing w:before="10" w:after="10"/>
              <w:jc w:val="left"/>
              <w:rPr>
                <w:rFonts w:cs="Calibri"/>
                <w:color w:val="000000"/>
                <w:sz w:val="22"/>
                <w:szCs w:val="22"/>
              </w:rPr>
            </w:pPr>
          </w:p>
        </w:tc>
        <w:tc>
          <w:tcPr>
            <w:tcW w:w="2662" w:type="dxa"/>
            <w:vMerge w:val="restart"/>
            <w:shd w:val="clear" w:color="auto" w:fill="auto"/>
            <w:noWrap/>
            <w:hideMark/>
          </w:tcPr>
          <w:p w14:paraId="16DB58F1" w14:textId="3C2EF478"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Kirkby Stephen</w:t>
            </w:r>
          </w:p>
        </w:tc>
        <w:tc>
          <w:tcPr>
            <w:tcW w:w="3685" w:type="dxa"/>
            <w:shd w:val="clear" w:color="auto" w:fill="auto"/>
            <w:noWrap/>
            <w:hideMark/>
          </w:tcPr>
          <w:p w14:paraId="77EFC68D" w14:textId="7777777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Hartley</w:t>
            </w:r>
          </w:p>
        </w:tc>
      </w:tr>
      <w:tr w:rsidR="005B7C19" w:rsidRPr="000B3C8A" w14:paraId="50F13004" w14:textId="77777777" w:rsidTr="00811860">
        <w:tc>
          <w:tcPr>
            <w:tcW w:w="2720" w:type="dxa"/>
            <w:vMerge/>
            <w:shd w:val="clear" w:color="auto" w:fill="auto"/>
            <w:noWrap/>
            <w:hideMark/>
          </w:tcPr>
          <w:p w14:paraId="7262243C" w14:textId="77777777" w:rsidR="005B7C19" w:rsidRPr="000B3C8A" w:rsidRDefault="005B7C19" w:rsidP="000B3C8A">
            <w:pPr>
              <w:spacing w:before="10" w:after="10"/>
              <w:jc w:val="left"/>
              <w:rPr>
                <w:rFonts w:cs="Calibri"/>
                <w:color w:val="000000"/>
                <w:sz w:val="22"/>
                <w:szCs w:val="22"/>
              </w:rPr>
            </w:pPr>
          </w:p>
        </w:tc>
        <w:tc>
          <w:tcPr>
            <w:tcW w:w="2662" w:type="dxa"/>
            <w:vMerge/>
            <w:shd w:val="clear" w:color="auto" w:fill="auto"/>
            <w:noWrap/>
            <w:hideMark/>
          </w:tcPr>
          <w:p w14:paraId="3A151812" w14:textId="519E0E60" w:rsidR="005B7C19" w:rsidRPr="000B3C8A" w:rsidRDefault="005B7C19" w:rsidP="000B3C8A">
            <w:pPr>
              <w:spacing w:before="10" w:after="10"/>
              <w:jc w:val="left"/>
              <w:rPr>
                <w:rFonts w:cs="Calibri"/>
                <w:color w:val="000000"/>
                <w:sz w:val="22"/>
                <w:szCs w:val="22"/>
              </w:rPr>
            </w:pPr>
          </w:p>
        </w:tc>
        <w:tc>
          <w:tcPr>
            <w:tcW w:w="3685" w:type="dxa"/>
            <w:shd w:val="clear" w:color="auto" w:fill="auto"/>
            <w:noWrap/>
            <w:hideMark/>
          </w:tcPr>
          <w:p w14:paraId="56493132" w14:textId="7777777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Kaber</w:t>
            </w:r>
          </w:p>
        </w:tc>
      </w:tr>
      <w:tr w:rsidR="005B7C19" w:rsidRPr="000B3C8A" w14:paraId="421296C2" w14:textId="77777777" w:rsidTr="00811860">
        <w:tc>
          <w:tcPr>
            <w:tcW w:w="2720" w:type="dxa"/>
            <w:vMerge/>
            <w:shd w:val="clear" w:color="auto" w:fill="auto"/>
            <w:noWrap/>
            <w:hideMark/>
          </w:tcPr>
          <w:p w14:paraId="4FCBF606" w14:textId="77777777" w:rsidR="005B7C19" w:rsidRPr="000B3C8A" w:rsidRDefault="005B7C19" w:rsidP="000B3C8A">
            <w:pPr>
              <w:spacing w:before="10" w:after="10"/>
              <w:jc w:val="left"/>
              <w:rPr>
                <w:rFonts w:cs="Calibri"/>
                <w:color w:val="000000"/>
                <w:sz w:val="22"/>
                <w:szCs w:val="22"/>
              </w:rPr>
            </w:pPr>
          </w:p>
        </w:tc>
        <w:tc>
          <w:tcPr>
            <w:tcW w:w="2662" w:type="dxa"/>
            <w:vMerge/>
            <w:shd w:val="clear" w:color="auto" w:fill="auto"/>
            <w:noWrap/>
            <w:hideMark/>
          </w:tcPr>
          <w:p w14:paraId="5EAA2596" w14:textId="47DC5DDA" w:rsidR="005B7C19" w:rsidRPr="000B3C8A" w:rsidRDefault="005B7C19" w:rsidP="000B3C8A">
            <w:pPr>
              <w:spacing w:before="10" w:after="10"/>
              <w:jc w:val="left"/>
              <w:rPr>
                <w:rFonts w:cs="Calibri"/>
                <w:color w:val="000000"/>
                <w:sz w:val="22"/>
                <w:szCs w:val="22"/>
              </w:rPr>
            </w:pPr>
          </w:p>
        </w:tc>
        <w:tc>
          <w:tcPr>
            <w:tcW w:w="3685" w:type="dxa"/>
            <w:shd w:val="clear" w:color="auto" w:fill="auto"/>
            <w:noWrap/>
            <w:hideMark/>
          </w:tcPr>
          <w:p w14:paraId="4070CA6D" w14:textId="7777777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Kirkby Stephen</w:t>
            </w:r>
          </w:p>
        </w:tc>
      </w:tr>
      <w:tr w:rsidR="005B7C19" w:rsidRPr="000B3C8A" w14:paraId="469CD655" w14:textId="77777777" w:rsidTr="00811860">
        <w:tc>
          <w:tcPr>
            <w:tcW w:w="2720" w:type="dxa"/>
            <w:vMerge/>
            <w:shd w:val="clear" w:color="auto" w:fill="auto"/>
            <w:noWrap/>
            <w:hideMark/>
          </w:tcPr>
          <w:p w14:paraId="5E2E5E2D" w14:textId="77777777" w:rsidR="005B7C19" w:rsidRPr="000B3C8A" w:rsidRDefault="005B7C19" w:rsidP="000B3C8A">
            <w:pPr>
              <w:spacing w:before="10" w:after="10"/>
              <w:jc w:val="left"/>
              <w:rPr>
                <w:rFonts w:cs="Calibri"/>
                <w:color w:val="000000"/>
                <w:sz w:val="22"/>
                <w:szCs w:val="22"/>
              </w:rPr>
            </w:pPr>
          </w:p>
        </w:tc>
        <w:tc>
          <w:tcPr>
            <w:tcW w:w="2662" w:type="dxa"/>
            <w:vMerge/>
            <w:shd w:val="clear" w:color="auto" w:fill="auto"/>
            <w:noWrap/>
            <w:hideMark/>
          </w:tcPr>
          <w:p w14:paraId="33DFCC0D" w14:textId="268701A5" w:rsidR="005B7C19" w:rsidRPr="000B3C8A" w:rsidRDefault="005B7C19" w:rsidP="000B3C8A">
            <w:pPr>
              <w:spacing w:before="10" w:after="10"/>
              <w:jc w:val="left"/>
              <w:rPr>
                <w:rFonts w:cs="Calibri"/>
                <w:color w:val="000000"/>
                <w:sz w:val="22"/>
                <w:szCs w:val="22"/>
              </w:rPr>
            </w:pPr>
          </w:p>
        </w:tc>
        <w:tc>
          <w:tcPr>
            <w:tcW w:w="3685" w:type="dxa"/>
            <w:shd w:val="clear" w:color="auto" w:fill="auto"/>
            <w:noWrap/>
            <w:hideMark/>
          </w:tcPr>
          <w:p w14:paraId="2BA3D130" w14:textId="7777777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Mallerstang</w:t>
            </w:r>
          </w:p>
        </w:tc>
      </w:tr>
      <w:tr w:rsidR="005B7C19" w:rsidRPr="000B3C8A" w14:paraId="08227783" w14:textId="77777777" w:rsidTr="00811860">
        <w:tc>
          <w:tcPr>
            <w:tcW w:w="2720" w:type="dxa"/>
            <w:vMerge/>
            <w:shd w:val="clear" w:color="auto" w:fill="auto"/>
            <w:noWrap/>
            <w:hideMark/>
          </w:tcPr>
          <w:p w14:paraId="09D7680E" w14:textId="77777777" w:rsidR="005B7C19" w:rsidRPr="000B3C8A" w:rsidRDefault="005B7C19" w:rsidP="000B3C8A">
            <w:pPr>
              <w:spacing w:before="10" w:after="10"/>
              <w:jc w:val="left"/>
              <w:rPr>
                <w:rFonts w:cs="Calibri"/>
                <w:color w:val="000000"/>
                <w:sz w:val="22"/>
                <w:szCs w:val="22"/>
              </w:rPr>
            </w:pPr>
          </w:p>
        </w:tc>
        <w:tc>
          <w:tcPr>
            <w:tcW w:w="2662" w:type="dxa"/>
            <w:vMerge/>
            <w:shd w:val="clear" w:color="auto" w:fill="auto"/>
            <w:noWrap/>
            <w:hideMark/>
          </w:tcPr>
          <w:p w14:paraId="27BF8727" w14:textId="20DFA949" w:rsidR="005B7C19" w:rsidRPr="000B3C8A" w:rsidRDefault="005B7C19" w:rsidP="000B3C8A">
            <w:pPr>
              <w:spacing w:before="10" w:after="10"/>
              <w:jc w:val="left"/>
              <w:rPr>
                <w:rFonts w:cs="Calibri"/>
                <w:color w:val="000000"/>
                <w:sz w:val="22"/>
                <w:szCs w:val="22"/>
              </w:rPr>
            </w:pPr>
          </w:p>
        </w:tc>
        <w:tc>
          <w:tcPr>
            <w:tcW w:w="3685" w:type="dxa"/>
            <w:shd w:val="clear" w:color="auto" w:fill="auto"/>
            <w:noWrap/>
            <w:hideMark/>
          </w:tcPr>
          <w:p w14:paraId="79B0A121" w14:textId="7777777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Nateby</w:t>
            </w:r>
          </w:p>
        </w:tc>
      </w:tr>
      <w:tr w:rsidR="005B7C19" w:rsidRPr="000B3C8A" w14:paraId="1C23CF11" w14:textId="77777777" w:rsidTr="00811860">
        <w:tc>
          <w:tcPr>
            <w:tcW w:w="2720" w:type="dxa"/>
            <w:vMerge/>
            <w:shd w:val="clear" w:color="auto" w:fill="auto"/>
            <w:noWrap/>
            <w:hideMark/>
          </w:tcPr>
          <w:p w14:paraId="2D4F8E45" w14:textId="77777777" w:rsidR="005B7C19" w:rsidRPr="000B3C8A" w:rsidRDefault="005B7C19" w:rsidP="000B3C8A">
            <w:pPr>
              <w:spacing w:before="10" w:after="10"/>
              <w:jc w:val="left"/>
              <w:rPr>
                <w:rFonts w:cs="Calibri"/>
                <w:color w:val="000000"/>
                <w:sz w:val="22"/>
                <w:szCs w:val="22"/>
              </w:rPr>
            </w:pPr>
          </w:p>
        </w:tc>
        <w:tc>
          <w:tcPr>
            <w:tcW w:w="2662" w:type="dxa"/>
            <w:vMerge/>
            <w:shd w:val="clear" w:color="auto" w:fill="auto"/>
            <w:noWrap/>
            <w:hideMark/>
          </w:tcPr>
          <w:p w14:paraId="6011B0F3" w14:textId="28802A4B" w:rsidR="005B7C19" w:rsidRPr="000B3C8A" w:rsidRDefault="005B7C19" w:rsidP="000B3C8A">
            <w:pPr>
              <w:spacing w:before="10" w:after="10"/>
              <w:jc w:val="left"/>
              <w:rPr>
                <w:rFonts w:cs="Calibri"/>
                <w:color w:val="000000"/>
                <w:sz w:val="22"/>
                <w:szCs w:val="22"/>
              </w:rPr>
            </w:pPr>
          </w:p>
        </w:tc>
        <w:tc>
          <w:tcPr>
            <w:tcW w:w="3685" w:type="dxa"/>
            <w:shd w:val="clear" w:color="auto" w:fill="auto"/>
            <w:noWrap/>
            <w:hideMark/>
          </w:tcPr>
          <w:p w14:paraId="21BE49D9" w14:textId="7777777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Wharton</w:t>
            </w:r>
          </w:p>
        </w:tc>
      </w:tr>
      <w:tr w:rsidR="005B7C19" w:rsidRPr="000B3C8A" w14:paraId="56F407A5" w14:textId="77777777" w:rsidTr="00811860">
        <w:tc>
          <w:tcPr>
            <w:tcW w:w="2720" w:type="dxa"/>
            <w:vMerge/>
            <w:shd w:val="clear" w:color="auto" w:fill="auto"/>
            <w:noWrap/>
            <w:hideMark/>
          </w:tcPr>
          <w:p w14:paraId="24CB92B9" w14:textId="77777777" w:rsidR="005B7C19" w:rsidRPr="000B3C8A" w:rsidRDefault="005B7C19" w:rsidP="000B3C8A">
            <w:pPr>
              <w:spacing w:before="10" w:after="10"/>
              <w:jc w:val="left"/>
              <w:rPr>
                <w:rFonts w:cs="Calibri"/>
                <w:color w:val="000000"/>
                <w:sz w:val="22"/>
                <w:szCs w:val="22"/>
              </w:rPr>
            </w:pPr>
          </w:p>
        </w:tc>
        <w:tc>
          <w:tcPr>
            <w:tcW w:w="2662" w:type="dxa"/>
            <w:vMerge/>
            <w:shd w:val="clear" w:color="auto" w:fill="auto"/>
            <w:noWrap/>
            <w:hideMark/>
          </w:tcPr>
          <w:p w14:paraId="30C88AFD" w14:textId="0E2B0544" w:rsidR="005B7C19" w:rsidRPr="000B3C8A" w:rsidRDefault="005B7C19" w:rsidP="000B3C8A">
            <w:pPr>
              <w:spacing w:before="10" w:after="10"/>
              <w:jc w:val="left"/>
              <w:rPr>
                <w:rFonts w:cs="Calibri"/>
                <w:color w:val="000000"/>
                <w:sz w:val="22"/>
                <w:szCs w:val="22"/>
              </w:rPr>
            </w:pPr>
          </w:p>
        </w:tc>
        <w:tc>
          <w:tcPr>
            <w:tcW w:w="3685" w:type="dxa"/>
            <w:shd w:val="clear" w:color="auto" w:fill="auto"/>
            <w:noWrap/>
            <w:hideMark/>
          </w:tcPr>
          <w:p w14:paraId="1888E634" w14:textId="7777777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Winton</w:t>
            </w:r>
          </w:p>
        </w:tc>
      </w:tr>
      <w:tr w:rsidR="005B7C19" w:rsidRPr="000B3C8A" w14:paraId="37BCF8EF" w14:textId="77777777" w:rsidTr="00811860">
        <w:tc>
          <w:tcPr>
            <w:tcW w:w="2720" w:type="dxa"/>
            <w:vMerge/>
            <w:shd w:val="clear" w:color="auto" w:fill="auto"/>
            <w:noWrap/>
            <w:hideMark/>
          </w:tcPr>
          <w:p w14:paraId="6AD62BF7" w14:textId="77777777" w:rsidR="005B7C19" w:rsidRPr="000B3C8A" w:rsidRDefault="005B7C19" w:rsidP="000B3C8A">
            <w:pPr>
              <w:spacing w:before="10" w:after="10"/>
              <w:jc w:val="left"/>
              <w:rPr>
                <w:rFonts w:cs="Calibri"/>
                <w:color w:val="000000"/>
                <w:sz w:val="22"/>
                <w:szCs w:val="22"/>
              </w:rPr>
            </w:pPr>
          </w:p>
        </w:tc>
        <w:tc>
          <w:tcPr>
            <w:tcW w:w="2662" w:type="dxa"/>
            <w:vMerge w:val="restart"/>
            <w:shd w:val="clear" w:color="auto" w:fill="auto"/>
            <w:noWrap/>
            <w:hideMark/>
          </w:tcPr>
          <w:p w14:paraId="35619991" w14:textId="70658532"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Orton with Tebay</w:t>
            </w:r>
            <w:r w:rsidRPr="000B3C8A">
              <w:rPr>
                <w:rFonts w:cs="Calibri"/>
                <w:color w:val="000000"/>
                <w:sz w:val="22"/>
                <w:szCs w:val="22"/>
                <w:u w:val="single"/>
              </w:rPr>
              <w:t> </w:t>
            </w:r>
          </w:p>
        </w:tc>
        <w:tc>
          <w:tcPr>
            <w:tcW w:w="3685" w:type="dxa"/>
            <w:shd w:val="clear" w:color="auto" w:fill="auto"/>
            <w:noWrap/>
            <w:hideMark/>
          </w:tcPr>
          <w:p w14:paraId="7C4D2CCF" w14:textId="7777777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Orton</w:t>
            </w:r>
          </w:p>
        </w:tc>
      </w:tr>
      <w:tr w:rsidR="005B7C19" w:rsidRPr="000B3C8A" w14:paraId="4F2C747F" w14:textId="77777777" w:rsidTr="00811860">
        <w:tc>
          <w:tcPr>
            <w:tcW w:w="2720" w:type="dxa"/>
            <w:vMerge/>
            <w:shd w:val="clear" w:color="auto" w:fill="auto"/>
            <w:noWrap/>
            <w:hideMark/>
          </w:tcPr>
          <w:p w14:paraId="67A6CCDA" w14:textId="77777777" w:rsidR="005B7C19" w:rsidRPr="000B3C8A" w:rsidRDefault="005B7C19" w:rsidP="000B3C8A">
            <w:pPr>
              <w:spacing w:before="10" w:after="10"/>
              <w:jc w:val="left"/>
              <w:rPr>
                <w:rFonts w:cs="Calibri"/>
                <w:color w:val="000000"/>
                <w:sz w:val="22"/>
                <w:szCs w:val="22"/>
              </w:rPr>
            </w:pPr>
          </w:p>
        </w:tc>
        <w:tc>
          <w:tcPr>
            <w:tcW w:w="2662" w:type="dxa"/>
            <w:vMerge/>
            <w:shd w:val="clear" w:color="auto" w:fill="auto"/>
            <w:noWrap/>
            <w:hideMark/>
          </w:tcPr>
          <w:p w14:paraId="050DB3D8" w14:textId="4DC9495F" w:rsidR="005B7C19" w:rsidRPr="000B3C8A" w:rsidRDefault="005B7C19" w:rsidP="000B3C8A">
            <w:pPr>
              <w:spacing w:before="10" w:after="10"/>
              <w:jc w:val="left"/>
              <w:rPr>
                <w:rFonts w:cs="Calibri"/>
                <w:color w:val="000000"/>
                <w:sz w:val="22"/>
                <w:szCs w:val="22"/>
                <w:u w:val="single"/>
              </w:rPr>
            </w:pPr>
          </w:p>
        </w:tc>
        <w:tc>
          <w:tcPr>
            <w:tcW w:w="3685" w:type="dxa"/>
            <w:shd w:val="clear" w:color="auto" w:fill="auto"/>
            <w:noWrap/>
            <w:hideMark/>
          </w:tcPr>
          <w:p w14:paraId="79B9277A" w14:textId="7777777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Tebay</w:t>
            </w:r>
          </w:p>
        </w:tc>
      </w:tr>
      <w:tr w:rsidR="005B7C19" w:rsidRPr="000B3C8A" w14:paraId="400A38A3" w14:textId="77777777" w:rsidTr="00811860">
        <w:tc>
          <w:tcPr>
            <w:tcW w:w="2720" w:type="dxa"/>
            <w:vMerge/>
            <w:shd w:val="clear" w:color="auto" w:fill="auto"/>
            <w:noWrap/>
            <w:hideMark/>
          </w:tcPr>
          <w:p w14:paraId="777E0BAB" w14:textId="77777777" w:rsidR="005B7C19" w:rsidRPr="000B3C8A" w:rsidRDefault="005B7C19" w:rsidP="000B3C8A">
            <w:pPr>
              <w:spacing w:before="10" w:after="10"/>
              <w:jc w:val="left"/>
              <w:rPr>
                <w:rFonts w:cs="Calibri"/>
                <w:color w:val="000000"/>
                <w:sz w:val="22"/>
                <w:szCs w:val="22"/>
              </w:rPr>
            </w:pPr>
          </w:p>
        </w:tc>
        <w:tc>
          <w:tcPr>
            <w:tcW w:w="2662" w:type="dxa"/>
            <w:vMerge w:val="restart"/>
            <w:shd w:val="clear" w:color="auto" w:fill="auto"/>
            <w:noWrap/>
            <w:hideMark/>
          </w:tcPr>
          <w:p w14:paraId="39928FAA" w14:textId="63DCC023"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Ravenstonedale</w:t>
            </w:r>
          </w:p>
        </w:tc>
        <w:tc>
          <w:tcPr>
            <w:tcW w:w="3685" w:type="dxa"/>
            <w:shd w:val="clear" w:color="auto" w:fill="auto"/>
            <w:noWrap/>
            <w:hideMark/>
          </w:tcPr>
          <w:p w14:paraId="469E4001" w14:textId="7777777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Crosby Garrett</w:t>
            </w:r>
          </w:p>
        </w:tc>
      </w:tr>
      <w:tr w:rsidR="005B7C19" w:rsidRPr="000B3C8A" w14:paraId="6B92ACE1" w14:textId="77777777" w:rsidTr="00811860">
        <w:tc>
          <w:tcPr>
            <w:tcW w:w="2720" w:type="dxa"/>
            <w:vMerge/>
            <w:shd w:val="clear" w:color="auto" w:fill="auto"/>
            <w:noWrap/>
            <w:hideMark/>
          </w:tcPr>
          <w:p w14:paraId="632B899F" w14:textId="77777777" w:rsidR="005B7C19" w:rsidRPr="000B3C8A" w:rsidRDefault="005B7C19" w:rsidP="000B3C8A">
            <w:pPr>
              <w:spacing w:before="10" w:after="10"/>
              <w:jc w:val="left"/>
              <w:rPr>
                <w:rFonts w:cs="Calibri"/>
                <w:color w:val="000000"/>
                <w:sz w:val="22"/>
                <w:szCs w:val="22"/>
              </w:rPr>
            </w:pPr>
          </w:p>
        </w:tc>
        <w:tc>
          <w:tcPr>
            <w:tcW w:w="2662" w:type="dxa"/>
            <w:vMerge/>
            <w:shd w:val="clear" w:color="auto" w:fill="auto"/>
            <w:noWrap/>
            <w:hideMark/>
          </w:tcPr>
          <w:p w14:paraId="184B92BF" w14:textId="0B09A9BE" w:rsidR="005B7C19" w:rsidRPr="000B3C8A" w:rsidRDefault="005B7C19" w:rsidP="000B3C8A">
            <w:pPr>
              <w:spacing w:before="10" w:after="10"/>
              <w:jc w:val="left"/>
              <w:rPr>
                <w:rFonts w:cs="Calibri"/>
                <w:color w:val="000000"/>
                <w:sz w:val="22"/>
                <w:szCs w:val="22"/>
              </w:rPr>
            </w:pPr>
          </w:p>
        </w:tc>
        <w:tc>
          <w:tcPr>
            <w:tcW w:w="3685" w:type="dxa"/>
            <w:shd w:val="clear" w:color="auto" w:fill="auto"/>
            <w:noWrap/>
            <w:hideMark/>
          </w:tcPr>
          <w:p w14:paraId="26497823" w14:textId="7777777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Ravenstonedale</w:t>
            </w:r>
          </w:p>
        </w:tc>
      </w:tr>
      <w:tr w:rsidR="005B7C19" w:rsidRPr="000B3C8A" w14:paraId="4A5FA562" w14:textId="77777777" w:rsidTr="00811860">
        <w:tc>
          <w:tcPr>
            <w:tcW w:w="2720" w:type="dxa"/>
            <w:vMerge/>
            <w:shd w:val="clear" w:color="auto" w:fill="auto"/>
            <w:noWrap/>
            <w:hideMark/>
          </w:tcPr>
          <w:p w14:paraId="74FF2F98" w14:textId="77777777" w:rsidR="005B7C19" w:rsidRPr="000B3C8A" w:rsidRDefault="005B7C19" w:rsidP="000B3C8A">
            <w:pPr>
              <w:spacing w:before="10" w:after="10"/>
              <w:jc w:val="left"/>
              <w:rPr>
                <w:rFonts w:cs="Calibri"/>
                <w:color w:val="000000"/>
                <w:sz w:val="22"/>
                <w:szCs w:val="22"/>
              </w:rPr>
            </w:pPr>
          </w:p>
        </w:tc>
        <w:tc>
          <w:tcPr>
            <w:tcW w:w="2662" w:type="dxa"/>
            <w:vMerge/>
            <w:shd w:val="clear" w:color="auto" w:fill="auto"/>
            <w:noWrap/>
            <w:hideMark/>
          </w:tcPr>
          <w:p w14:paraId="7CD1BDCC" w14:textId="6E28ADB4" w:rsidR="005B7C19" w:rsidRPr="000B3C8A" w:rsidRDefault="005B7C19" w:rsidP="000B3C8A">
            <w:pPr>
              <w:spacing w:before="10" w:after="10"/>
              <w:jc w:val="left"/>
              <w:rPr>
                <w:rFonts w:cs="Calibri"/>
                <w:color w:val="000000"/>
                <w:sz w:val="22"/>
                <w:szCs w:val="22"/>
              </w:rPr>
            </w:pPr>
          </w:p>
        </w:tc>
        <w:tc>
          <w:tcPr>
            <w:tcW w:w="3685" w:type="dxa"/>
            <w:shd w:val="clear" w:color="auto" w:fill="auto"/>
            <w:noWrap/>
            <w:hideMark/>
          </w:tcPr>
          <w:p w14:paraId="156B2463" w14:textId="7777777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Soulby</w:t>
            </w:r>
          </w:p>
        </w:tc>
      </w:tr>
      <w:tr w:rsidR="005B7C19" w:rsidRPr="000B3C8A" w14:paraId="0DF57C12" w14:textId="77777777" w:rsidTr="00811860">
        <w:tc>
          <w:tcPr>
            <w:tcW w:w="2720" w:type="dxa"/>
            <w:vMerge/>
            <w:shd w:val="clear" w:color="auto" w:fill="auto"/>
            <w:noWrap/>
            <w:hideMark/>
          </w:tcPr>
          <w:p w14:paraId="52587C03" w14:textId="77777777" w:rsidR="005B7C19" w:rsidRPr="000B3C8A" w:rsidRDefault="005B7C19" w:rsidP="000B3C8A">
            <w:pPr>
              <w:spacing w:before="10" w:after="10"/>
              <w:jc w:val="left"/>
              <w:rPr>
                <w:rFonts w:cs="Calibri"/>
                <w:color w:val="000000"/>
                <w:sz w:val="22"/>
                <w:szCs w:val="22"/>
              </w:rPr>
            </w:pPr>
          </w:p>
        </w:tc>
        <w:tc>
          <w:tcPr>
            <w:tcW w:w="2662" w:type="dxa"/>
            <w:vMerge/>
            <w:shd w:val="clear" w:color="auto" w:fill="auto"/>
            <w:noWrap/>
            <w:hideMark/>
          </w:tcPr>
          <w:p w14:paraId="279A7002" w14:textId="1F717EF9" w:rsidR="005B7C19" w:rsidRPr="000B3C8A" w:rsidRDefault="005B7C19" w:rsidP="000B3C8A">
            <w:pPr>
              <w:spacing w:before="10" w:after="10"/>
              <w:jc w:val="left"/>
              <w:rPr>
                <w:rFonts w:cs="Calibri"/>
                <w:color w:val="000000"/>
                <w:sz w:val="22"/>
                <w:szCs w:val="22"/>
              </w:rPr>
            </w:pPr>
          </w:p>
        </w:tc>
        <w:tc>
          <w:tcPr>
            <w:tcW w:w="3685" w:type="dxa"/>
            <w:shd w:val="clear" w:color="auto" w:fill="auto"/>
            <w:noWrap/>
            <w:hideMark/>
          </w:tcPr>
          <w:p w14:paraId="6AC7CC4C" w14:textId="77777777" w:rsidR="005B7C19" w:rsidRPr="000B3C8A" w:rsidRDefault="005B7C19" w:rsidP="000B3C8A">
            <w:pPr>
              <w:spacing w:before="10" w:after="10"/>
              <w:jc w:val="left"/>
              <w:rPr>
                <w:rFonts w:cs="Calibri"/>
                <w:color w:val="000000"/>
                <w:sz w:val="22"/>
                <w:szCs w:val="22"/>
              </w:rPr>
            </w:pPr>
            <w:r w:rsidRPr="000B3C8A">
              <w:rPr>
                <w:rFonts w:cs="Calibri"/>
                <w:color w:val="000000"/>
                <w:sz w:val="22"/>
                <w:szCs w:val="22"/>
              </w:rPr>
              <w:t>Waitby</w:t>
            </w:r>
          </w:p>
        </w:tc>
      </w:tr>
      <w:tr w:rsidR="000B3C8A" w:rsidRPr="000B3C8A" w14:paraId="66109756" w14:textId="77777777" w:rsidTr="00811860">
        <w:tc>
          <w:tcPr>
            <w:tcW w:w="2720" w:type="dxa"/>
            <w:vMerge w:val="restart"/>
            <w:shd w:val="clear" w:color="auto" w:fill="auto"/>
            <w:noWrap/>
            <w:hideMark/>
          </w:tcPr>
          <w:p w14:paraId="1DA566C7" w14:textId="6CAF8FCB" w:rsidR="000B3C8A" w:rsidRPr="000B3C8A" w:rsidRDefault="000B3C8A" w:rsidP="000B3C8A">
            <w:pPr>
              <w:spacing w:before="10" w:after="10"/>
              <w:jc w:val="left"/>
              <w:rPr>
                <w:rFonts w:cs="Calibri"/>
                <w:b/>
                <w:bCs/>
                <w:color w:val="000000"/>
                <w:sz w:val="22"/>
                <w:szCs w:val="22"/>
              </w:rPr>
            </w:pPr>
            <w:r w:rsidRPr="000B3C8A">
              <w:rPr>
                <w:rFonts w:cs="Calibri"/>
                <w:b/>
                <w:bCs/>
                <w:color w:val="000000"/>
                <w:sz w:val="22"/>
                <w:szCs w:val="22"/>
              </w:rPr>
              <w:t>HMA4 Alston</w:t>
            </w:r>
          </w:p>
        </w:tc>
        <w:tc>
          <w:tcPr>
            <w:tcW w:w="2662" w:type="dxa"/>
            <w:shd w:val="clear" w:color="auto" w:fill="auto"/>
            <w:noWrap/>
            <w:hideMark/>
          </w:tcPr>
          <w:p w14:paraId="6D64A885" w14:textId="0063B5F2" w:rsidR="000B3C8A" w:rsidRPr="000B3C8A" w:rsidRDefault="000B3C8A" w:rsidP="000B3C8A">
            <w:pPr>
              <w:spacing w:before="10" w:after="10"/>
              <w:jc w:val="left"/>
              <w:rPr>
                <w:rFonts w:cs="Calibri"/>
                <w:color w:val="000000"/>
                <w:sz w:val="22"/>
                <w:szCs w:val="22"/>
              </w:rPr>
            </w:pPr>
            <w:r w:rsidRPr="000B3C8A">
              <w:rPr>
                <w:rFonts w:cs="Calibri"/>
                <w:color w:val="000000"/>
                <w:sz w:val="22"/>
                <w:szCs w:val="22"/>
              </w:rPr>
              <w:t>Alston Moor </w:t>
            </w:r>
          </w:p>
        </w:tc>
        <w:tc>
          <w:tcPr>
            <w:tcW w:w="3685" w:type="dxa"/>
            <w:shd w:val="clear" w:color="auto" w:fill="auto"/>
            <w:noWrap/>
            <w:hideMark/>
          </w:tcPr>
          <w:p w14:paraId="49A1FA6A" w14:textId="77777777" w:rsidR="000B3C8A" w:rsidRPr="000B3C8A" w:rsidRDefault="000B3C8A" w:rsidP="000B3C8A">
            <w:pPr>
              <w:spacing w:before="10" w:after="10"/>
              <w:jc w:val="left"/>
              <w:rPr>
                <w:rFonts w:cs="Calibri"/>
                <w:color w:val="000000"/>
                <w:sz w:val="22"/>
                <w:szCs w:val="22"/>
              </w:rPr>
            </w:pPr>
            <w:r w:rsidRPr="000B3C8A">
              <w:rPr>
                <w:rFonts w:cs="Calibri"/>
                <w:color w:val="000000"/>
                <w:sz w:val="22"/>
                <w:szCs w:val="22"/>
              </w:rPr>
              <w:t>Alston Moor</w:t>
            </w:r>
          </w:p>
        </w:tc>
      </w:tr>
      <w:tr w:rsidR="000B3C8A" w:rsidRPr="000B3C8A" w14:paraId="082348A4" w14:textId="77777777" w:rsidTr="00811860">
        <w:tc>
          <w:tcPr>
            <w:tcW w:w="2720" w:type="dxa"/>
            <w:vMerge/>
            <w:shd w:val="clear" w:color="auto" w:fill="auto"/>
            <w:noWrap/>
            <w:hideMark/>
          </w:tcPr>
          <w:p w14:paraId="258AAE7D" w14:textId="1C893CF4" w:rsidR="000B3C8A" w:rsidRPr="000B3C8A" w:rsidRDefault="000B3C8A" w:rsidP="000B3C8A">
            <w:pPr>
              <w:spacing w:before="10" w:after="10"/>
              <w:jc w:val="left"/>
              <w:rPr>
                <w:rFonts w:cs="Calibri"/>
                <w:color w:val="000000"/>
                <w:sz w:val="22"/>
                <w:szCs w:val="22"/>
              </w:rPr>
            </w:pPr>
          </w:p>
        </w:tc>
        <w:tc>
          <w:tcPr>
            <w:tcW w:w="2662" w:type="dxa"/>
            <w:vMerge w:val="restart"/>
            <w:shd w:val="clear" w:color="auto" w:fill="auto"/>
            <w:noWrap/>
            <w:hideMark/>
          </w:tcPr>
          <w:p w14:paraId="5454A8A2" w14:textId="44893CBD" w:rsidR="000B3C8A" w:rsidRPr="000B3C8A" w:rsidRDefault="000B3C8A" w:rsidP="000B3C8A">
            <w:pPr>
              <w:spacing w:before="10" w:after="10"/>
              <w:jc w:val="left"/>
              <w:rPr>
                <w:rFonts w:cs="Calibri"/>
                <w:color w:val="000000"/>
                <w:sz w:val="22"/>
                <w:szCs w:val="22"/>
              </w:rPr>
            </w:pPr>
            <w:r w:rsidRPr="000B3C8A">
              <w:rPr>
                <w:rFonts w:cs="Calibri"/>
                <w:color w:val="000000"/>
                <w:sz w:val="22"/>
                <w:szCs w:val="22"/>
              </w:rPr>
              <w:t>Hartside</w:t>
            </w:r>
          </w:p>
        </w:tc>
        <w:tc>
          <w:tcPr>
            <w:tcW w:w="3685" w:type="dxa"/>
            <w:shd w:val="clear" w:color="auto" w:fill="auto"/>
            <w:noWrap/>
            <w:hideMark/>
          </w:tcPr>
          <w:p w14:paraId="4ED623AB" w14:textId="77777777" w:rsidR="000B3C8A" w:rsidRPr="000B3C8A" w:rsidRDefault="000B3C8A" w:rsidP="000B3C8A">
            <w:pPr>
              <w:spacing w:before="10" w:after="10"/>
              <w:jc w:val="left"/>
              <w:rPr>
                <w:rFonts w:cs="Calibri"/>
                <w:color w:val="000000"/>
                <w:sz w:val="22"/>
                <w:szCs w:val="22"/>
              </w:rPr>
            </w:pPr>
            <w:r w:rsidRPr="000B3C8A">
              <w:rPr>
                <w:rFonts w:cs="Calibri"/>
                <w:color w:val="000000"/>
                <w:sz w:val="22"/>
                <w:szCs w:val="22"/>
              </w:rPr>
              <w:t>Culgaith</w:t>
            </w:r>
          </w:p>
        </w:tc>
      </w:tr>
      <w:tr w:rsidR="000B3C8A" w:rsidRPr="000B3C8A" w14:paraId="460C1A23" w14:textId="77777777" w:rsidTr="00811860">
        <w:tc>
          <w:tcPr>
            <w:tcW w:w="2720" w:type="dxa"/>
            <w:vMerge/>
            <w:shd w:val="clear" w:color="auto" w:fill="auto"/>
            <w:noWrap/>
            <w:hideMark/>
          </w:tcPr>
          <w:p w14:paraId="4CA6762C" w14:textId="103DC754" w:rsidR="000B3C8A" w:rsidRPr="000B3C8A" w:rsidRDefault="000B3C8A" w:rsidP="000B3C8A">
            <w:pPr>
              <w:spacing w:before="10" w:after="10"/>
              <w:jc w:val="left"/>
              <w:rPr>
                <w:rFonts w:cs="Calibri"/>
                <w:color w:val="000000"/>
                <w:sz w:val="22"/>
                <w:szCs w:val="22"/>
              </w:rPr>
            </w:pPr>
          </w:p>
        </w:tc>
        <w:tc>
          <w:tcPr>
            <w:tcW w:w="2662" w:type="dxa"/>
            <w:vMerge/>
            <w:shd w:val="clear" w:color="auto" w:fill="auto"/>
            <w:noWrap/>
            <w:hideMark/>
          </w:tcPr>
          <w:p w14:paraId="29105179" w14:textId="311F8B39" w:rsidR="000B3C8A" w:rsidRPr="000B3C8A" w:rsidRDefault="000B3C8A" w:rsidP="000B3C8A">
            <w:pPr>
              <w:spacing w:before="10" w:after="10"/>
              <w:jc w:val="left"/>
              <w:rPr>
                <w:rFonts w:cs="Calibri"/>
                <w:color w:val="000000"/>
                <w:sz w:val="22"/>
                <w:szCs w:val="22"/>
              </w:rPr>
            </w:pPr>
          </w:p>
        </w:tc>
        <w:tc>
          <w:tcPr>
            <w:tcW w:w="3685" w:type="dxa"/>
            <w:shd w:val="clear" w:color="auto" w:fill="auto"/>
            <w:noWrap/>
            <w:hideMark/>
          </w:tcPr>
          <w:p w14:paraId="7212607A" w14:textId="77777777" w:rsidR="000B3C8A" w:rsidRPr="000B3C8A" w:rsidRDefault="000B3C8A" w:rsidP="000B3C8A">
            <w:pPr>
              <w:spacing w:before="10" w:after="10"/>
              <w:jc w:val="left"/>
              <w:rPr>
                <w:rFonts w:cs="Calibri"/>
                <w:color w:val="000000"/>
                <w:sz w:val="22"/>
                <w:szCs w:val="22"/>
              </w:rPr>
            </w:pPr>
            <w:r w:rsidRPr="000B3C8A">
              <w:rPr>
                <w:rFonts w:cs="Calibri"/>
                <w:color w:val="000000"/>
                <w:sz w:val="22"/>
                <w:szCs w:val="22"/>
              </w:rPr>
              <w:t>Ousby</w:t>
            </w:r>
          </w:p>
        </w:tc>
      </w:tr>
      <w:tr w:rsidR="000B3C8A" w:rsidRPr="000B3C8A" w14:paraId="22FA1787" w14:textId="77777777" w:rsidTr="00811860">
        <w:tc>
          <w:tcPr>
            <w:tcW w:w="2720" w:type="dxa"/>
            <w:vMerge w:val="restart"/>
            <w:shd w:val="clear" w:color="auto" w:fill="auto"/>
            <w:noWrap/>
            <w:hideMark/>
          </w:tcPr>
          <w:p w14:paraId="59538741" w14:textId="4AD5A624" w:rsidR="000B3C8A" w:rsidRPr="000B3C8A" w:rsidRDefault="000B3C8A" w:rsidP="000B3C8A">
            <w:pPr>
              <w:spacing w:before="10" w:after="10"/>
              <w:jc w:val="left"/>
              <w:rPr>
                <w:rFonts w:cs="Calibri"/>
                <w:b/>
                <w:bCs/>
                <w:color w:val="000000"/>
                <w:sz w:val="22"/>
                <w:szCs w:val="22"/>
              </w:rPr>
            </w:pPr>
            <w:r w:rsidRPr="000B3C8A">
              <w:rPr>
                <w:rFonts w:cs="Calibri"/>
                <w:b/>
                <w:bCs/>
                <w:color w:val="000000"/>
                <w:sz w:val="22"/>
                <w:szCs w:val="22"/>
              </w:rPr>
              <w:t>HMA5 West of M6</w:t>
            </w:r>
          </w:p>
        </w:tc>
        <w:tc>
          <w:tcPr>
            <w:tcW w:w="2662" w:type="dxa"/>
            <w:vMerge w:val="restart"/>
            <w:shd w:val="clear" w:color="auto" w:fill="auto"/>
            <w:noWrap/>
            <w:hideMark/>
          </w:tcPr>
          <w:p w14:paraId="7478C0F2" w14:textId="6B692E60" w:rsidR="000B3C8A" w:rsidRPr="000B3C8A" w:rsidRDefault="000B3C8A" w:rsidP="000B3C8A">
            <w:pPr>
              <w:spacing w:before="10" w:after="10"/>
              <w:jc w:val="left"/>
              <w:rPr>
                <w:rFonts w:cs="Calibri"/>
                <w:color w:val="000000"/>
                <w:sz w:val="22"/>
                <w:szCs w:val="22"/>
              </w:rPr>
            </w:pPr>
            <w:r w:rsidRPr="000B3C8A">
              <w:rPr>
                <w:rFonts w:cs="Calibri"/>
                <w:color w:val="000000"/>
                <w:sz w:val="22"/>
                <w:szCs w:val="22"/>
              </w:rPr>
              <w:t>Askham </w:t>
            </w:r>
          </w:p>
        </w:tc>
        <w:tc>
          <w:tcPr>
            <w:tcW w:w="3685" w:type="dxa"/>
            <w:shd w:val="clear" w:color="auto" w:fill="auto"/>
            <w:noWrap/>
            <w:hideMark/>
          </w:tcPr>
          <w:p w14:paraId="578EF92D" w14:textId="77777777" w:rsidR="000B3C8A" w:rsidRPr="000B3C8A" w:rsidRDefault="000B3C8A" w:rsidP="000B3C8A">
            <w:pPr>
              <w:spacing w:before="10" w:after="10"/>
              <w:jc w:val="left"/>
              <w:rPr>
                <w:rFonts w:cs="Calibri"/>
                <w:color w:val="000000"/>
                <w:sz w:val="22"/>
                <w:szCs w:val="22"/>
              </w:rPr>
            </w:pPr>
            <w:r w:rsidRPr="000B3C8A">
              <w:rPr>
                <w:rFonts w:cs="Calibri"/>
                <w:color w:val="000000"/>
                <w:sz w:val="22"/>
                <w:szCs w:val="22"/>
              </w:rPr>
              <w:t>Askham</w:t>
            </w:r>
          </w:p>
        </w:tc>
      </w:tr>
      <w:tr w:rsidR="000B3C8A" w:rsidRPr="000B3C8A" w14:paraId="1A7E5BAE" w14:textId="77777777" w:rsidTr="00811860">
        <w:tc>
          <w:tcPr>
            <w:tcW w:w="2720" w:type="dxa"/>
            <w:vMerge/>
            <w:shd w:val="clear" w:color="auto" w:fill="auto"/>
            <w:noWrap/>
            <w:hideMark/>
          </w:tcPr>
          <w:p w14:paraId="6F656A43" w14:textId="67D1B809" w:rsidR="000B3C8A" w:rsidRPr="000B3C8A" w:rsidRDefault="000B3C8A" w:rsidP="000B3C8A">
            <w:pPr>
              <w:spacing w:before="10" w:after="10"/>
              <w:jc w:val="left"/>
              <w:rPr>
                <w:rFonts w:cs="Calibri"/>
                <w:color w:val="000000"/>
                <w:sz w:val="22"/>
                <w:szCs w:val="22"/>
              </w:rPr>
            </w:pPr>
          </w:p>
        </w:tc>
        <w:tc>
          <w:tcPr>
            <w:tcW w:w="2662" w:type="dxa"/>
            <w:vMerge/>
            <w:shd w:val="clear" w:color="auto" w:fill="auto"/>
            <w:noWrap/>
            <w:hideMark/>
          </w:tcPr>
          <w:p w14:paraId="20AA6C7A" w14:textId="152642CA" w:rsidR="000B3C8A" w:rsidRPr="000B3C8A" w:rsidRDefault="000B3C8A" w:rsidP="000B3C8A">
            <w:pPr>
              <w:spacing w:before="10" w:after="10"/>
              <w:jc w:val="left"/>
              <w:rPr>
                <w:rFonts w:cs="Calibri"/>
                <w:color w:val="000000"/>
                <w:sz w:val="22"/>
                <w:szCs w:val="22"/>
              </w:rPr>
            </w:pPr>
          </w:p>
        </w:tc>
        <w:tc>
          <w:tcPr>
            <w:tcW w:w="3685" w:type="dxa"/>
            <w:shd w:val="clear" w:color="auto" w:fill="auto"/>
            <w:noWrap/>
            <w:hideMark/>
          </w:tcPr>
          <w:p w14:paraId="45103998" w14:textId="77777777" w:rsidR="000B3C8A" w:rsidRPr="000B3C8A" w:rsidRDefault="000B3C8A" w:rsidP="000B3C8A">
            <w:pPr>
              <w:spacing w:before="10" w:after="10"/>
              <w:jc w:val="left"/>
              <w:rPr>
                <w:rFonts w:cs="Calibri"/>
                <w:color w:val="000000"/>
                <w:sz w:val="22"/>
                <w:szCs w:val="22"/>
              </w:rPr>
            </w:pPr>
            <w:r w:rsidRPr="000B3C8A">
              <w:rPr>
                <w:rFonts w:cs="Calibri"/>
                <w:color w:val="000000"/>
                <w:sz w:val="22"/>
                <w:szCs w:val="22"/>
              </w:rPr>
              <w:t>Bampton</w:t>
            </w:r>
          </w:p>
        </w:tc>
      </w:tr>
      <w:tr w:rsidR="000B3C8A" w:rsidRPr="000B3C8A" w14:paraId="3897B29F" w14:textId="77777777" w:rsidTr="00811860">
        <w:tc>
          <w:tcPr>
            <w:tcW w:w="2720" w:type="dxa"/>
            <w:vMerge/>
            <w:shd w:val="clear" w:color="auto" w:fill="auto"/>
            <w:noWrap/>
            <w:hideMark/>
          </w:tcPr>
          <w:p w14:paraId="7C8FE56B" w14:textId="6360AC33" w:rsidR="000B3C8A" w:rsidRPr="000B3C8A" w:rsidRDefault="000B3C8A" w:rsidP="000B3C8A">
            <w:pPr>
              <w:spacing w:before="10" w:after="10"/>
              <w:jc w:val="left"/>
              <w:rPr>
                <w:rFonts w:cs="Calibri"/>
                <w:color w:val="000000"/>
                <w:sz w:val="22"/>
                <w:szCs w:val="22"/>
              </w:rPr>
            </w:pPr>
          </w:p>
        </w:tc>
        <w:tc>
          <w:tcPr>
            <w:tcW w:w="2662" w:type="dxa"/>
            <w:vMerge/>
            <w:shd w:val="clear" w:color="auto" w:fill="auto"/>
            <w:noWrap/>
            <w:hideMark/>
          </w:tcPr>
          <w:p w14:paraId="37613774" w14:textId="4ABC7DED" w:rsidR="000B3C8A" w:rsidRPr="000B3C8A" w:rsidRDefault="000B3C8A" w:rsidP="000B3C8A">
            <w:pPr>
              <w:spacing w:before="10" w:after="10"/>
              <w:jc w:val="left"/>
              <w:rPr>
                <w:rFonts w:cs="Calibri"/>
                <w:color w:val="000000"/>
                <w:sz w:val="22"/>
                <w:szCs w:val="22"/>
              </w:rPr>
            </w:pPr>
          </w:p>
        </w:tc>
        <w:tc>
          <w:tcPr>
            <w:tcW w:w="3685" w:type="dxa"/>
            <w:shd w:val="clear" w:color="auto" w:fill="auto"/>
            <w:noWrap/>
            <w:hideMark/>
          </w:tcPr>
          <w:p w14:paraId="2799211A" w14:textId="77777777" w:rsidR="000B3C8A" w:rsidRPr="000B3C8A" w:rsidRDefault="000B3C8A" w:rsidP="000B3C8A">
            <w:pPr>
              <w:spacing w:before="10" w:after="10"/>
              <w:jc w:val="left"/>
              <w:rPr>
                <w:rFonts w:cs="Calibri"/>
                <w:color w:val="000000"/>
                <w:sz w:val="22"/>
                <w:szCs w:val="22"/>
              </w:rPr>
            </w:pPr>
            <w:r w:rsidRPr="000B3C8A">
              <w:rPr>
                <w:rFonts w:cs="Calibri"/>
                <w:color w:val="000000"/>
                <w:sz w:val="22"/>
                <w:szCs w:val="22"/>
              </w:rPr>
              <w:t>Lowther</w:t>
            </w:r>
          </w:p>
        </w:tc>
      </w:tr>
      <w:tr w:rsidR="000B3C8A" w:rsidRPr="000B3C8A" w14:paraId="0F89DEB3" w14:textId="77777777" w:rsidTr="00811860">
        <w:tc>
          <w:tcPr>
            <w:tcW w:w="2720" w:type="dxa"/>
            <w:vMerge/>
            <w:shd w:val="clear" w:color="auto" w:fill="auto"/>
            <w:noWrap/>
            <w:hideMark/>
          </w:tcPr>
          <w:p w14:paraId="2EAC3EE0" w14:textId="6B6CB89B" w:rsidR="000B3C8A" w:rsidRPr="000B3C8A" w:rsidRDefault="000B3C8A" w:rsidP="000B3C8A">
            <w:pPr>
              <w:spacing w:before="10" w:after="10"/>
              <w:jc w:val="left"/>
              <w:rPr>
                <w:rFonts w:cs="Calibri"/>
                <w:color w:val="000000"/>
                <w:sz w:val="22"/>
                <w:szCs w:val="22"/>
              </w:rPr>
            </w:pPr>
          </w:p>
        </w:tc>
        <w:tc>
          <w:tcPr>
            <w:tcW w:w="2662" w:type="dxa"/>
            <w:vMerge/>
            <w:shd w:val="clear" w:color="auto" w:fill="auto"/>
            <w:noWrap/>
            <w:hideMark/>
          </w:tcPr>
          <w:p w14:paraId="20F4EB4C" w14:textId="5900891F" w:rsidR="000B3C8A" w:rsidRPr="000B3C8A" w:rsidRDefault="000B3C8A" w:rsidP="000B3C8A">
            <w:pPr>
              <w:spacing w:before="10" w:after="10"/>
              <w:jc w:val="left"/>
              <w:rPr>
                <w:rFonts w:cs="Calibri"/>
                <w:color w:val="000000"/>
                <w:sz w:val="22"/>
                <w:szCs w:val="22"/>
              </w:rPr>
            </w:pPr>
          </w:p>
        </w:tc>
        <w:tc>
          <w:tcPr>
            <w:tcW w:w="3685" w:type="dxa"/>
            <w:shd w:val="clear" w:color="auto" w:fill="auto"/>
            <w:noWrap/>
            <w:hideMark/>
          </w:tcPr>
          <w:p w14:paraId="6EF386DE" w14:textId="77777777" w:rsidR="000B3C8A" w:rsidRPr="000B3C8A" w:rsidRDefault="000B3C8A" w:rsidP="000B3C8A">
            <w:pPr>
              <w:spacing w:before="10" w:after="10"/>
              <w:jc w:val="left"/>
              <w:rPr>
                <w:rFonts w:cs="Calibri"/>
                <w:color w:val="000000"/>
                <w:sz w:val="22"/>
                <w:szCs w:val="22"/>
              </w:rPr>
            </w:pPr>
            <w:r w:rsidRPr="000B3C8A">
              <w:rPr>
                <w:rFonts w:cs="Calibri"/>
                <w:color w:val="000000"/>
                <w:sz w:val="22"/>
                <w:szCs w:val="22"/>
              </w:rPr>
              <w:t>Martindale</w:t>
            </w:r>
          </w:p>
        </w:tc>
      </w:tr>
      <w:tr w:rsidR="000B3C8A" w:rsidRPr="000B3C8A" w14:paraId="187F9AE6" w14:textId="77777777" w:rsidTr="00811860">
        <w:tc>
          <w:tcPr>
            <w:tcW w:w="2720" w:type="dxa"/>
            <w:vMerge/>
            <w:shd w:val="clear" w:color="auto" w:fill="auto"/>
            <w:noWrap/>
            <w:hideMark/>
          </w:tcPr>
          <w:p w14:paraId="373129CE" w14:textId="0FF963B0" w:rsidR="000B3C8A" w:rsidRPr="000B3C8A" w:rsidRDefault="000B3C8A" w:rsidP="000B3C8A">
            <w:pPr>
              <w:spacing w:before="10" w:after="10"/>
              <w:jc w:val="left"/>
              <w:rPr>
                <w:rFonts w:cs="Calibri"/>
                <w:color w:val="000000"/>
                <w:sz w:val="22"/>
                <w:szCs w:val="22"/>
              </w:rPr>
            </w:pPr>
          </w:p>
        </w:tc>
        <w:tc>
          <w:tcPr>
            <w:tcW w:w="2662" w:type="dxa"/>
            <w:shd w:val="clear" w:color="auto" w:fill="auto"/>
            <w:noWrap/>
            <w:hideMark/>
          </w:tcPr>
          <w:p w14:paraId="741DA730" w14:textId="77777777" w:rsidR="000B3C8A" w:rsidRPr="000B3C8A" w:rsidRDefault="000B3C8A" w:rsidP="000B3C8A">
            <w:pPr>
              <w:spacing w:before="10" w:after="10"/>
              <w:jc w:val="left"/>
              <w:rPr>
                <w:rFonts w:cs="Calibri"/>
                <w:color w:val="000000"/>
                <w:sz w:val="22"/>
                <w:szCs w:val="22"/>
              </w:rPr>
            </w:pPr>
            <w:r w:rsidRPr="000B3C8A">
              <w:rPr>
                <w:rFonts w:cs="Calibri"/>
                <w:color w:val="000000"/>
                <w:sz w:val="22"/>
                <w:szCs w:val="22"/>
              </w:rPr>
              <w:t>Dacre</w:t>
            </w:r>
          </w:p>
        </w:tc>
        <w:tc>
          <w:tcPr>
            <w:tcW w:w="3685" w:type="dxa"/>
            <w:shd w:val="clear" w:color="auto" w:fill="auto"/>
            <w:noWrap/>
            <w:hideMark/>
          </w:tcPr>
          <w:p w14:paraId="30A3D719" w14:textId="77777777" w:rsidR="000B3C8A" w:rsidRPr="000B3C8A" w:rsidRDefault="000B3C8A" w:rsidP="000B3C8A">
            <w:pPr>
              <w:spacing w:before="10" w:after="10"/>
              <w:jc w:val="left"/>
              <w:rPr>
                <w:rFonts w:cs="Calibri"/>
                <w:color w:val="000000"/>
                <w:sz w:val="22"/>
                <w:szCs w:val="22"/>
              </w:rPr>
            </w:pPr>
            <w:r w:rsidRPr="000B3C8A">
              <w:rPr>
                <w:rFonts w:cs="Calibri"/>
                <w:color w:val="000000"/>
                <w:sz w:val="22"/>
                <w:szCs w:val="22"/>
              </w:rPr>
              <w:t>Dacre</w:t>
            </w:r>
          </w:p>
        </w:tc>
      </w:tr>
      <w:tr w:rsidR="000B3C8A" w:rsidRPr="000B3C8A" w14:paraId="6FA408FE" w14:textId="77777777" w:rsidTr="00811860">
        <w:tc>
          <w:tcPr>
            <w:tcW w:w="2720" w:type="dxa"/>
            <w:vMerge/>
            <w:shd w:val="clear" w:color="auto" w:fill="auto"/>
            <w:noWrap/>
            <w:hideMark/>
          </w:tcPr>
          <w:p w14:paraId="72662199" w14:textId="5BDBC71D" w:rsidR="000B3C8A" w:rsidRPr="000B3C8A" w:rsidRDefault="000B3C8A" w:rsidP="000B3C8A">
            <w:pPr>
              <w:spacing w:before="10" w:after="10"/>
              <w:jc w:val="left"/>
              <w:rPr>
                <w:rFonts w:cs="Calibri"/>
                <w:color w:val="000000"/>
                <w:sz w:val="22"/>
                <w:szCs w:val="22"/>
              </w:rPr>
            </w:pPr>
          </w:p>
        </w:tc>
        <w:tc>
          <w:tcPr>
            <w:tcW w:w="2662" w:type="dxa"/>
            <w:vMerge w:val="restart"/>
            <w:shd w:val="clear" w:color="auto" w:fill="auto"/>
            <w:noWrap/>
            <w:hideMark/>
          </w:tcPr>
          <w:p w14:paraId="5323E5B0" w14:textId="5A0C9574" w:rsidR="000B3C8A" w:rsidRPr="000B3C8A" w:rsidRDefault="000B3C8A" w:rsidP="000B3C8A">
            <w:pPr>
              <w:spacing w:before="10" w:after="10"/>
              <w:jc w:val="left"/>
              <w:rPr>
                <w:rFonts w:cs="Calibri"/>
                <w:color w:val="000000"/>
                <w:sz w:val="22"/>
                <w:szCs w:val="22"/>
              </w:rPr>
            </w:pPr>
            <w:r w:rsidRPr="000B3C8A">
              <w:rPr>
                <w:rFonts w:cs="Calibri"/>
                <w:color w:val="000000"/>
                <w:sz w:val="22"/>
                <w:szCs w:val="22"/>
              </w:rPr>
              <w:t>Greystoke </w:t>
            </w:r>
          </w:p>
        </w:tc>
        <w:tc>
          <w:tcPr>
            <w:tcW w:w="3685" w:type="dxa"/>
            <w:shd w:val="clear" w:color="auto" w:fill="auto"/>
            <w:noWrap/>
            <w:hideMark/>
          </w:tcPr>
          <w:p w14:paraId="232F7B90" w14:textId="77777777" w:rsidR="000B3C8A" w:rsidRPr="000B3C8A" w:rsidRDefault="000B3C8A" w:rsidP="000B3C8A">
            <w:pPr>
              <w:spacing w:before="10" w:after="10"/>
              <w:jc w:val="left"/>
              <w:rPr>
                <w:rFonts w:cs="Calibri"/>
                <w:color w:val="000000"/>
                <w:sz w:val="22"/>
                <w:szCs w:val="22"/>
              </w:rPr>
            </w:pPr>
            <w:r w:rsidRPr="000B3C8A">
              <w:rPr>
                <w:rFonts w:cs="Calibri"/>
                <w:color w:val="000000"/>
                <w:sz w:val="22"/>
                <w:szCs w:val="22"/>
              </w:rPr>
              <w:t>Greystoke</w:t>
            </w:r>
          </w:p>
        </w:tc>
      </w:tr>
      <w:tr w:rsidR="000B3C8A" w:rsidRPr="000B3C8A" w14:paraId="24AEFF2C" w14:textId="77777777" w:rsidTr="00811860">
        <w:tc>
          <w:tcPr>
            <w:tcW w:w="2720" w:type="dxa"/>
            <w:vMerge/>
            <w:shd w:val="clear" w:color="auto" w:fill="auto"/>
            <w:noWrap/>
            <w:hideMark/>
          </w:tcPr>
          <w:p w14:paraId="02F9F5A2" w14:textId="4D776D55" w:rsidR="000B3C8A" w:rsidRPr="000B3C8A" w:rsidRDefault="000B3C8A" w:rsidP="000B3C8A">
            <w:pPr>
              <w:spacing w:before="10" w:after="10"/>
              <w:jc w:val="left"/>
              <w:rPr>
                <w:rFonts w:cs="Calibri"/>
                <w:color w:val="000000"/>
                <w:sz w:val="22"/>
                <w:szCs w:val="22"/>
              </w:rPr>
            </w:pPr>
          </w:p>
        </w:tc>
        <w:tc>
          <w:tcPr>
            <w:tcW w:w="2662" w:type="dxa"/>
            <w:vMerge/>
            <w:shd w:val="clear" w:color="auto" w:fill="auto"/>
            <w:noWrap/>
            <w:hideMark/>
          </w:tcPr>
          <w:p w14:paraId="4A50F6FB" w14:textId="253802E2" w:rsidR="000B3C8A" w:rsidRPr="000B3C8A" w:rsidRDefault="000B3C8A" w:rsidP="000B3C8A">
            <w:pPr>
              <w:spacing w:before="10" w:after="10"/>
              <w:jc w:val="left"/>
              <w:rPr>
                <w:rFonts w:cs="Calibri"/>
                <w:color w:val="000000"/>
                <w:sz w:val="22"/>
                <w:szCs w:val="22"/>
              </w:rPr>
            </w:pPr>
          </w:p>
        </w:tc>
        <w:tc>
          <w:tcPr>
            <w:tcW w:w="3685" w:type="dxa"/>
            <w:shd w:val="clear" w:color="auto" w:fill="auto"/>
            <w:noWrap/>
            <w:hideMark/>
          </w:tcPr>
          <w:p w14:paraId="1F1FDEB1" w14:textId="77777777" w:rsidR="000B3C8A" w:rsidRPr="000B3C8A" w:rsidRDefault="000B3C8A" w:rsidP="000B3C8A">
            <w:pPr>
              <w:spacing w:before="10" w:after="10"/>
              <w:jc w:val="left"/>
              <w:rPr>
                <w:rFonts w:cs="Calibri"/>
                <w:color w:val="000000"/>
                <w:sz w:val="22"/>
                <w:szCs w:val="22"/>
              </w:rPr>
            </w:pPr>
            <w:r w:rsidRPr="000B3C8A">
              <w:rPr>
                <w:rFonts w:cs="Calibri"/>
                <w:color w:val="000000"/>
                <w:sz w:val="22"/>
                <w:szCs w:val="22"/>
              </w:rPr>
              <w:t>Mungrisdale</w:t>
            </w:r>
          </w:p>
        </w:tc>
      </w:tr>
      <w:tr w:rsidR="000B3C8A" w:rsidRPr="000B3C8A" w14:paraId="4CC290C5" w14:textId="77777777" w:rsidTr="00811860">
        <w:tc>
          <w:tcPr>
            <w:tcW w:w="2720" w:type="dxa"/>
            <w:vMerge/>
            <w:shd w:val="clear" w:color="auto" w:fill="auto"/>
            <w:noWrap/>
            <w:hideMark/>
          </w:tcPr>
          <w:p w14:paraId="688010C6" w14:textId="29614F27" w:rsidR="000B3C8A" w:rsidRPr="000B3C8A" w:rsidRDefault="000B3C8A" w:rsidP="000B3C8A">
            <w:pPr>
              <w:spacing w:before="10" w:after="10"/>
              <w:jc w:val="left"/>
              <w:rPr>
                <w:rFonts w:cs="Calibri"/>
                <w:color w:val="000000"/>
                <w:sz w:val="22"/>
                <w:szCs w:val="22"/>
              </w:rPr>
            </w:pPr>
          </w:p>
        </w:tc>
        <w:tc>
          <w:tcPr>
            <w:tcW w:w="2662" w:type="dxa"/>
            <w:vMerge/>
            <w:shd w:val="clear" w:color="auto" w:fill="auto"/>
            <w:noWrap/>
            <w:hideMark/>
          </w:tcPr>
          <w:p w14:paraId="14107B50" w14:textId="44B809F2" w:rsidR="000B3C8A" w:rsidRPr="000B3C8A" w:rsidRDefault="000B3C8A" w:rsidP="000B3C8A">
            <w:pPr>
              <w:spacing w:before="10" w:after="10"/>
              <w:jc w:val="left"/>
              <w:rPr>
                <w:rFonts w:cs="Calibri"/>
                <w:color w:val="000000"/>
                <w:sz w:val="22"/>
                <w:szCs w:val="22"/>
              </w:rPr>
            </w:pPr>
          </w:p>
        </w:tc>
        <w:tc>
          <w:tcPr>
            <w:tcW w:w="3685" w:type="dxa"/>
            <w:shd w:val="clear" w:color="auto" w:fill="auto"/>
            <w:noWrap/>
            <w:hideMark/>
          </w:tcPr>
          <w:p w14:paraId="57575772" w14:textId="77777777" w:rsidR="000B3C8A" w:rsidRPr="000B3C8A" w:rsidRDefault="000B3C8A" w:rsidP="000B3C8A">
            <w:pPr>
              <w:spacing w:before="10" w:after="10"/>
              <w:jc w:val="left"/>
              <w:rPr>
                <w:rFonts w:cs="Calibri"/>
                <w:color w:val="000000"/>
                <w:sz w:val="22"/>
                <w:szCs w:val="22"/>
              </w:rPr>
            </w:pPr>
            <w:r w:rsidRPr="000B3C8A">
              <w:rPr>
                <w:rFonts w:cs="Calibri"/>
                <w:color w:val="000000"/>
                <w:sz w:val="22"/>
                <w:szCs w:val="22"/>
              </w:rPr>
              <w:t>Threlkeld</w:t>
            </w:r>
          </w:p>
        </w:tc>
      </w:tr>
      <w:tr w:rsidR="000B3C8A" w:rsidRPr="000B3C8A" w14:paraId="521085DE" w14:textId="77777777" w:rsidTr="00811860">
        <w:tc>
          <w:tcPr>
            <w:tcW w:w="2720" w:type="dxa"/>
            <w:vMerge/>
            <w:shd w:val="clear" w:color="auto" w:fill="auto"/>
            <w:noWrap/>
            <w:hideMark/>
          </w:tcPr>
          <w:p w14:paraId="5F38C608" w14:textId="1E1F3A06" w:rsidR="000B3C8A" w:rsidRPr="000B3C8A" w:rsidRDefault="000B3C8A" w:rsidP="000B3C8A">
            <w:pPr>
              <w:spacing w:before="10" w:after="10"/>
              <w:jc w:val="left"/>
              <w:rPr>
                <w:rFonts w:cs="Calibri"/>
                <w:color w:val="000000"/>
                <w:sz w:val="22"/>
                <w:szCs w:val="22"/>
              </w:rPr>
            </w:pPr>
          </w:p>
        </w:tc>
        <w:tc>
          <w:tcPr>
            <w:tcW w:w="2662" w:type="dxa"/>
            <w:shd w:val="clear" w:color="auto" w:fill="auto"/>
            <w:noWrap/>
            <w:hideMark/>
          </w:tcPr>
          <w:p w14:paraId="20121366" w14:textId="77777777" w:rsidR="000B3C8A" w:rsidRPr="000B3C8A" w:rsidRDefault="000B3C8A" w:rsidP="000B3C8A">
            <w:pPr>
              <w:spacing w:before="10" w:after="10"/>
              <w:jc w:val="left"/>
              <w:rPr>
                <w:rFonts w:cs="Calibri"/>
                <w:color w:val="000000"/>
                <w:sz w:val="22"/>
                <w:szCs w:val="22"/>
              </w:rPr>
            </w:pPr>
            <w:r w:rsidRPr="000B3C8A">
              <w:rPr>
                <w:rFonts w:cs="Calibri"/>
                <w:color w:val="000000"/>
                <w:sz w:val="22"/>
                <w:szCs w:val="22"/>
              </w:rPr>
              <w:t>Shap</w:t>
            </w:r>
          </w:p>
        </w:tc>
        <w:tc>
          <w:tcPr>
            <w:tcW w:w="3685" w:type="dxa"/>
            <w:shd w:val="clear" w:color="auto" w:fill="auto"/>
            <w:noWrap/>
            <w:hideMark/>
          </w:tcPr>
          <w:p w14:paraId="707EF882" w14:textId="77777777" w:rsidR="000B3C8A" w:rsidRPr="000B3C8A" w:rsidRDefault="000B3C8A" w:rsidP="000B3C8A">
            <w:pPr>
              <w:spacing w:before="10" w:after="10"/>
              <w:jc w:val="left"/>
              <w:rPr>
                <w:rFonts w:cs="Calibri"/>
                <w:color w:val="000000"/>
                <w:sz w:val="22"/>
                <w:szCs w:val="22"/>
              </w:rPr>
            </w:pPr>
            <w:r w:rsidRPr="000B3C8A">
              <w:rPr>
                <w:rFonts w:cs="Calibri"/>
                <w:color w:val="000000"/>
                <w:sz w:val="22"/>
                <w:szCs w:val="22"/>
              </w:rPr>
              <w:t>Shap</w:t>
            </w:r>
          </w:p>
        </w:tc>
      </w:tr>
      <w:tr w:rsidR="000B3C8A" w:rsidRPr="000B3C8A" w14:paraId="16CE481F" w14:textId="77777777" w:rsidTr="00811860">
        <w:tc>
          <w:tcPr>
            <w:tcW w:w="2720" w:type="dxa"/>
            <w:vMerge/>
            <w:shd w:val="clear" w:color="auto" w:fill="auto"/>
            <w:noWrap/>
            <w:hideMark/>
          </w:tcPr>
          <w:p w14:paraId="5EEC6C30" w14:textId="58020A0B" w:rsidR="000B3C8A" w:rsidRPr="000B3C8A" w:rsidRDefault="000B3C8A" w:rsidP="000B3C8A">
            <w:pPr>
              <w:spacing w:before="10" w:after="10"/>
              <w:jc w:val="left"/>
              <w:rPr>
                <w:rFonts w:cs="Calibri"/>
                <w:color w:val="000000"/>
                <w:sz w:val="22"/>
                <w:szCs w:val="22"/>
              </w:rPr>
            </w:pPr>
          </w:p>
        </w:tc>
        <w:tc>
          <w:tcPr>
            <w:tcW w:w="2662" w:type="dxa"/>
            <w:shd w:val="clear" w:color="auto" w:fill="auto"/>
            <w:noWrap/>
            <w:hideMark/>
          </w:tcPr>
          <w:p w14:paraId="2EFF65C6" w14:textId="77777777" w:rsidR="000B3C8A" w:rsidRPr="000B3C8A" w:rsidRDefault="000B3C8A" w:rsidP="000B3C8A">
            <w:pPr>
              <w:spacing w:before="10" w:after="10"/>
              <w:jc w:val="left"/>
              <w:rPr>
                <w:rFonts w:cs="Calibri"/>
                <w:color w:val="000000"/>
                <w:sz w:val="22"/>
                <w:szCs w:val="22"/>
              </w:rPr>
            </w:pPr>
            <w:r w:rsidRPr="000B3C8A">
              <w:rPr>
                <w:rFonts w:cs="Calibri"/>
                <w:color w:val="000000"/>
                <w:sz w:val="22"/>
                <w:szCs w:val="22"/>
              </w:rPr>
              <w:t>Skelton</w:t>
            </w:r>
          </w:p>
        </w:tc>
        <w:tc>
          <w:tcPr>
            <w:tcW w:w="3685" w:type="dxa"/>
            <w:shd w:val="clear" w:color="auto" w:fill="auto"/>
            <w:noWrap/>
            <w:hideMark/>
          </w:tcPr>
          <w:p w14:paraId="16F02BD5" w14:textId="77777777" w:rsidR="000B3C8A" w:rsidRPr="000B3C8A" w:rsidRDefault="000B3C8A" w:rsidP="000B3C8A">
            <w:pPr>
              <w:spacing w:before="10" w:after="10"/>
              <w:jc w:val="left"/>
              <w:rPr>
                <w:rFonts w:cs="Calibri"/>
                <w:color w:val="000000"/>
                <w:sz w:val="22"/>
                <w:szCs w:val="22"/>
              </w:rPr>
            </w:pPr>
            <w:r w:rsidRPr="000B3C8A">
              <w:rPr>
                <w:rFonts w:cs="Calibri"/>
                <w:color w:val="000000"/>
                <w:sz w:val="22"/>
                <w:szCs w:val="22"/>
              </w:rPr>
              <w:t>Castle Sowerby</w:t>
            </w:r>
          </w:p>
        </w:tc>
      </w:tr>
      <w:tr w:rsidR="000B3C8A" w:rsidRPr="000B3C8A" w14:paraId="768B440B" w14:textId="77777777" w:rsidTr="00811860">
        <w:tc>
          <w:tcPr>
            <w:tcW w:w="2720" w:type="dxa"/>
            <w:vMerge/>
            <w:shd w:val="clear" w:color="auto" w:fill="auto"/>
            <w:noWrap/>
            <w:hideMark/>
          </w:tcPr>
          <w:p w14:paraId="02B19A84" w14:textId="1EE57482" w:rsidR="000B3C8A" w:rsidRPr="000B3C8A" w:rsidRDefault="000B3C8A" w:rsidP="000B3C8A">
            <w:pPr>
              <w:spacing w:before="10" w:after="10"/>
              <w:jc w:val="left"/>
              <w:rPr>
                <w:rFonts w:cs="Calibri"/>
                <w:color w:val="000000"/>
                <w:sz w:val="22"/>
                <w:szCs w:val="22"/>
              </w:rPr>
            </w:pPr>
          </w:p>
        </w:tc>
        <w:tc>
          <w:tcPr>
            <w:tcW w:w="2662" w:type="dxa"/>
            <w:vMerge w:val="restart"/>
            <w:shd w:val="clear" w:color="auto" w:fill="auto"/>
            <w:noWrap/>
            <w:hideMark/>
          </w:tcPr>
          <w:p w14:paraId="728177D7" w14:textId="05B8C35B" w:rsidR="000B3C8A" w:rsidRPr="000B3C8A" w:rsidRDefault="000B3C8A" w:rsidP="000B3C8A">
            <w:pPr>
              <w:spacing w:before="10" w:after="10"/>
              <w:jc w:val="left"/>
              <w:rPr>
                <w:rFonts w:cs="Calibri"/>
                <w:color w:val="000000"/>
                <w:sz w:val="22"/>
                <w:szCs w:val="22"/>
              </w:rPr>
            </w:pPr>
            <w:r w:rsidRPr="000B3C8A">
              <w:rPr>
                <w:rFonts w:cs="Calibri"/>
                <w:color w:val="000000"/>
                <w:sz w:val="22"/>
                <w:szCs w:val="22"/>
              </w:rPr>
              <w:t>Ullswater </w:t>
            </w:r>
          </w:p>
        </w:tc>
        <w:tc>
          <w:tcPr>
            <w:tcW w:w="3685" w:type="dxa"/>
            <w:shd w:val="clear" w:color="auto" w:fill="auto"/>
            <w:noWrap/>
            <w:hideMark/>
          </w:tcPr>
          <w:p w14:paraId="6BDF74A8" w14:textId="77777777" w:rsidR="000B3C8A" w:rsidRPr="000B3C8A" w:rsidRDefault="000B3C8A" w:rsidP="000B3C8A">
            <w:pPr>
              <w:spacing w:before="10" w:after="10"/>
              <w:jc w:val="left"/>
              <w:rPr>
                <w:rFonts w:cs="Calibri"/>
                <w:color w:val="000000"/>
                <w:sz w:val="22"/>
                <w:szCs w:val="22"/>
              </w:rPr>
            </w:pPr>
            <w:r w:rsidRPr="000B3C8A">
              <w:rPr>
                <w:rFonts w:cs="Calibri"/>
                <w:color w:val="000000"/>
                <w:sz w:val="22"/>
                <w:szCs w:val="22"/>
              </w:rPr>
              <w:t>Hutton</w:t>
            </w:r>
          </w:p>
        </w:tc>
      </w:tr>
      <w:tr w:rsidR="000B3C8A" w:rsidRPr="000B3C8A" w14:paraId="3E3F6DD5" w14:textId="77777777" w:rsidTr="00811860">
        <w:tc>
          <w:tcPr>
            <w:tcW w:w="2720" w:type="dxa"/>
            <w:vMerge/>
            <w:shd w:val="clear" w:color="auto" w:fill="auto"/>
            <w:noWrap/>
            <w:hideMark/>
          </w:tcPr>
          <w:p w14:paraId="57BE534E" w14:textId="2EE077B8" w:rsidR="000B3C8A" w:rsidRPr="000B3C8A" w:rsidRDefault="000B3C8A" w:rsidP="000B3C8A">
            <w:pPr>
              <w:spacing w:before="10" w:after="10"/>
              <w:jc w:val="left"/>
              <w:rPr>
                <w:rFonts w:cs="Calibri"/>
                <w:color w:val="000000"/>
                <w:sz w:val="22"/>
                <w:szCs w:val="22"/>
              </w:rPr>
            </w:pPr>
          </w:p>
        </w:tc>
        <w:tc>
          <w:tcPr>
            <w:tcW w:w="2662" w:type="dxa"/>
            <w:vMerge/>
            <w:shd w:val="clear" w:color="auto" w:fill="auto"/>
            <w:noWrap/>
            <w:hideMark/>
          </w:tcPr>
          <w:p w14:paraId="3B8EB42C" w14:textId="52DFF317" w:rsidR="000B3C8A" w:rsidRPr="000B3C8A" w:rsidRDefault="000B3C8A" w:rsidP="000B3C8A">
            <w:pPr>
              <w:spacing w:before="10" w:after="10"/>
              <w:jc w:val="left"/>
              <w:rPr>
                <w:rFonts w:cs="Calibri"/>
                <w:color w:val="000000"/>
                <w:sz w:val="22"/>
                <w:szCs w:val="22"/>
              </w:rPr>
            </w:pPr>
          </w:p>
        </w:tc>
        <w:tc>
          <w:tcPr>
            <w:tcW w:w="3685" w:type="dxa"/>
            <w:shd w:val="clear" w:color="auto" w:fill="auto"/>
            <w:noWrap/>
            <w:hideMark/>
          </w:tcPr>
          <w:p w14:paraId="6CA2D7D8" w14:textId="77777777" w:rsidR="000B3C8A" w:rsidRPr="000B3C8A" w:rsidRDefault="000B3C8A" w:rsidP="000B3C8A">
            <w:pPr>
              <w:spacing w:before="10" w:after="10"/>
              <w:jc w:val="left"/>
              <w:rPr>
                <w:rFonts w:cs="Calibri"/>
                <w:color w:val="000000"/>
                <w:sz w:val="22"/>
                <w:szCs w:val="22"/>
              </w:rPr>
            </w:pPr>
            <w:r w:rsidRPr="000B3C8A">
              <w:rPr>
                <w:rFonts w:cs="Calibri"/>
                <w:color w:val="000000"/>
                <w:sz w:val="22"/>
                <w:szCs w:val="22"/>
              </w:rPr>
              <w:t>Matterdale</w:t>
            </w:r>
          </w:p>
        </w:tc>
      </w:tr>
      <w:tr w:rsidR="000B3C8A" w:rsidRPr="000B3C8A" w14:paraId="13A23C06" w14:textId="77777777" w:rsidTr="00811860">
        <w:tc>
          <w:tcPr>
            <w:tcW w:w="2720" w:type="dxa"/>
            <w:vMerge/>
            <w:shd w:val="clear" w:color="auto" w:fill="auto"/>
            <w:noWrap/>
            <w:hideMark/>
          </w:tcPr>
          <w:p w14:paraId="226561AB" w14:textId="37C3BFEE" w:rsidR="000B3C8A" w:rsidRPr="000B3C8A" w:rsidRDefault="000B3C8A" w:rsidP="000B3C8A">
            <w:pPr>
              <w:spacing w:before="10" w:after="10"/>
              <w:jc w:val="left"/>
              <w:rPr>
                <w:rFonts w:cs="Calibri"/>
                <w:color w:val="000000"/>
                <w:sz w:val="22"/>
                <w:szCs w:val="22"/>
              </w:rPr>
            </w:pPr>
          </w:p>
        </w:tc>
        <w:tc>
          <w:tcPr>
            <w:tcW w:w="2662" w:type="dxa"/>
            <w:vMerge/>
            <w:shd w:val="clear" w:color="auto" w:fill="auto"/>
            <w:noWrap/>
            <w:hideMark/>
          </w:tcPr>
          <w:p w14:paraId="26609612" w14:textId="1614C577" w:rsidR="000B3C8A" w:rsidRPr="000B3C8A" w:rsidRDefault="000B3C8A" w:rsidP="000B3C8A">
            <w:pPr>
              <w:spacing w:before="10" w:after="10"/>
              <w:jc w:val="left"/>
              <w:rPr>
                <w:rFonts w:cs="Calibri"/>
                <w:color w:val="000000"/>
                <w:sz w:val="22"/>
                <w:szCs w:val="22"/>
              </w:rPr>
            </w:pPr>
          </w:p>
        </w:tc>
        <w:tc>
          <w:tcPr>
            <w:tcW w:w="3685" w:type="dxa"/>
            <w:shd w:val="clear" w:color="auto" w:fill="auto"/>
            <w:noWrap/>
            <w:hideMark/>
          </w:tcPr>
          <w:p w14:paraId="6269E5D0" w14:textId="77777777" w:rsidR="000B3C8A" w:rsidRPr="000B3C8A" w:rsidRDefault="000B3C8A" w:rsidP="000B3C8A">
            <w:pPr>
              <w:spacing w:before="10" w:after="10"/>
              <w:jc w:val="left"/>
              <w:rPr>
                <w:rFonts w:cs="Calibri"/>
                <w:color w:val="000000"/>
                <w:sz w:val="22"/>
                <w:szCs w:val="22"/>
              </w:rPr>
            </w:pPr>
            <w:r w:rsidRPr="000B3C8A">
              <w:rPr>
                <w:rFonts w:cs="Calibri"/>
                <w:color w:val="000000"/>
                <w:sz w:val="22"/>
                <w:szCs w:val="22"/>
              </w:rPr>
              <w:t>Patterdale</w:t>
            </w:r>
          </w:p>
        </w:tc>
      </w:tr>
    </w:tbl>
    <w:p w14:paraId="018A4741" w14:textId="77777777" w:rsidR="001F27D2" w:rsidRPr="002B2A7F" w:rsidRDefault="001F27D2" w:rsidP="001F27D2">
      <w:pPr>
        <w:pStyle w:val="Maintext"/>
        <w:numPr>
          <w:ilvl w:val="1"/>
          <w:numId w:val="27"/>
        </w:numPr>
        <w:spacing w:before="0"/>
        <w:jc w:val="left"/>
        <w:rPr>
          <w:rFonts w:asciiTheme="minorHAnsi" w:hAnsiTheme="minorHAnsi" w:cs="Calibri"/>
          <w:b/>
          <w:bCs/>
          <w:color w:val="008080"/>
          <w:sz w:val="32"/>
        </w:rPr>
      </w:pPr>
      <w:r w:rsidRPr="002B2A7F">
        <w:rPr>
          <w:rFonts w:asciiTheme="minorHAnsi" w:hAnsiTheme="minorHAnsi" w:cs="Calibri"/>
        </w:rPr>
        <w:br w:type="page"/>
      </w:r>
    </w:p>
    <w:p w14:paraId="30DC3B7E" w14:textId="77777777" w:rsidR="001F27D2" w:rsidRPr="002B2A7F" w:rsidRDefault="001F27D2" w:rsidP="001F27D2">
      <w:pPr>
        <w:pStyle w:val="Heading1"/>
        <w:numPr>
          <w:ilvl w:val="0"/>
          <w:numId w:val="0"/>
        </w:numPr>
        <w:ind w:left="709" w:hanging="709"/>
        <w:rPr>
          <w:rFonts w:asciiTheme="minorHAnsi" w:hAnsiTheme="minorHAnsi" w:cs="Calibri"/>
        </w:rPr>
      </w:pPr>
      <w:bookmarkStart w:id="686" w:name="_Toc395193595"/>
      <w:bookmarkStart w:id="687" w:name="_Toc524935614"/>
      <w:bookmarkStart w:id="688" w:name="_Toc531122914"/>
      <w:bookmarkStart w:id="689" w:name="_Toc532812444"/>
      <w:bookmarkStart w:id="690" w:name="_Toc273708385"/>
      <w:bookmarkStart w:id="691" w:name="_Toc280272455"/>
      <w:bookmarkStart w:id="692" w:name="_Toc318323461"/>
      <w:bookmarkStart w:id="693" w:name="_Toc333507791"/>
      <w:bookmarkStart w:id="694" w:name="_Toc399864453"/>
      <w:bookmarkStart w:id="695" w:name="_Toc428528520"/>
      <w:bookmarkStart w:id="696" w:name="_Toc430084613"/>
      <w:bookmarkStart w:id="697" w:name="_Toc430782053"/>
      <w:bookmarkEnd w:id="648"/>
      <w:bookmarkEnd w:id="672"/>
      <w:bookmarkEnd w:id="673"/>
      <w:r w:rsidRPr="002B2A7F">
        <w:rPr>
          <w:rFonts w:asciiTheme="minorHAnsi" w:hAnsiTheme="minorHAnsi" w:cs="Calibri"/>
        </w:rPr>
        <w:lastRenderedPageBreak/>
        <w:t>Technical Appendix B: Policy review</w:t>
      </w:r>
      <w:bookmarkEnd w:id="686"/>
      <w:bookmarkEnd w:id="687"/>
      <w:bookmarkEnd w:id="688"/>
      <w:bookmarkEnd w:id="689"/>
    </w:p>
    <w:p w14:paraId="7730FA43" w14:textId="77777777" w:rsidR="00AB06C6" w:rsidRDefault="00AB06C6" w:rsidP="00AB06C6">
      <w:pPr>
        <w:pStyle w:val="Reporttext"/>
        <w:numPr>
          <w:ilvl w:val="0"/>
          <w:numId w:val="0"/>
        </w:numPr>
        <w:ind w:left="709"/>
      </w:pPr>
    </w:p>
    <w:p w14:paraId="0BE31111" w14:textId="1F7D5E42" w:rsidR="001F27D2" w:rsidRPr="002B2A7F" w:rsidRDefault="001F27D2" w:rsidP="007D2B69">
      <w:pPr>
        <w:pStyle w:val="Reporttext"/>
        <w:numPr>
          <w:ilvl w:val="1"/>
          <w:numId w:val="31"/>
        </w:numPr>
      </w:pPr>
      <w:r w:rsidRPr="002B2A7F">
        <w:t xml:space="preserve">The purpose of this Appendix is to set out the national policy agenda of relevance to this </w:t>
      </w:r>
      <w:r w:rsidR="003E42B8">
        <w:t>H</w:t>
      </w:r>
      <w:r w:rsidRPr="002B2A7F">
        <w:t xml:space="preserve">ousing </w:t>
      </w:r>
      <w:r w:rsidR="003E42B8">
        <w:t>N</w:t>
      </w:r>
      <w:r w:rsidRPr="002B2A7F">
        <w:t xml:space="preserve">eeds </w:t>
      </w:r>
      <w:r w:rsidR="003E42B8">
        <w:t>A</w:t>
      </w:r>
      <w:r w:rsidRPr="002B2A7F">
        <w:t xml:space="preserve">ssessment. </w:t>
      </w:r>
    </w:p>
    <w:p w14:paraId="21127250" w14:textId="77777777" w:rsidR="001F27D2" w:rsidRPr="002B2A7F" w:rsidRDefault="001F27D2" w:rsidP="001F27D2">
      <w:pPr>
        <w:ind w:left="709"/>
        <w:rPr>
          <w:rFonts w:asciiTheme="minorHAnsi" w:hAnsiTheme="minorHAnsi" w:cs="Calibri"/>
        </w:rPr>
      </w:pPr>
    </w:p>
    <w:p w14:paraId="5BB81A93" w14:textId="77777777" w:rsidR="001F27D2" w:rsidRPr="002B2A7F" w:rsidRDefault="001F27D2" w:rsidP="001F27D2">
      <w:pPr>
        <w:pStyle w:val="Heading2"/>
        <w:rPr>
          <w:rFonts w:asciiTheme="minorHAnsi" w:hAnsiTheme="minorHAnsi"/>
        </w:rPr>
      </w:pPr>
      <w:bookmarkStart w:id="698" w:name="_Toc319240067"/>
      <w:bookmarkStart w:id="699" w:name="_Toc320530775"/>
      <w:bookmarkStart w:id="700" w:name="_Toc337473005"/>
      <w:bookmarkStart w:id="701" w:name="_Toc465332471"/>
      <w:bookmarkStart w:id="702" w:name="_Toc474935061"/>
      <w:bookmarkStart w:id="703" w:name="_Toc531122915"/>
      <w:bookmarkStart w:id="704" w:name="_Toc532812445"/>
      <w:r w:rsidRPr="002B2A7F">
        <w:rPr>
          <w:rFonts w:asciiTheme="minorHAnsi" w:hAnsiTheme="minorHAnsi"/>
        </w:rPr>
        <w:t>Introduction</w:t>
      </w:r>
      <w:bookmarkEnd w:id="698"/>
      <w:bookmarkEnd w:id="699"/>
      <w:bookmarkEnd w:id="700"/>
      <w:bookmarkEnd w:id="701"/>
      <w:bookmarkEnd w:id="702"/>
      <w:bookmarkEnd w:id="703"/>
      <w:bookmarkEnd w:id="704"/>
    </w:p>
    <w:p w14:paraId="40E061BE" w14:textId="77777777" w:rsidR="001F27D2" w:rsidRPr="002B2A7F" w:rsidRDefault="001F27D2" w:rsidP="007D2B69">
      <w:pPr>
        <w:pStyle w:val="Reporttext"/>
        <w:numPr>
          <w:ilvl w:val="1"/>
          <w:numId w:val="31"/>
        </w:numPr>
      </w:pPr>
      <w:r w:rsidRPr="002B2A7F">
        <w:t>Under the Conservative and Liberal Democrat Coalition Government, the period 2010-2015 saw a radical and sustained programme of reform of welfare, housing and planning policy. This was set within the context of national austerity and an economic policy of deficit reduction and public spending cuts following a period of recession and financial turbulence. The reforms championed localism, decentralisation and economic growth.</w:t>
      </w:r>
    </w:p>
    <w:p w14:paraId="7B127A34" w14:textId="77777777" w:rsidR="001F27D2" w:rsidRPr="002B2A7F" w:rsidRDefault="001F27D2" w:rsidP="007D2B69">
      <w:pPr>
        <w:pStyle w:val="Reporttext"/>
        <w:numPr>
          <w:ilvl w:val="1"/>
          <w:numId w:val="31"/>
        </w:numPr>
      </w:pPr>
      <w:r w:rsidRPr="002B2A7F">
        <w:t xml:space="preserve">This agenda continued to be pursued under the leadership of David Cameron following the election of a majority Conservative Government in May 2015. Further welfare reforms were accompanied by policies seeking to increase the rate of housebuilding and promoting home ownership as the tenure of choice. The Housing and Planning Act 2016 was intended to provide the legislative basis for a number of Conservative Manifesto commitments, including the flagship Starter Homes scheme. The Act also made provisions for other aspects of housing policy such as Pay to Stay, Right to Buy, high value sales and ending lifetime tenancies. </w:t>
      </w:r>
    </w:p>
    <w:p w14:paraId="0EE72856" w14:textId="77777777" w:rsidR="001F27D2" w:rsidRPr="002B2A7F" w:rsidRDefault="001F27D2" w:rsidP="007D2B69">
      <w:pPr>
        <w:pStyle w:val="Reporttext"/>
        <w:numPr>
          <w:ilvl w:val="1"/>
          <w:numId w:val="31"/>
        </w:numPr>
      </w:pPr>
      <w:r w:rsidRPr="002B2A7F">
        <w:t>The European Union Referendum of June 2016 resulted in significant changes in the political climate at a number of levels. Changes in Government leadership – with the appointment of Theresa May as Prime Minister – quickly led to discussions regarding the direction of housing and planning policy. Alongside significant delays (and in some cases abandonment) in the implementation of secondary legislation relating to aspects of the Housing and Planning Act 2016; conference speeches, ministerial statements and the Housing White Paper (February 2017) indicated a change in attitude towards housing policy. The 2016-17 Administration signalled a broader ‘multi-tenure’ housing strategy, including support for a range of tenures in addition to home ownership. The Neighbourhood Planning Act 2017 was passed with the intention of strengthening neighbourhood planning by ensuring that decision-makers take account of well-advanced neighbourhood development plans and giving these plans full legal weight at an earlier stage.</w:t>
      </w:r>
    </w:p>
    <w:p w14:paraId="55032011" w14:textId="77777777" w:rsidR="001F27D2" w:rsidRPr="002B2A7F" w:rsidRDefault="001F27D2" w:rsidP="007D2B69">
      <w:pPr>
        <w:pStyle w:val="Reporttext"/>
        <w:numPr>
          <w:ilvl w:val="1"/>
          <w:numId w:val="31"/>
        </w:numPr>
      </w:pPr>
      <w:r w:rsidRPr="002B2A7F">
        <w:t>The snap General Election of June 2017 created a new wave of political change and uncertainty, although the overall Government leadership remains under Conservative control and ministers are keen to keep housing as a key domestic policy priority.</w:t>
      </w:r>
    </w:p>
    <w:p w14:paraId="73F2082F" w14:textId="77777777" w:rsidR="001F27D2" w:rsidRPr="002B2A7F" w:rsidRDefault="001F27D2" w:rsidP="001F27D2">
      <w:pPr>
        <w:pStyle w:val="Reporttext"/>
        <w:numPr>
          <w:ilvl w:val="0"/>
          <w:numId w:val="0"/>
        </w:numPr>
      </w:pPr>
    </w:p>
    <w:p w14:paraId="2730F560" w14:textId="77777777" w:rsidR="001F27D2" w:rsidRPr="002B2A7F" w:rsidRDefault="001F27D2" w:rsidP="001F27D2">
      <w:pPr>
        <w:pStyle w:val="Heading2"/>
        <w:rPr>
          <w:rFonts w:asciiTheme="minorHAnsi" w:hAnsiTheme="minorHAnsi"/>
        </w:rPr>
      </w:pPr>
      <w:bookmarkStart w:id="705" w:name="_Toc531122916"/>
      <w:bookmarkStart w:id="706" w:name="_Toc532812446"/>
      <w:r w:rsidRPr="002B2A7F">
        <w:rPr>
          <w:rFonts w:asciiTheme="minorHAnsi" w:hAnsiTheme="minorHAnsi"/>
        </w:rPr>
        <w:t>2010-2015 (Coalition Government)</w:t>
      </w:r>
      <w:bookmarkEnd w:id="705"/>
      <w:bookmarkEnd w:id="706"/>
    </w:p>
    <w:p w14:paraId="1C4238EC" w14:textId="2E4AA877" w:rsidR="001F27D2" w:rsidRPr="002B2A7F" w:rsidRDefault="001F27D2" w:rsidP="007D2B69">
      <w:pPr>
        <w:pStyle w:val="Reporttext"/>
        <w:numPr>
          <w:ilvl w:val="1"/>
          <w:numId w:val="31"/>
        </w:numPr>
      </w:pPr>
      <w:r w:rsidRPr="002B2A7F">
        <w:t xml:space="preserve">Following the Coalition Agreement of May 2010, the Localism Act 2011 was passed with the express intention of devolving power from central </w:t>
      </w:r>
      <w:r w:rsidR="00DB2ED0">
        <w:t>G</w:t>
      </w:r>
      <w:r w:rsidRPr="002B2A7F">
        <w:t>overnment towards local people. The Localism Act set out a series of measures to seek a substantial and lasting shift of powers including:</w:t>
      </w:r>
    </w:p>
    <w:p w14:paraId="338E6F6E" w14:textId="5011B384" w:rsidR="001F27D2" w:rsidRPr="00BC010F" w:rsidRDefault="001F27D2" w:rsidP="00BC010F">
      <w:pPr>
        <w:pStyle w:val="bullet"/>
      </w:pPr>
      <w:r w:rsidRPr="002B2A7F">
        <w:lastRenderedPageBreak/>
        <w:t xml:space="preserve">new freedoms and flexibilities for local </w:t>
      </w:r>
      <w:r w:rsidR="00DB2ED0">
        <w:t>G</w:t>
      </w:r>
      <w:r w:rsidRPr="002B2A7F">
        <w:t xml:space="preserve">overnment, including directly elected </w:t>
      </w:r>
      <w:r w:rsidRPr="00BC010F">
        <w:t xml:space="preserve">mayors and empowering cities and other local areas; </w:t>
      </w:r>
    </w:p>
    <w:p w14:paraId="7A55A38D" w14:textId="77777777" w:rsidR="001F27D2" w:rsidRPr="00BC010F" w:rsidRDefault="001F27D2" w:rsidP="00BC010F">
      <w:pPr>
        <w:pStyle w:val="bullet"/>
      </w:pPr>
      <w:r w:rsidRPr="00BC010F">
        <w:t xml:space="preserve">new rights and powers for communities and individuals; </w:t>
      </w:r>
    </w:p>
    <w:p w14:paraId="42705B33" w14:textId="77777777" w:rsidR="001F27D2" w:rsidRPr="00BC010F" w:rsidRDefault="001F27D2" w:rsidP="00BC010F">
      <w:pPr>
        <w:pStyle w:val="bullet"/>
      </w:pPr>
      <w:r w:rsidRPr="00BC010F">
        <w:t>reform to make the planning system more democratic and more effective, including the abolition of regional spatial strategies (RSS), the introduction of the ‘Duty to Cooperate’, neighbourhood planning, Community ‘Right to Build’, reforming the community infrastructure levy and reforming the Local Plan process; and</w:t>
      </w:r>
    </w:p>
    <w:p w14:paraId="6B677A7B" w14:textId="77777777" w:rsidR="001F27D2" w:rsidRPr="00BC010F" w:rsidRDefault="001F27D2" w:rsidP="00BC010F">
      <w:pPr>
        <w:pStyle w:val="bullet"/>
      </w:pPr>
      <w:r w:rsidRPr="00BC010F">
        <w:t>reform to ensure that decisions about housing are taken locally.</w:t>
      </w:r>
    </w:p>
    <w:p w14:paraId="7BD2C168" w14:textId="77777777" w:rsidR="001F27D2" w:rsidRPr="002B2A7F" w:rsidRDefault="001F27D2" w:rsidP="007D2B69">
      <w:pPr>
        <w:pStyle w:val="Reporttext"/>
        <w:numPr>
          <w:ilvl w:val="1"/>
          <w:numId w:val="31"/>
        </w:numPr>
      </w:pPr>
      <w:r w:rsidRPr="002B2A7F">
        <w:t xml:space="preserve">In terms of housing reform, the Localism Act enabled more decisions about housing to be made at the local level. Local authorities were granted greater freedom to set their own policies about who can qualify to go on the waiting list in their area. In addition, the Act allowed for more flexible tenure arrangements for people entering social housing, with social landlords able to grant tenancies for a fixed length of term rather than lifetime tenancies for all. In respect to homelessness, the Act allowed local authorities to meet their homelessness duty by providing private rented accommodation, rather than in temporary accommodation until long-term social housing becomes available. The Act also reformed social housing funding, allowing local councils to keep the rent they collect and use it locally to maintain their housing stock. </w:t>
      </w:r>
    </w:p>
    <w:p w14:paraId="5F52B561" w14:textId="77777777" w:rsidR="001F27D2" w:rsidRPr="002B2A7F" w:rsidRDefault="001F27D2" w:rsidP="007D2B69">
      <w:pPr>
        <w:pStyle w:val="Reporttext"/>
        <w:numPr>
          <w:ilvl w:val="1"/>
          <w:numId w:val="31"/>
        </w:numPr>
      </w:pPr>
      <w:r w:rsidRPr="002B2A7F">
        <w:t xml:space="preserve">The </w:t>
      </w:r>
      <w:r w:rsidRPr="002B2A7F">
        <w:rPr>
          <w:b/>
        </w:rPr>
        <w:t xml:space="preserve">National Housing Strategy for England, </w:t>
      </w:r>
      <w:r w:rsidRPr="002B2A7F">
        <w:rPr>
          <w:b/>
          <w:i/>
        </w:rPr>
        <w:t>Laying the Foundations: A Housing Strategy for England</w:t>
      </w:r>
      <w:r w:rsidRPr="002B2A7F">
        <w:t xml:space="preserve">, was published in November 2011 under the Coalition Administration and it currently remains in place. The Strategy acknowledged some of the problems within the housing market and set out the policy response. The measures set out promote home ownership, including a new-build mortgage indemnity scheme (providing up to 95% loan-to-value mortgages guaranteed by Government) and a ‘FirstBuy’ 20% equity loan scheme for first-time buyers. </w:t>
      </w:r>
    </w:p>
    <w:p w14:paraId="03053B29" w14:textId="4920BA95" w:rsidR="001F27D2" w:rsidRPr="002B2A7F" w:rsidRDefault="001F27D2" w:rsidP="007D2B69">
      <w:pPr>
        <w:pStyle w:val="Reporttext"/>
        <w:numPr>
          <w:ilvl w:val="1"/>
          <w:numId w:val="31"/>
        </w:numPr>
      </w:pPr>
      <w:r w:rsidRPr="002B2A7F">
        <w:t xml:space="preserve">The National Housing Strategy acknowledges the importance of social housing and the need for more affordable housing. However, the document reaffirms the programme of reforming this sector, including </w:t>
      </w:r>
      <w:r w:rsidRPr="002B2A7F">
        <w:rPr>
          <w:i/>
        </w:rPr>
        <w:t>‘changes to the way people access social housing, the types of tenancies that are provided and the way the homelessness duty is discharged’</w:t>
      </w:r>
      <w:r w:rsidRPr="002B2A7F">
        <w:t xml:space="preserve">. The private rented sector is considered to play </w:t>
      </w:r>
      <w:r w:rsidRPr="002B2A7F">
        <w:rPr>
          <w:i/>
        </w:rPr>
        <w:t>‘an essential role in the housing market, offering flexibility and choice to people and supporting economic growth and access to jobs’</w:t>
      </w:r>
      <w:r w:rsidRPr="002B2A7F">
        <w:t>. The document sets out an intention to support the growth of the private rented sector through innovation and investment, to meet continuing demand for rental properties.</w:t>
      </w:r>
    </w:p>
    <w:p w14:paraId="7ABB3D1A" w14:textId="77777777" w:rsidR="001F27D2" w:rsidRPr="002B2A7F" w:rsidRDefault="001F27D2" w:rsidP="007D2B69">
      <w:pPr>
        <w:pStyle w:val="Reporttext"/>
        <w:numPr>
          <w:ilvl w:val="1"/>
          <w:numId w:val="31"/>
        </w:numPr>
      </w:pPr>
      <w:r w:rsidRPr="002B2A7F">
        <w:t xml:space="preserve">The National Housing Strategy set out the objectives of preventing homelessness, protecting the most vulnerable and providing for older people’s housing needs. However, it also confirmed a radical package of welfare reforms, including a reduction in Housing Benefit, changes to the Local Housing Allowance (Housing Benefit in the private sector) and the introduction of ‘Universal Credit’ to replace other means-tested working age benefits and tax credits. </w:t>
      </w:r>
    </w:p>
    <w:p w14:paraId="7C240AE6" w14:textId="77777777" w:rsidR="001F27D2" w:rsidRPr="002B2A7F" w:rsidRDefault="001F27D2" w:rsidP="007D2B69">
      <w:pPr>
        <w:pStyle w:val="Reporttext"/>
        <w:numPr>
          <w:ilvl w:val="1"/>
          <w:numId w:val="31"/>
        </w:numPr>
      </w:pPr>
      <w:r w:rsidRPr="002B2A7F">
        <w:t xml:space="preserve">The first </w:t>
      </w:r>
      <w:r w:rsidRPr="002B2A7F">
        <w:rPr>
          <w:b/>
        </w:rPr>
        <w:t>National Planning Policy Framework (NPPF)</w:t>
      </w:r>
      <w:r w:rsidRPr="002B2A7F">
        <w:t xml:space="preserve"> was published in March 2012 but it has now been superseded by the NPPF 2018 (July 2018), as set out below. </w:t>
      </w:r>
    </w:p>
    <w:p w14:paraId="0DC32573" w14:textId="07A2B9AD" w:rsidR="001F27D2" w:rsidRPr="002B2A7F" w:rsidRDefault="001F27D2" w:rsidP="007D2B69">
      <w:pPr>
        <w:pStyle w:val="Reporttext"/>
        <w:numPr>
          <w:ilvl w:val="1"/>
          <w:numId w:val="31"/>
        </w:numPr>
      </w:pPr>
      <w:r w:rsidRPr="002B2A7F">
        <w:t xml:space="preserve">National </w:t>
      </w:r>
      <w:r w:rsidRPr="002B2A7F">
        <w:rPr>
          <w:b/>
        </w:rPr>
        <w:t>Planning Practice Guidance</w:t>
      </w:r>
      <w:r w:rsidRPr="002B2A7F">
        <w:t xml:space="preserve"> (PPG) on a range of specific topics has been made available through an online system since March 2014. PPG topics include Duty to </w:t>
      </w:r>
      <w:r w:rsidRPr="002B2A7F">
        <w:lastRenderedPageBreak/>
        <w:t>Cooperate, Housing and Economic Development Needs Assessments, Housing and Economic Land Availability Assessment, Housing - Optional Technical Standards, Local Plans, Neighbourhood Planning, Rural Housing and Starter Homes.</w:t>
      </w:r>
    </w:p>
    <w:p w14:paraId="1280650D" w14:textId="77777777" w:rsidR="001F27D2" w:rsidRPr="002B2A7F" w:rsidRDefault="001F27D2" w:rsidP="007D2B69">
      <w:pPr>
        <w:pStyle w:val="Reporttext"/>
        <w:numPr>
          <w:ilvl w:val="1"/>
          <w:numId w:val="31"/>
        </w:numPr>
      </w:pPr>
      <w:r w:rsidRPr="002B2A7F">
        <w:t>Revisions to both NPPF and PPG were published for consultation in March 2018. Revised NPPF was published in July 2018, alongside some revisions to PPG, with further revisions anticipated.</w:t>
      </w:r>
    </w:p>
    <w:p w14:paraId="62B16702" w14:textId="77777777" w:rsidR="001F27D2" w:rsidRPr="002B2A7F" w:rsidRDefault="001F27D2" w:rsidP="001F27D2">
      <w:pPr>
        <w:pStyle w:val="Reporttext"/>
        <w:numPr>
          <w:ilvl w:val="0"/>
          <w:numId w:val="0"/>
        </w:numPr>
      </w:pPr>
    </w:p>
    <w:p w14:paraId="4AC995E9" w14:textId="77777777" w:rsidR="001F27D2" w:rsidRPr="002B2A7F" w:rsidRDefault="001F27D2" w:rsidP="001F27D2">
      <w:pPr>
        <w:pStyle w:val="Heading2"/>
        <w:rPr>
          <w:rFonts w:asciiTheme="minorHAnsi" w:hAnsiTheme="minorHAnsi"/>
        </w:rPr>
      </w:pPr>
      <w:bookmarkStart w:id="707" w:name="_Toc531122917"/>
      <w:bookmarkStart w:id="708" w:name="_Toc532812447"/>
      <w:r w:rsidRPr="002B2A7F">
        <w:rPr>
          <w:rFonts w:asciiTheme="minorHAnsi" w:hAnsiTheme="minorHAnsi"/>
        </w:rPr>
        <w:t>2015-2016 (Conservative Government under David Cameron)</w:t>
      </w:r>
      <w:bookmarkEnd w:id="707"/>
      <w:bookmarkEnd w:id="708"/>
    </w:p>
    <w:p w14:paraId="3288F1D9" w14:textId="77777777" w:rsidR="001F27D2" w:rsidRPr="002B2A7F" w:rsidRDefault="001F27D2" w:rsidP="007D2B69">
      <w:pPr>
        <w:pStyle w:val="Reporttext"/>
        <w:numPr>
          <w:ilvl w:val="1"/>
          <w:numId w:val="31"/>
        </w:numPr>
      </w:pPr>
      <w:r w:rsidRPr="002B2A7F">
        <w:t xml:space="preserve">Following the election of a majority Conservative Government in May 2015 under David Cameron, the Government’s </w:t>
      </w:r>
      <w:r w:rsidRPr="002B2A7F">
        <w:rPr>
          <w:b/>
        </w:rPr>
        <w:t>Summer Budget 2015</w:t>
      </w:r>
      <w:r w:rsidRPr="002B2A7F">
        <w:t xml:space="preserve"> was presented to Parliament by the then-Chancellor George Osborne. The Budget set out widespread reforms to the welfare system, including a four-year freeze on working-age benefits; a reduction in the household benefit cap; restrictions on Child Tax Credit; training requirements for those on Universal Credit aged 18 to 21; the removal of automatic entitlement to Housing Benefit for those on Universal Credit aged 18 to 21; and the removal of the Family Premium element of Housing Benefit for new claims from April 2016. Alongside these welfare cuts, it was announced that rents for social housing will be reduced by 1% per year for four years, while tenants on incomes of over £30,000, or £40,000 in London, will be required to pay market rate (or near market rate) rents. A review of ‘lifetime tenancies’ was confirmed, with a view to limiting their use to ensure the best use of social housing stock. Support for home ownership measures was reiterated with measures such as the extension of the Right to Buy to housing association tenants and the introduction of Help to Buy ISAs.</w:t>
      </w:r>
    </w:p>
    <w:p w14:paraId="4AB2E261" w14:textId="77777777" w:rsidR="001F27D2" w:rsidRPr="002B2A7F" w:rsidRDefault="001F27D2" w:rsidP="007D2B69">
      <w:pPr>
        <w:pStyle w:val="Reporttext"/>
        <w:numPr>
          <w:ilvl w:val="1"/>
          <w:numId w:val="31"/>
        </w:numPr>
      </w:pPr>
      <w:r w:rsidRPr="002B2A7F">
        <w:t>Alongside the Summer Budget 2015 the Government published a ‘Productivity</w:t>
      </w:r>
      <w:r w:rsidRPr="002B2A7F">
        <w:rPr>
          <w:b/>
        </w:rPr>
        <w:t xml:space="preserve"> </w:t>
      </w:r>
      <w:r w:rsidRPr="002B2A7F">
        <w:t xml:space="preserve">Plan’, </w:t>
      </w:r>
      <w:r w:rsidRPr="002B2A7F">
        <w:rPr>
          <w:b/>
          <w:i/>
        </w:rPr>
        <w:t>Fixing the foundations: Creating a more prosperous nation</w:t>
      </w:r>
      <w:r w:rsidRPr="002B2A7F">
        <w:t xml:space="preserve"> (10th July 2015). This sets out a 15-point plan that the Government will put into action to boost the UK’s productivity growth, centred around two key pillars: encouraging long-term investment and promoting a dynamic economy. Of particular relevance to housing was the topic regarding ‘planning freedoms and more houses to buy’. This set out a number of proposals in order to increase the rate of housebuilding and enable more people to own their own home, including a zonal system to give automatic planning permission on suitable brownfield sites; speeding up local plans and land release, stronger compulsory purchase powers and devolution of planning powers to the Mayors of London and Manchester, extending the Right to Buy to housing association tenants, delivering 200,000 Starter Homes and restricting tax relief to landlords.</w:t>
      </w:r>
    </w:p>
    <w:p w14:paraId="4BA38731" w14:textId="77777777" w:rsidR="001F27D2" w:rsidRPr="002B2A7F" w:rsidRDefault="001F27D2" w:rsidP="007D2B69">
      <w:pPr>
        <w:pStyle w:val="Reporttext"/>
        <w:numPr>
          <w:ilvl w:val="1"/>
          <w:numId w:val="31"/>
        </w:numPr>
      </w:pPr>
      <w:r w:rsidRPr="002B2A7F">
        <w:t>The Spending Review and Autumn Statement 2015 (November 2015) continued the policy themes of the Summer Budget. This included:</w:t>
      </w:r>
    </w:p>
    <w:p w14:paraId="5B86487A" w14:textId="77777777" w:rsidR="001F27D2" w:rsidRPr="00BC010F" w:rsidRDefault="001F27D2" w:rsidP="00BC010F">
      <w:pPr>
        <w:pStyle w:val="bullet"/>
      </w:pPr>
      <w:r w:rsidRPr="00BC010F">
        <w:t>Plans to extend the ‘Local Housing Allowance’ to social landlords so that the Housing Benefit payed to tenants living in housing association properties will be capped at the LHA rate;</w:t>
      </w:r>
    </w:p>
    <w:p w14:paraId="49975CD1" w14:textId="77777777" w:rsidR="001F27D2" w:rsidRPr="00BC010F" w:rsidRDefault="001F27D2" w:rsidP="00BC010F">
      <w:pPr>
        <w:pStyle w:val="bullet"/>
      </w:pPr>
      <w:r w:rsidRPr="00BC010F">
        <w:t>A new ‘Help to Buy Shared Ownership’ scheme, removing restrictions on who can buy shared ownership properties to anyone with a household income of less than £80,000 outside London and £90,000 in London;</w:t>
      </w:r>
    </w:p>
    <w:p w14:paraId="4ED0985D" w14:textId="77777777" w:rsidR="001F27D2" w:rsidRPr="00BC010F" w:rsidRDefault="001F27D2" w:rsidP="00BC010F">
      <w:pPr>
        <w:pStyle w:val="bullet"/>
      </w:pPr>
      <w:r w:rsidRPr="00BC010F">
        <w:lastRenderedPageBreak/>
        <w:t>‘London Help to Buy’ – an equity loan scheme giving buyers 40% of the new home value (as opposed to 20% under the Help to Buy scheme);</w:t>
      </w:r>
    </w:p>
    <w:p w14:paraId="33720AD7" w14:textId="77777777" w:rsidR="001F27D2" w:rsidRPr="00BC010F" w:rsidRDefault="001F27D2" w:rsidP="00BC010F">
      <w:pPr>
        <w:pStyle w:val="bullet"/>
      </w:pPr>
      <w:r w:rsidRPr="00BC010F">
        <w:t>200,000 ‘Starter Homes’ to be built over the following five years;</w:t>
      </w:r>
    </w:p>
    <w:p w14:paraId="3916B8E4" w14:textId="77777777" w:rsidR="001F27D2" w:rsidRPr="00BC010F" w:rsidRDefault="001F27D2" w:rsidP="00BC010F">
      <w:pPr>
        <w:pStyle w:val="bullet"/>
      </w:pPr>
      <w:r w:rsidRPr="00BC010F">
        <w:t xml:space="preserve">From 1st April 2016 an extra 3% in stamp duty to be levied on people purchasing additional properties such as buy-to-let properties or second homes; </w:t>
      </w:r>
    </w:p>
    <w:p w14:paraId="37BFD40D" w14:textId="77777777" w:rsidR="001F27D2" w:rsidRPr="00BC010F" w:rsidRDefault="001F27D2" w:rsidP="00BC010F">
      <w:pPr>
        <w:pStyle w:val="bullet"/>
      </w:pPr>
      <w:r w:rsidRPr="00BC010F">
        <w:t>Right to Buy extension to housing association tenants;</w:t>
      </w:r>
    </w:p>
    <w:p w14:paraId="5536CCAA" w14:textId="77777777" w:rsidR="001F27D2" w:rsidRPr="00BC010F" w:rsidRDefault="001F27D2" w:rsidP="00BC010F">
      <w:pPr>
        <w:pStyle w:val="bullet"/>
      </w:pPr>
      <w:r w:rsidRPr="00BC010F">
        <w:t>£400 million for housing associations and the private sector to build more than 8,000 new ‘specialist’ homes for older people and people with disabilities;</w:t>
      </w:r>
    </w:p>
    <w:p w14:paraId="32567CB6" w14:textId="77777777" w:rsidR="001F27D2" w:rsidRPr="00BC010F" w:rsidRDefault="001F27D2" w:rsidP="00BC010F">
      <w:pPr>
        <w:pStyle w:val="bullet"/>
      </w:pPr>
      <w:r w:rsidRPr="00BC010F">
        <w:t>Consulting on reforms to the New Homes Bonus, with a preferred option for savings of at least £800 million which can be used for social care; and</w:t>
      </w:r>
    </w:p>
    <w:p w14:paraId="3AFB1B9F" w14:textId="77777777" w:rsidR="001F27D2" w:rsidRPr="00BC010F" w:rsidRDefault="001F27D2" w:rsidP="00BC010F">
      <w:pPr>
        <w:pStyle w:val="bullet"/>
      </w:pPr>
      <w:r w:rsidRPr="00BC010F">
        <w:t>A commitment to extra funding for targeted homelessness intervention.</w:t>
      </w:r>
    </w:p>
    <w:p w14:paraId="4E5F83DE" w14:textId="1FBA3A7E" w:rsidR="001F27D2" w:rsidRPr="002B2A7F" w:rsidRDefault="001F27D2" w:rsidP="007D2B69">
      <w:pPr>
        <w:pStyle w:val="Reporttext"/>
        <w:numPr>
          <w:ilvl w:val="1"/>
          <w:numId w:val="31"/>
        </w:numPr>
      </w:pPr>
      <w:r w:rsidRPr="002B2A7F">
        <w:t xml:space="preserve">In December 2015, DCLG published a </w:t>
      </w:r>
      <w:r w:rsidRPr="002B2A7F">
        <w:rPr>
          <w:b/>
        </w:rPr>
        <w:t xml:space="preserve">Consultation on proposed changes to </w:t>
      </w:r>
      <w:r w:rsidR="00DB2ED0">
        <w:rPr>
          <w:b/>
        </w:rPr>
        <w:t>N</w:t>
      </w:r>
      <w:r w:rsidRPr="002B2A7F">
        <w:rPr>
          <w:b/>
        </w:rPr>
        <w:t xml:space="preserve">ational </w:t>
      </w:r>
      <w:r w:rsidR="00DB2ED0">
        <w:rPr>
          <w:b/>
        </w:rPr>
        <w:t>P</w:t>
      </w:r>
      <w:r w:rsidRPr="002B2A7F">
        <w:rPr>
          <w:b/>
        </w:rPr>
        <w:t xml:space="preserve">lanning </w:t>
      </w:r>
      <w:r w:rsidR="00DB2ED0">
        <w:rPr>
          <w:b/>
        </w:rPr>
        <w:t>P</w:t>
      </w:r>
      <w:r w:rsidRPr="002B2A7F">
        <w:rPr>
          <w:b/>
        </w:rPr>
        <w:t>olicy</w:t>
      </w:r>
      <w:r w:rsidRPr="002B2A7F">
        <w:t>, which was open for consultation until February 2016. This consultation sought views on some specific changes to NPPF in terms of the following:</w:t>
      </w:r>
    </w:p>
    <w:p w14:paraId="4152C513" w14:textId="77777777" w:rsidR="001F27D2" w:rsidRPr="00BC010F" w:rsidRDefault="001F27D2" w:rsidP="00BC010F">
      <w:pPr>
        <w:pStyle w:val="bullet"/>
      </w:pPr>
      <w:r w:rsidRPr="00BC010F">
        <w:t>broadening the definition of affordable housing, to expand the range of low cost housing opportunities for those aspiring to own their new home;</w:t>
      </w:r>
    </w:p>
    <w:p w14:paraId="1F5F332F" w14:textId="77777777" w:rsidR="001F27D2" w:rsidRPr="00BC010F" w:rsidRDefault="001F27D2" w:rsidP="00BC010F">
      <w:pPr>
        <w:pStyle w:val="bullet"/>
      </w:pPr>
      <w:r w:rsidRPr="00BC010F">
        <w:t>increasing residential density around commuter hubs, to make more efficient use of land in suitable locations;</w:t>
      </w:r>
    </w:p>
    <w:p w14:paraId="223B5E47" w14:textId="77777777" w:rsidR="001F27D2" w:rsidRPr="00BC010F" w:rsidRDefault="001F27D2" w:rsidP="00BC010F">
      <w:pPr>
        <w:pStyle w:val="bullet"/>
      </w:pPr>
      <w:r w:rsidRPr="00BC010F">
        <w:t>supporting sustainable new settlements, development on brownfield land and small sites, and delivery of housing allocated in plans; and</w:t>
      </w:r>
    </w:p>
    <w:p w14:paraId="5A9C9937" w14:textId="77777777" w:rsidR="001F27D2" w:rsidRPr="00BC010F" w:rsidRDefault="001F27D2" w:rsidP="00BC010F">
      <w:pPr>
        <w:pStyle w:val="bullet"/>
      </w:pPr>
      <w:r w:rsidRPr="00BC010F">
        <w:t>supporting the delivery of Starter Homes.</w:t>
      </w:r>
    </w:p>
    <w:p w14:paraId="44AEC180" w14:textId="77777777" w:rsidR="001F27D2" w:rsidRPr="002B2A7F" w:rsidRDefault="001F27D2" w:rsidP="007D2B69">
      <w:pPr>
        <w:pStyle w:val="Reporttext"/>
        <w:numPr>
          <w:ilvl w:val="1"/>
          <w:numId w:val="31"/>
        </w:numPr>
      </w:pPr>
      <w:r w:rsidRPr="002B2A7F">
        <w:t>The March 2018 publication of a Draft Revised NPPF is set out below.</w:t>
      </w:r>
    </w:p>
    <w:p w14:paraId="7F422243" w14:textId="77777777" w:rsidR="001F27D2" w:rsidRPr="002B2A7F" w:rsidRDefault="001F27D2" w:rsidP="007D2B69">
      <w:pPr>
        <w:pStyle w:val="Reporttext"/>
        <w:numPr>
          <w:ilvl w:val="1"/>
          <w:numId w:val="31"/>
        </w:numPr>
      </w:pPr>
      <w:r w:rsidRPr="002B2A7F">
        <w:t>The 2015-16 Parliament saw several Acts passed with special relevance to housing and planning, implementing some of the policies set out in the preceding Budgets:</w:t>
      </w:r>
    </w:p>
    <w:p w14:paraId="27297195" w14:textId="77777777" w:rsidR="001F27D2" w:rsidRPr="00BC010F" w:rsidRDefault="001F27D2" w:rsidP="00BC010F">
      <w:pPr>
        <w:pStyle w:val="bullet"/>
      </w:pPr>
      <w:r w:rsidRPr="00BC010F">
        <w:t xml:space="preserve">The Cities and Local Government Devolution Act 2016 makes provision for the election of mayors for the areas of combined authorities established under Part 6 of the Local Democracy, Economic Development and Construction Act 2009. It makes provision about local authority governance and functions; to confer power to establish, and to make provision about, sub-national transport bodies; and for connected purposes. This Act is central to the Government’s devolution plans for England, facilitating its vision of a ‘Northern Powerhouse’. </w:t>
      </w:r>
    </w:p>
    <w:p w14:paraId="7BF723BD" w14:textId="77777777" w:rsidR="001F27D2" w:rsidRPr="00BC010F" w:rsidRDefault="001F27D2" w:rsidP="00BC010F">
      <w:pPr>
        <w:pStyle w:val="bullet"/>
      </w:pPr>
      <w:r w:rsidRPr="00BC010F">
        <w:t xml:space="preserve">The Welfare Reform and Work Act 2016 makes provisions relating to a range of welfare benefits and employment schemes, including the benefit cap, social security and Tax Credits, loans for mortgage interest, social housing rents and apprenticeships. Secondary legislation (Social Housing Rents Regulations, March 2016) sets out that the 1% cut to social housing rents will not apply to households with an income of £60,000 or more. </w:t>
      </w:r>
    </w:p>
    <w:p w14:paraId="5322F5DB" w14:textId="77777777" w:rsidR="001F27D2" w:rsidRPr="00BC010F" w:rsidRDefault="001F27D2" w:rsidP="00BC010F">
      <w:pPr>
        <w:pStyle w:val="bullet"/>
      </w:pPr>
      <w:r w:rsidRPr="00BC010F">
        <w:t xml:space="preserve">The Housing and Planning Act 2016 sets out the legislative framework for the Starter Homes scheme and includes provisions relating to other important aspects of housing policy such as Pay to Stay, Right to Buy, high value sales and ending lifetime tenancies. </w:t>
      </w:r>
    </w:p>
    <w:p w14:paraId="7F3EB77C" w14:textId="77777777" w:rsidR="001F27D2" w:rsidRPr="002B2A7F" w:rsidRDefault="001F27D2" w:rsidP="007D2B69">
      <w:pPr>
        <w:pStyle w:val="Reporttext"/>
        <w:numPr>
          <w:ilvl w:val="1"/>
          <w:numId w:val="31"/>
        </w:numPr>
      </w:pPr>
      <w:r w:rsidRPr="002B2A7F">
        <w:lastRenderedPageBreak/>
        <w:t xml:space="preserve">The </w:t>
      </w:r>
      <w:r w:rsidRPr="002B2A7F">
        <w:rPr>
          <w:b/>
        </w:rPr>
        <w:t>Budget 2016 (March 2016)</w:t>
      </w:r>
      <w:r w:rsidRPr="002B2A7F">
        <w:t xml:space="preserve"> continued the policy emphasis of promoting home ownership and facilitating first-time buyers to enter the market. A new ‘Lifetime ISA’ was announced, extending the principle of the Help to Buy ISA by incentivising saving for under-40s. Of relevance to the private rented sector were stamp duty increases for institutional investors and the withholding of capital gains reductions from companies investing in residential property. In seeking to deliver more homes for ownership, announcements were made of further planning reforms; releasing public land for development; and a £1.2 billion Starter Homes Fund for brownfield remediation. The anticipated ‘duty to prevent’ homelessness was not announced, but instead the Chancellor committed £115 million to preventing and reducing rough sleeping.</w:t>
      </w:r>
    </w:p>
    <w:p w14:paraId="24120397" w14:textId="77777777" w:rsidR="001F27D2" w:rsidRPr="002B2A7F" w:rsidRDefault="001F27D2" w:rsidP="007D2B69">
      <w:pPr>
        <w:pStyle w:val="Reporttext"/>
        <w:numPr>
          <w:ilvl w:val="1"/>
          <w:numId w:val="31"/>
        </w:numPr>
      </w:pPr>
      <w:r w:rsidRPr="002B2A7F">
        <w:t xml:space="preserve">A </w:t>
      </w:r>
      <w:r w:rsidRPr="002B2A7F">
        <w:rPr>
          <w:b/>
        </w:rPr>
        <w:t>Technical consultation on Starter Homes regulations</w:t>
      </w:r>
      <w:r w:rsidRPr="002B2A7F">
        <w:t xml:space="preserve"> (March 2016) sought views on the framework to be established in the forthcoming regulations, including the restrictions that should be placed on Starter Homes, how age eligibility criteria should work, what threshold (size of site/development) should apply, what the percentage requirement should be, whether exemptions should apply and whether off-site payments should be acceptable. The consultation document set out that, in terms of the period within which Starter Homes should not be sold at full market value, the DCLG does not support a period of longer than 8 years. The paper proposed that the requirement to provide 20% of dwellings as Starter Homes should apply to sites of 10 dwellings or more (or 0.5 hectares). However, secondary legislation relating to Starter Homes has still not been published.</w:t>
      </w:r>
    </w:p>
    <w:p w14:paraId="62206EED" w14:textId="77777777" w:rsidR="001F27D2" w:rsidRPr="002B2A7F" w:rsidRDefault="001F27D2" w:rsidP="001F27D2">
      <w:pPr>
        <w:pStyle w:val="Reporttext"/>
        <w:numPr>
          <w:ilvl w:val="0"/>
          <w:numId w:val="0"/>
        </w:numPr>
      </w:pPr>
    </w:p>
    <w:p w14:paraId="114C6759" w14:textId="77777777" w:rsidR="001F27D2" w:rsidRPr="002B2A7F" w:rsidRDefault="001F27D2" w:rsidP="001F27D2">
      <w:pPr>
        <w:pStyle w:val="Heading2"/>
        <w:rPr>
          <w:rFonts w:asciiTheme="minorHAnsi" w:hAnsiTheme="minorHAnsi"/>
        </w:rPr>
      </w:pPr>
      <w:bookmarkStart w:id="709" w:name="_Toc531122918"/>
      <w:bookmarkStart w:id="710" w:name="_Toc532812448"/>
      <w:r w:rsidRPr="002B2A7F">
        <w:rPr>
          <w:rFonts w:asciiTheme="minorHAnsi" w:hAnsiTheme="minorHAnsi"/>
        </w:rPr>
        <w:t>Post EU-Referendum (Theresa May Administration)</w:t>
      </w:r>
      <w:bookmarkEnd w:id="709"/>
      <w:bookmarkEnd w:id="710"/>
    </w:p>
    <w:p w14:paraId="3B256E5D" w14:textId="77777777" w:rsidR="001F27D2" w:rsidRPr="002B2A7F" w:rsidRDefault="001F27D2" w:rsidP="007D2B69">
      <w:pPr>
        <w:pStyle w:val="Reporttext"/>
        <w:numPr>
          <w:ilvl w:val="1"/>
          <w:numId w:val="31"/>
        </w:numPr>
      </w:pPr>
      <w:r w:rsidRPr="002B2A7F">
        <w:t xml:space="preserve">The resignation of David Cameron following the European Union Referendum of June 2016 and subsequent appointment of Theresa May as Prime Minister led to a Cabinet reshuffle and a change in the policy climate within Government. The </w:t>
      </w:r>
      <w:r w:rsidRPr="002B2A7F">
        <w:rPr>
          <w:b/>
        </w:rPr>
        <w:t xml:space="preserve">Autumn Statement (2016) </w:t>
      </w:r>
      <w:r w:rsidRPr="002B2A7F">
        <w:t>brought an important focus onto housing; provisions included:</w:t>
      </w:r>
    </w:p>
    <w:p w14:paraId="2607C5FF" w14:textId="77777777" w:rsidR="001F27D2" w:rsidRPr="00BC010F" w:rsidRDefault="001F27D2" w:rsidP="00BC010F">
      <w:pPr>
        <w:pStyle w:val="bullet"/>
      </w:pPr>
      <w:r w:rsidRPr="00BC010F">
        <w:t>£1.4 billion of extra cash to build 40,000 affordable homes, with a relaxation of restrictions on grant funding;</w:t>
      </w:r>
    </w:p>
    <w:p w14:paraId="134383CF" w14:textId="77777777" w:rsidR="001F27D2" w:rsidRPr="00BC010F" w:rsidRDefault="001F27D2" w:rsidP="00BC010F">
      <w:pPr>
        <w:pStyle w:val="bullet"/>
      </w:pPr>
      <w:r w:rsidRPr="00BC010F">
        <w:t>£2.3 billion Housing Infrastructure Fund to pave the way for up to 100,000 new homes to be built in areas of high demand;</w:t>
      </w:r>
    </w:p>
    <w:p w14:paraId="20244A35" w14:textId="77777777" w:rsidR="001F27D2" w:rsidRPr="00BC010F" w:rsidRDefault="001F27D2" w:rsidP="00BC010F">
      <w:pPr>
        <w:pStyle w:val="bullet"/>
      </w:pPr>
      <w:r w:rsidRPr="00BC010F">
        <w:t>£3.15 billion of the Affordable Homes Programme will be given to London to deliver 90,000 homes;</w:t>
      </w:r>
    </w:p>
    <w:p w14:paraId="2B3F9AF6" w14:textId="77777777" w:rsidR="001F27D2" w:rsidRPr="00BC010F" w:rsidRDefault="001F27D2" w:rsidP="00BC010F">
      <w:pPr>
        <w:pStyle w:val="bullet"/>
      </w:pPr>
      <w:r w:rsidRPr="00BC010F">
        <w:t>New regional pilots of the Right to Buy extension, allowing more than 3,000 tenants to buy their properties;</w:t>
      </w:r>
    </w:p>
    <w:p w14:paraId="4228A2B0" w14:textId="77777777" w:rsidR="001F27D2" w:rsidRPr="00BC010F" w:rsidRDefault="001F27D2" w:rsidP="00BC010F">
      <w:pPr>
        <w:pStyle w:val="bullet"/>
      </w:pPr>
      <w:r w:rsidRPr="00BC010F">
        <w:t>£1.7 billion to pilot ‘accelerated construction’ on public sector land;</w:t>
      </w:r>
    </w:p>
    <w:p w14:paraId="2BF6132E" w14:textId="77777777" w:rsidR="001F27D2" w:rsidRPr="00BC010F" w:rsidRDefault="001F27D2" w:rsidP="00BC010F">
      <w:pPr>
        <w:pStyle w:val="bullet"/>
      </w:pPr>
      <w:r w:rsidRPr="00BC010F">
        <w:t>Letting agents in the private rented sector to be banned from charging fees; and</w:t>
      </w:r>
    </w:p>
    <w:p w14:paraId="1A4A8C01" w14:textId="77777777" w:rsidR="001F27D2" w:rsidRPr="00BC010F" w:rsidRDefault="001F27D2" w:rsidP="00BC010F">
      <w:pPr>
        <w:pStyle w:val="bullet"/>
      </w:pPr>
      <w:r w:rsidRPr="00BC010F">
        <w:t>Confirmation that compulsory Pay to Stay will not be implemented for councils.</w:t>
      </w:r>
    </w:p>
    <w:p w14:paraId="38E9AFFF" w14:textId="77777777" w:rsidR="001F27D2" w:rsidRPr="002B2A7F" w:rsidRDefault="001F27D2" w:rsidP="007D2B69">
      <w:pPr>
        <w:pStyle w:val="Reporttext"/>
        <w:numPr>
          <w:ilvl w:val="1"/>
          <w:numId w:val="31"/>
        </w:numPr>
      </w:pPr>
      <w:r w:rsidRPr="002B2A7F">
        <w:t>The Autumn Statement indicated a clear shift in housing policy, away from an exclusive focus on homeownership and towards boosting overall housing supply. A removal of grant-funding restrictions will allow housing associations to increase the delivery of sub-</w:t>
      </w:r>
      <w:r w:rsidRPr="002B2A7F">
        <w:lastRenderedPageBreak/>
        <w:t>market rented housing, including affordable rented, shared ownership and rent-to-buy homes.</w:t>
      </w:r>
    </w:p>
    <w:p w14:paraId="781194DD" w14:textId="77777777" w:rsidR="001F27D2" w:rsidRPr="002B2A7F" w:rsidRDefault="001F27D2" w:rsidP="007D2B69">
      <w:pPr>
        <w:pStyle w:val="Reporttext"/>
        <w:numPr>
          <w:ilvl w:val="1"/>
          <w:numId w:val="31"/>
        </w:numPr>
      </w:pPr>
      <w:r w:rsidRPr="002B2A7F">
        <w:t xml:space="preserve">Many of the ‘flagship’ housing policies of the Cameron Administration have their legislative basis in the provisions of the Housing and Planning Act 2016, but require further secondary legislation. Their implementation has been subject to ongoing delay and seems increasingly unlikely to be carried forward in practice as originally envisaged. These schemes include the Voluntary Right to Buy, the higher asset levy (intended to fund the building of new homes) and Pay to Stay (no longer compulsory for councils). </w:t>
      </w:r>
    </w:p>
    <w:p w14:paraId="5588CA36" w14:textId="77777777" w:rsidR="001F27D2" w:rsidRPr="002B2A7F" w:rsidRDefault="001F27D2" w:rsidP="007D2B69">
      <w:pPr>
        <w:pStyle w:val="Reporttext"/>
        <w:numPr>
          <w:ilvl w:val="1"/>
          <w:numId w:val="31"/>
        </w:numPr>
      </w:pPr>
      <w:r w:rsidRPr="002B2A7F">
        <w:t xml:space="preserve">The </w:t>
      </w:r>
      <w:r w:rsidRPr="002B2A7F">
        <w:rPr>
          <w:b/>
        </w:rPr>
        <w:t>Housing White Paper,</w:t>
      </w:r>
      <w:r w:rsidRPr="002B2A7F">
        <w:t xml:space="preserve"> </w:t>
      </w:r>
      <w:r w:rsidRPr="002B2A7F">
        <w:rPr>
          <w:b/>
          <w:i/>
        </w:rPr>
        <w:t>Fixing our broken housing market</w:t>
      </w:r>
      <w:r w:rsidRPr="002B2A7F">
        <w:t>, was published in February 2017. The White Paper proposed a number of changes to reshape the approach to housebuilding and increase housing supply. These changes centred around the following four areas:</w:t>
      </w:r>
    </w:p>
    <w:p w14:paraId="7BC2510E" w14:textId="77777777" w:rsidR="001F27D2" w:rsidRPr="00BC010F" w:rsidRDefault="001F27D2" w:rsidP="00BC010F">
      <w:pPr>
        <w:pStyle w:val="bullet"/>
      </w:pPr>
      <w:r w:rsidRPr="00BC010F">
        <w:t>Planning for the right homes in the right places, by making it simpler for local authorities to put Local Plans in place and keep them up-to-date, ensuring sufficient land is allocated to meet housing needs and building upon neighbourhood planning to ensure communities have control over development in their area. The White Paper aims to make more land available for homes by maximising the contribution from brownfield and surplus public land, regenerating estates, releasing more small and medium sized sites, allowing rural communities to grow and making it easier to build new settlements. It reaffirms that the existing protections for the Green Belt remain unchanged and emphasises that authorities should only make exceptional amendments to Green Belt boundaries.</w:t>
      </w:r>
    </w:p>
    <w:p w14:paraId="68AC8550" w14:textId="77777777" w:rsidR="001F27D2" w:rsidRPr="00BC010F" w:rsidRDefault="001F27D2" w:rsidP="00BC010F">
      <w:pPr>
        <w:pStyle w:val="bullet"/>
      </w:pPr>
      <w:r w:rsidRPr="00BC010F">
        <w:t>Building homes faster, by increasing certainty around housing numbers, aligning new infrastructure with housing, supporting developers to build more quickly and improving transparency. White Paper proposals include amending the NPPF to give local authorities the opportunity to have their housing land supply agreed on an annual basis and fixed for a one-year period, in order to create more certainty about when an adequate land supply exists. Authorities taking advantage of this would have to provide a 10% larger buffer on their five-year land supply. In addition, the White Paper suggests changing the NPPF to introduce a housing delivery test for local authorities. If delivery falls below specified thresholds extra land would be added onto the five-year land supply as well as further thresholds which would allow the presumption in favour of sustainable development to apply automatically.</w:t>
      </w:r>
    </w:p>
    <w:p w14:paraId="3D833863" w14:textId="77777777" w:rsidR="001F27D2" w:rsidRPr="00BC010F" w:rsidRDefault="001F27D2" w:rsidP="00BC010F">
      <w:pPr>
        <w:pStyle w:val="bullet"/>
      </w:pPr>
      <w:r w:rsidRPr="00BC010F">
        <w:t>Diversifying the market, by establishing a new Accelerated Construction Programme, supporting more Build to Rent developments, supporting housing associations to build more housing and boosting innovation. The White Paper proposes ensuring that the public sector plays its part by encouraging more building by councils and reforming the Homes and Communities Agency.</w:t>
      </w:r>
    </w:p>
    <w:p w14:paraId="6E16FE23" w14:textId="77777777" w:rsidR="001F27D2" w:rsidRPr="00BC010F" w:rsidRDefault="001F27D2" w:rsidP="00BC010F">
      <w:pPr>
        <w:pStyle w:val="bullet"/>
      </w:pPr>
      <w:r w:rsidRPr="00BC010F">
        <w:t>Helping people through Help to Buy, Right to Buy, the Shared Ownership and Affordable Homes Programme (SOAHP), the new Lifetime ISA, amendments to Starter Homes requirements and the announcement of a new statutory duty on planning to meet the needs of older and disabled people.</w:t>
      </w:r>
    </w:p>
    <w:p w14:paraId="03206C32" w14:textId="77777777" w:rsidR="001F27D2" w:rsidRPr="002B2A7F" w:rsidRDefault="001F27D2" w:rsidP="007D2B69">
      <w:pPr>
        <w:pStyle w:val="Reporttext"/>
        <w:numPr>
          <w:ilvl w:val="1"/>
          <w:numId w:val="31"/>
        </w:numPr>
      </w:pPr>
      <w:r w:rsidRPr="002B2A7F">
        <w:t xml:space="preserve">In April 2017 some of the welfare reform provisions came into effect. This included Universal Credit claimants aged 18-21 no longer being able to claim benefits to support their housing costs unless they fit into at least one of 11 exemption categories. However, </w:t>
      </w:r>
      <w:r w:rsidRPr="002B2A7F">
        <w:lastRenderedPageBreak/>
        <w:t>the Government also announced that they were cancelling controversial plans to cap benefit for Supported Housing tenants at the LHA rates.</w:t>
      </w:r>
    </w:p>
    <w:p w14:paraId="0DE367CC" w14:textId="77777777" w:rsidR="001F27D2" w:rsidRPr="002B2A7F" w:rsidRDefault="001F27D2" w:rsidP="007D2B69">
      <w:pPr>
        <w:pStyle w:val="Reporttext"/>
        <w:numPr>
          <w:ilvl w:val="1"/>
          <w:numId w:val="31"/>
        </w:numPr>
      </w:pPr>
      <w:r w:rsidRPr="002B2A7F">
        <w:t>During the 2016-17 Parliament there were two Acts that gained Royal Assent that have particular relevance to emerging housing policy:</w:t>
      </w:r>
    </w:p>
    <w:p w14:paraId="6811C856" w14:textId="426110A0" w:rsidR="001F27D2" w:rsidRPr="00BC010F" w:rsidRDefault="001F27D2" w:rsidP="00BC010F">
      <w:pPr>
        <w:pStyle w:val="bullet"/>
      </w:pPr>
      <w:r w:rsidRPr="00BC010F">
        <w:t>The Neighbourhood Planning Act 2017 aims to speed up the delivery of new homes by strengthening neighbourhood planning, limiting the use of pre-commencement planning conditions, use of the planning register and the reform of compulsory purchase. During its passage through Parliament, the Bill was subject to various amendments, including changes to the Local Plan process to allow the Secretary of State to intervene and invite county councils to prepare or revise Local Plans where districts have not delivered and to allow the preparation of joint Local Plans where there are cross-boundary issues between two or more local authorities. This followed the recommendations of the Local Plans Expert Group (LPEG) report of March 2016. Some of the provisions of the Act require secondary legislation. A commencement order introduced in July 2017 under the Act requires post-examination neighbourhood plans to be treated as ‘material considerations’ in the determination of planning applications.</w:t>
      </w:r>
    </w:p>
    <w:p w14:paraId="0D3F8A2D" w14:textId="77777777" w:rsidR="001F27D2" w:rsidRPr="00BC010F" w:rsidRDefault="001F27D2" w:rsidP="00BC010F">
      <w:pPr>
        <w:pStyle w:val="bullet"/>
      </w:pPr>
      <w:r w:rsidRPr="00BC010F">
        <w:t>The Homelessness Reduction Act 2017 requires councils to seek to prevent homelessness by starting work with households threatened with homelessness 56 days in advance of the date on which they are expected to become homeless (28 days earlier than under the previous legislation). It also requires the provision of advisory services to specified groups including (but not limited to) people leaving prison, young people leaving care, people leaving armed forces, people leaving hospital, people with a learning disability and people receiving mental health services in the community. The Act sets out that councils must assess and develop a personalised plan during the initial presentation to the service. In addition, they must help prevent an applicant from becoming homeless and take reasonable steps to help those who are eligible for assistance to secure accommodation for at least six months (during a 56 day period before a homeless decision can be made). The Act dissolves the local connections rules apart from a duty to provide care leavers with accommodation (under the Children Act 1989) to the age of 21.</w:t>
      </w:r>
    </w:p>
    <w:p w14:paraId="59A48848" w14:textId="77777777" w:rsidR="001F27D2" w:rsidRPr="002B2A7F" w:rsidRDefault="001F27D2" w:rsidP="007D2B69">
      <w:pPr>
        <w:pStyle w:val="Reporttext"/>
        <w:numPr>
          <w:ilvl w:val="1"/>
          <w:numId w:val="31"/>
        </w:numPr>
      </w:pPr>
      <w:r w:rsidRPr="002B2A7F">
        <w:t xml:space="preserve">Following the snap General Election in June 2017, Theresa May’s Conservative Government formed an alliance with the DUP and the Cabinet was subject to another reshuffle. </w:t>
      </w:r>
    </w:p>
    <w:p w14:paraId="180D2B3E" w14:textId="77777777" w:rsidR="001F27D2" w:rsidRPr="002B2A7F" w:rsidRDefault="001F27D2" w:rsidP="007D2B69">
      <w:pPr>
        <w:pStyle w:val="Reporttext"/>
        <w:numPr>
          <w:ilvl w:val="1"/>
          <w:numId w:val="31"/>
        </w:numPr>
      </w:pPr>
      <w:r w:rsidRPr="002B2A7F">
        <w:rPr>
          <w:b/>
          <w:i/>
        </w:rPr>
        <w:t>Planning for homes in the right places</w:t>
      </w:r>
      <w:r w:rsidRPr="002B2A7F">
        <w:t xml:space="preserve"> was published for consultation in September 2017, setting out the Government’s proposals for a standardised approach to assessing housing need. The overall rationale is that local authorities across England currently use inconsistent methods to assess housing requirements, leading to long debates over whether local plans include the correct housing targets. The proposed new standardised approach to assessing housing need therefore aims to have all local authorities use the same formula to calculate their housing requirement. The standardised approach would set a minimum figure but local authorities would be able to increase their target from this baseline, for example if they plan for employment growth and want to provide an uplift in housing provision to account for this. The consultation document proposes that the new housing need calculation method would be applied for assessing five-year housing land supply from 31st March 2018 onwards. </w:t>
      </w:r>
    </w:p>
    <w:p w14:paraId="4C40B161" w14:textId="20C7B1A4" w:rsidR="001F27D2" w:rsidRPr="002B2A7F" w:rsidRDefault="001F27D2" w:rsidP="007D2B69">
      <w:pPr>
        <w:pStyle w:val="Reporttext"/>
        <w:numPr>
          <w:ilvl w:val="1"/>
          <w:numId w:val="31"/>
        </w:numPr>
      </w:pPr>
      <w:r w:rsidRPr="002B2A7F">
        <w:lastRenderedPageBreak/>
        <w:t xml:space="preserve">The </w:t>
      </w:r>
      <w:r w:rsidRPr="002B2A7F">
        <w:rPr>
          <w:b/>
        </w:rPr>
        <w:t>Autumn Budget 2017</w:t>
      </w:r>
      <w:r w:rsidRPr="002B2A7F">
        <w:t xml:space="preserve"> (November 2017) included a range of provisions focused on housing, although these were welcomed cautiously by some who would have preferred a greater emphasis on affordability. Provisions included:</w:t>
      </w:r>
    </w:p>
    <w:p w14:paraId="68E1B77E" w14:textId="77777777" w:rsidR="001F27D2" w:rsidRPr="00BC010F" w:rsidRDefault="001F27D2" w:rsidP="00BC010F">
      <w:pPr>
        <w:pStyle w:val="bullet"/>
      </w:pPr>
      <w:r w:rsidRPr="00BC010F">
        <w:t>A commitment to be providing 300,000 new homes per year by the mid-2020s;</w:t>
      </w:r>
    </w:p>
    <w:p w14:paraId="36495423" w14:textId="77777777" w:rsidR="001F27D2" w:rsidRPr="00BC010F" w:rsidRDefault="001F27D2" w:rsidP="00BC010F">
      <w:pPr>
        <w:pStyle w:val="bullet"/>
      </w:pPr>
      <w:r w:rsidRPr="00BC010F">
        <w:t>A total of £15.3 billion of new capital funding, guarantee and loan-based funding;</w:t>
      </w:r>
    </w:p>
    <w:p w14:paraId="362D83C1" w14:textId="77777777" w:rsidR="001F27D2" w:rsidRPr="00BC010F" w:rsidRDefault="001F27D2" w:rsidP="00BC010F">
      <w:pPr>
        <w:pStyle w:val="bullet"/>
      </w:pPr>
      <w:r w:rsidRPr="00BC010F">
        <w:t>£1 billion of extra borrowing capacity for councils in high demand areas to build new affordable homes;</w:t>
      </w:r>
    </w:p>
    <w:p w14:paraId="0B245011" w14:textId="77777777" w:rsidR="001F27D2" w:rsidRPr="00BC010F" w:rsidRDefault="001F27D2" w:rsidP="00BC010F">
      <w:pPr>
        <w:pStyle w:val="bullet"/>
      </w:pPr>
      <w:r w:rsidRPr="00BC010F">
        <w:t>£1.5 billion of changes to Universal Credit, including scrapping the seven-day waiting period at the beginning of a claim, making a full month’s advance available within five days of making a claim and allowing claimants on housing benefit to continue claiming for two weeks;</w:t>
      </w:r>
    </w:p>
    <w:p w14:paraId="0B20648F" w14:textId="77777777" w:rsidR="001F27D2" w:rsidRPr="00BC010F" w:rsidRDefault="001F27D2" w:rsidP="00BC010F">
      <w:pPr>
        <w:pStyle w:val="bullet"/>
      </w:pPr>
      <w:r w:rsidRPr="00BC010F">
        <w:t>£125 million increase over two years in Targeted Affordability Funding for LHA claimants in the private sector who are struggling to pay their rents;</w:t>
      </w:r>
    </w:p>
    <w:p w14:paraId="74BE8741" w14:textId="77777777" w:rsidR="001F27D2" w:rsidRPr="00BC010F" w:rsidRDefault="001F27D2" w:rsidP="00BC010F">
      <w:pPr>
        <w:pStyle w:val="bullet"/>
      </w:pPr>
      <w:r w:rsidRPr="00BC010F">
        <w:t>Stamp duty scrapped on the first £300,000 for first-time buyers (on properties worth up to £500,000);</w:t>
      </w:r>
    </w:p>
    <w:p w14:paraId="4C57C97D" w14:textId="77777777" w:rsidR="001F27D2" w:rsidRPr="00BC010F" w:rsidRDefault="001F27D2" w:rsidP="00BC010F">
      <w:pPr>
        <w:pStyle w:val="bullet"/>
      </w:pPr>
      <w:r w:rsidRPr="00BC010F">
        <w:t>New Housing First pilots announced for West Midlands, Manchester and Liverpool;</w:t>
      </w:r>
    </w:p>
    <w:p w14:paraId="5ED9AA6F" w14:textId="77777777" w:rsidR="001F27D2" w:rsidRPr="00BC010F" w:rsidRDefault="001F27D2" w:rsidP="00BC010F">
      <w:pPr>
        <w:pStyle w:val="bullet"/>
      </w:pPr>
      <w:r w:rsidRPr="00BC010F">
        <w:t>Power to councils to charge 100% Council Tax premium on empty properties;</w:t>
      </w:r>
    </w:p>
    <w:p w14:paraId="5F6C3EFC" w14:textId="77777777" w:rsidR="001F27D2" w:rsidRPr="00BC010F" w:rsidRDefault="001F27D2" w:rsidP="00BC010F">
      <w:pPr>
        <w:pStyle w:val="bullet"/>
      </w:pPr>
      <w:r w:rsidRPr="00BC010F">
        <w:t>Five new garden towns; and</w:t>
      </w:r>
    </w:p>
    <w:p w14:paraId="56B94182" w14:textId="77777777" w:rsidR="001F27D2" w:rsidRPr="00BC010F" w:rsidRDefault="001F27D2" w:rsidP="00BC010F">
      <w:pPr>
        <w:pStyle w:val="bullet"/>
      </w:pPr>
      <w:r w:rsidRPr="00BC010F">
        <w:t>A review to look at land banking, including considering compulsory purchase powers.</w:t>
      </w:r>
    </w:p>
    <w:p w14:paraId="1C12EAA6" w14:textId="77777777" w:rsidR="001F27D2" w:rsidRPr="002B2A7F" w:rsidRDefault="001F27D2" w:rsidP="007D2B69">
      <w:pPr>
        <w:pStyle w:val="Reporttext"/>
        <w:numPr>
          <w:ilvl w:val="1"/>
          <w:numId w:val="31"/>
        </w:numPr>
      </w:pPr>
      <w:r w:rsidRPr="002B2A7F">
        <w:t>In December 2017 the Government announced new measures to crack down on bad practices, reduce overcrowding and improve standards in the private rented sector. The measures have been introduced under the provisions of the Housing and Planning Act 2016.</w:t>
      </w:r>
    </w:p>
    <w:p w14:paraId="1CC0B4A7" w14:textId="77777777" w:rsidR="001F27D2" w:rsidRPr="002B2A7F" w:rsidRDefault="001F27D2" w:rsidP="007D2B69">
      <w:pPr>
        <w:pStyle w:val="Reporttext"/>
        <w:numPr>
          <w:ilvl w:val="1"/>
          <w:numId w:val="31"/>
        </w:numPr>
      </w:pPr>
      <w:r w:rsidRPr="002B2A7F">
        <w:t>The £5 billion Housing Infrastructure Fund is a Government capital grant programme to help unlock new homes in areas with the greatest housing demand, assisting in reaching the target of building 300,000 homes a year by the mid-2020s. Funding is awarded to local authorities on a highly competitive basis. The fund is divided into 2 streams, a Marginal Viability Fund (available to all single and lower tier local authorities in England to provide a piece of infrastructure funding to get additional sites allocated or existing sites unblocked quickly with buds of up to £10 million) and a Forward Fund (available to the uppermost tier of local authorities in England for a small number of strategic and high-impact infrastructure projects with bids of up to £250 million). On 1</w:t>
      </w:r>
      <w:r w:rsidRPr="002B2A7F">
        <w:rPr>
          <w:vertAlign w:val="superscript"/>
        </w:rPr>
        <w:t>st</w:t>
      </w:r>
      <w:r w:rsidRPr="002B2A7F">
        <w:t xml:space="preserve"> February 2018, the Minister for Housing, Communities and Local Government, Sajid Javid and Chancellor Philip Hammond announced that 133 council-led projects across the country will receive £866 million investment in local housing projects, the first wave of funding from the £5 billion Housing Infrastructure Fund. The finances will support vital infrastructure such as roads, schools and bridges. On 18</w:t>
      </w:r>
      <w:r w:rsidRPr="002B2A7F">
        <w:rPr>
          <w:vertAlign w:val="superscript"/>
        </w:rPr>
        <w:t>th</w:t>
      </w:r>
      <w:r w:rsidRPr="002B2A7F">
        <w:t xml:space="preserve"> February 2018, Housing Minister Dominic Raab announced a £45 million cash injection into 79 key community projects across 41 local authorities to councils to combat barriers that would otherwise make land unusable for development. This will support building up to 7,280 homes on council-owned land.</w:t>
      </w:r>
    </w:p>
    <w:p w14:paraId="27DF360C" w14:textId="77777777" w:rsidR="001F27D2" w:rsidRPr="002B2A7F" w:rsidRDefault="001F27D2" w:rsidP="007D2B69">
      <w:pPr>
        <w:pStyle w:val="Reporttext"/>
        <w:numPr>
          <w:ilvl w:val="1"/>
          <w:numId w:val="31"/>
        </w:numPr>
      </w:pPr>
      <w:r w:rsidRPr="002B2A7F">
        <w:lastRenderedPageBreak/>
        <w:t>In December 2017 the Government announced new measures to crack down on bad practices, reduce overcrowding and improve standards in the private rented sector. The measures have been introduced under the provisions of the Housing and Planning Act 2016.</w:t>
      </w:r>
    </w:p>
    <w:p w14:paraId="392939DC" w14:textId="77777777" w:rsidR="001F27D2" w:rsidRPr="002B2A7F" w:rsidRDefault="001F27D2" w:rsidP="007D2B69">
      <w:pPr>
        <w:pStyle w:val="Reporttext"/>
        <w:numPr>
          <w:ilvl w:val="1"/>
          <w:numId w:val="31"/>
        </w:numPr>
      </w:pPr>
      <w:r w:rsidRPr="002B2A7F">
        <w:t>The £5 billion Housing Infrastructure Fund is a Government capital grant programme to help unlock new homes in areas with the greatest housing demand, assisting in reaching the target of building 300,000 homes a year by the mid-2020s. Funding is awarded to local authorities on a highly competitive basis. The fund is divided into 2 streams, a Marginal Viability Fund (available to all single and lower tier local authorities in England to provide a piece of infrastructure funding to get additional sites allocated or existing sites unblocked quickly with buds of up to £10 million) and a Forward Fund (available to the uppermost tier of local authorities in England for a small number of strategic and high-impact infrastructure projects with bids of up to £250 million). On 1</w:t>
      </w:r>
      <w:r w:rsidRPr="002B2A7F">
        <w:rPr>
          <w:vertAlign w:val="superscript"/>
        </w:rPr>
        <w:t>st</w:t>
      </w:r>
      <w:r w:rsidRPr="002B2A7F">
        <w:t xml:space="preserve"> February 2018, the Minister for Housing, Communities and Local Government Sajid Javid and Chancellor Philip Hammond announced that 133 council-led projects across the country will receive £866 million investment in local housing projects, the first wave of funding from the £5 billion Housing Infrastructure Fund. The finances will support vital infrastructure such as roads, schools and bridges. On 18</w:t>
      </w:r>
      <w:r w:rsidRPr="002B2A7F">
        <w:rPr>
          <w:vertAlign w:val="superscript"/>
        </w:rPr>
        <w:t>th</w:t>
      </w:r>
      <w:r w:rsidRPr="002B2A7F">
        <w:t xml:space="preserve"> February 2018, Housing Minister Dominic Raab announced a £45 million cash injection into 79 key community projects across 41 local authorities to councils to combat barriers that would otherwise make land unusable for development. This will support building up to 7,280 homes on council-owned land.</w:t>
      </w:r>
    </w:p>
    <w:p w14:paraId="7D9D7C0B" w14:textId="77777777" w:rsidR="001F27D2" w:rsidRPr="002B2A7F" w:rsidRDefault="001F27D2" w:rsidP="007D2B69">
      <w:pPr>
        <w:pStyle w:val="Reporttext"/>
        <w:numPr>
          <w:ilvl w:val="1"/>
          <w:numId w:val="31"/>
        </w:numPr>
      </w:pPr>
      <w:r w:rsidRPr="002B2A7F">
        <w:t xml:space="preserve">In March 2018 the Ministry of Housing, Communities and Local Government (MHCLG) published a </w:t>
      </w:r>
      <w:r w:rsidRPr="002B2A7F">
        <w:rPr>
          <w:b/>
        </w:rPr>
        <w:t>Draft Revised National Planning Policy Framework</w:t>
      </w:r>
      <w:r w:rsidRPr="002B2A7F">
        <w:t xml:space="preserve"> (Draft Revised NPPF) for consultation. Alongside this the Government also published </w:t>
      </w:r>
      <w:r w:rsidRPr="002B2A7F">
        <w:rPr>
          <w:b/>
        </w:rPr>
        <w:t>Draft Planning Practice Guidance</w:t>
      </w:r>
      <w:r w:rsidRPr="002B2A7F">
        <w:t xml:space="preserve"> (Draft PPG) on the following topics: Viability, Housing Delivery, Local Housing Need Assessment, Neighbourhood Plans, Plan-making and Build to rent.</w:t>
      </w:r>
    </w:p>
    <w:p w14:paraId="1DACAB02" w14:textId="77777777" w:rsidR="001F27D2" w:rsidRPr="002B2A7F" w:rsidRDefault="001F27D2" w:rsidP="007D2B69">
      <w:pPr>
        <w:pStyle w:val="Reporttext"/>
        <w:numPr>
          <w:ilvl w:val="1"/>
          <w:numId w:val="31"/>
        </w:numPr>
      </w:pPr>
      <w:r w:rsidRPr="002B2A7F">
        <w:rPr>
          <w:b/>
        </w:rPr>
        <w:t>Draft PPG: Housing Delivery</w:t>
      </w:r>
      <w:r w:rsidRPr="002B2A7F">
        <w:t xml:space="preserve"> requires that authorities demonstrate a five-year land supply of specific deliverable sites to meet their housing requirements. The five-year land supply should be reviewed each year in an annual position statement. Areas which have or are producing joint plans will have the option to monitor land supply and the Housing Delivery Test over the joint planning area or on a single-authority basis. Draft PPG sets out that where delivery is under 85% of the identified housing requirement, the buffer will be increased to 20% with immediate effect from the publication of Housing Delivery Test results. </w:t>
      </w:r>
    </w:p>
    <w:p w14:paraId="04292CB2" w14:textId="430E79D9" w:rsidR="001F27D2" w:rsidRPr="002B2A7F" w:rsidRDefault="001F27D2" w:rsidP="007D2B69">
      <w:pPr>
        <w:pStyle w:val="Reporttext"/>
        <w:numPr>
          <w:ilvl w:val="1"/>
          <w:numId w:val="31"/>
        </w:numPr>
      </w:pPr>
      <w:r w:rsidRPr="002B2A7F">
        <w:rPr>
          <w:b/>
        </w:rPr>
        <w:t>Draft PPG: Local Housing Need Assessment</w:t>
      </w:r>
      <w:r w:rsidRPr="002B2A7F">
        <w:t xml:space="preserve"> sets out the expectation that strategic plan-making authorities will follow the standard approach for assessing local housing need, unless there are exceptional circumstances that justify an alternative. This approach is set out in three steps: </w:t>
      </w:r>
      <w:r w:rsidR="009741AD">
        <w:t>s</w:t>
      </w:r>
      <w:r w:rsidRPr="002B2A7F">
        <w:t>etting the baseline using household projections; an adjustment to take account of market signals (particularly affordability); and the application of a cap on the level of increase required. The draft guidance states that the need figure generated by the standard method should be considered as the ‘minimum starting point’ in establishing a need figure for the purposes of plan production.</w:t>
      </w:r>
    </w:p>
    <w:p w14:paraId="3AA44849" w14:textId="77777777" w:rsidR="001F27D2" w:rsidRPr="002B2A7F" w:rsidRDefault="001F27D2" w:rsidP="007D2B69">
      <w:pPr>
        <w:pStyle w:val="Reporttext"/>
        <w:numPr>
          <w:ilvl w:val="1"/>
          <w:numId w:val="31"/>
        </w:numPr>
      </w:pPr>
      <w:r w:rsidRPr="002B2A7F">
        <w:t xml:space="preserve">The </w:t>
      </w:r>
      <w:r w:rsidRPr="002B2A7F">
        <w:rPr>
          <w:b/>
        </w:rPr>
        <w:t xml:space="preserve">Revised National Planning Policy Framework (NPPF) </w:t>
      </w:r>
      <w:r w:rsidRPr="002B2A7F">
        <w:t xml:space="preserve">was published in July 2018. It introduces a housing delivery test for local authorities, which will measure the number of homes created against local housing need. The Revised NPPF 2018 also introduces a </w:t>
      </w:r>
      <w:r w:rsidRPr="002B2A7F">
        <w:lastRenderedPageBreak/>
        <w:t>new standardised method of calculating housing need; this approach uses the Government’s household growth projections and applies an affordability ratio to the figures, comparing local house prices with workplace earnings to produce a need figure. The Government has said that it will consider adjusting the methodology in order to ensure it meets the target of delivering 300,000 new homes per year by the mid-2020s. The presumption in favour of sustainable development includes a requirement that strategic policies should, as a minimum, provide for objectively assessed needs for housing.</w:t>
      </w:r>
    </w:p>
    <w:p w14:paraId="4B75E505" w14:textId="453873E9" w:rsidR="001F27D2" w:rsidRPr="002B2A7F" w:rsidRDefault="001F27D2" w:rsidP="007D2B69">
      <w:pPr>
        <w:pStyle w:val="Reporttext"/>
        <w:numPr>
          <w:ilvl w:val="1"/>
          <w:numId w:val="31"/>
        </w:numPr>
      </w:pPr>
      <w:r w:rsidRPr="002B2A7F">
        <w:rPr>
          <w:b/>
        </w:rPr>
        <w:t>The Housing Delivery Test Measurement Rule Book</w:t>
      </w:r>
      <w:r w:rsidRPr="002B2A7F">
        <w:t xml:space="preserve"> was also published in July 2018. This sets out the methodology for calculating the Housing Delivery Test (HDL) measurement. The HDL is the annual measurement of housing delivery performance, to commence in November 2018. </w:t>
      </w:r>
    </w:p>
    <w:p w14:paraId="04DFDC1E" w14:textId="21C38617" w:rsidR="001F27D2" w:rsidRPr="002B2A7F" w:rsidRDefault="001F27D2" w:rsidP="007D2B69">
      <w:pPr>
        <w:pStyle w:val="Reporttext"/>
        <w:numPr>
          <w:ilvl w:val="1"/>
          <w:numId w:val="31"/>
        </w:numPr>
      </w:pPr>
      <w:r w:rsidRPr="002B2A7F">
        <w:t xml:space="preserve">In August 2018, the Government published their </w:t>
      </w:r>
      <w:r w:rsidRPr="002B2A7F">
        <w:rPr>
          <w:b/>
        </w:rPr>
        <w:t>Green Paper,</w:t>
      </w:r>
      <w:r w:rsidRPr="002B2A7F">
        <w:rPr>
          <w:b/>
          <w:i/>
        </w:rPr>
        <w:t xml:space="preserve"> A new deal for social housing</w:t>
      </w:r>
      <w:r w:rsidRPr="002B2A7F">
        <w:t xml:space="preserve"> for public consultation. This sets out a positive view of social housing and presents its proposa</w:t>
      </w:r>
      <w:r w:rsidR="009741AD">
        <w:t>l</w:t>
      </w:r>
      <w:r w:rsidRPr="002B2A7F">
        <w:t xml:space="preserve">s a </w:t>
      </w:r>
      <w:r w:rsidRPr="002B2A7F">
        <w:rPr>
          <w:i/>
        </w:rPr>
        <w:t>‘fundamental shift in the state’s approach to social housing and the people who call it home’</w:t>
      </w:r>
      <w:r w:rsidRPr="002B2A7F">
        <w:t>. The paper sets out five principles, as follows:</w:t>
      </w:r>
    </w:p>
    <w:p w14:paraId="1B0C2293" w14:textId="77777777" w:rsidR="001F27D2" w:rsidRPr="00BC010F" w:rsidRDefault="001F27D2" w:rsidP="00BC010F">
      <w:pPr>
        <w:pStyle w:val="bullet"/>
      </w:pPr>
      <w:r w:rsidRPr="00BC010F">
        <w:t>a safe and decent home which is fundamental to a sense of security and our ability to get on in life;</w:t>
      </w:r>
    </w:p>
    <w:p w14:paraId="3B97134E" w14:textId="77777777" w:rsidR="001F27D2" w:rsidRPr="00BC010F" w:rsidRDefault="001F27D2" w:rsidP="00BC010F">
      <w:pPr>
        <w:pStyle w:val="bullet"/>
      </w:pPr>
      <w:r w:rsidRPr="00BC010F">
        <w:t>improving and speeding up how complaints are resolved;</w:t>
      </w:r>
    </w:p>
    <w:p w14:paraId="2DCC7021" w14:textId="77777777" w:rsidR="001F27D2" w:rsidRPr="00BC010F" w:rsidRDefault="001F27D2" w:rsidP="00BC010F">
      <w:pPr>
        <w:pStyle w:val="bullet"/>
      </w:pPr>
      <w:r w:rsidRPr="00BC010F">
        <w:t>empowering residents and ensuring their voices are heard so that landlords are held to account;</w:t>
      </w:r>
    </w:p>
    <w:p w14:paraId="16F65ED5" w14:textId="77777777" w:rsidR="001F27D2" w:rsidRPr="00BC010F" w:rsidRDefault="001F27D2" w:rsidP="00BC010F">
      <w:pPr>
        <w:pStyle w:val="bullet"/>
      </w:pPr>
      <w:r w:rsidRPr="00BC010F">
        <w:t>tackling stigma and celebrating thriving communities, challenging the stereotypes that exist about residents and their communities; and,</w:t>
      </w:r>
    </w:p>
    <w:p w14:paraId="04A0D7BE" w14:textId="77777777" w:rsidR="001F27D2" w:rsidRPr="00BC010F" w:rsidRDefault="001F27D2" w:rsidP="00BC010F">
      <w:pPr>
        <w:pStyle w:val="bullet"/>
      </w:pPr>
      <w:r w:rsidRPr="00BC010F">
        <w:t>building the social homes that we need and ensuring that those homes can act as a springboard to home ownership.</w:t>
      </w:r>
    </w:p>
    <w:p w14:paraId="298136A4" w14:textId="77777777" w:rsidR="001F27D2" w:rsidRPr="002B2A7F" w:rsidRDefault="001F27D2" w:rsidP="001F27D2">
      <w:pPr>
        <w:rPr>
          <w:rFonts w:asciiTheme="minorHAnsi" w:hAnsiTheme="minorHAnsi" w:cs="Calibri"/>
          <w:bCs/>
          <w:color w:val="009999"/>
          <w:kern w:val="32"/>
          <w:sz w:val="40"/>
          <w:szCs w:val="28"/>
          <w:lang w:val="x-none"/>
        </w:rPr>
      </w:pPr>
      <w:r w:rsidRPr="002B2A7F">
        <w:rPr>
          <w:rFonts w:asciiTheme="minorHAnsi" w:hAnsiTheme="minorHAnsi" w:cs="Calibri"/>
        </w:rPr>
        <w:br w:type="page"/>
      </w:r>
    </w:p>
    <w:p w14:paraId="5D1A0845" w14:textId="77777777" w:rsidR="001F27D2" w:rsidRPr="002B2A7F" w:rsidRDefault="001F27D2" w:rsidP="001F27D2">
      <w:pPr>
        <w:pStyle w:val="Heading1"/>
        <w:numPr>
          <w:ilvl w:val="0"/>
          <w:numId w:val="0"/>
        </w:numPr>
        <w:rPr>
          <w:rFonts w:asciiTheme="minorHAnsi" w:hAnsiTheme="minorHAnsi" w:cs="Calibri"/>
        </w:rPr>
      </w:pPr>
      <w:bookmarkStart w:id="711" w:name="_Toc395193596"/>
      <w:bookmarkStart w:id="712" w:name="_Toc524935615"/>
      <w:bookmarkStart w:id="713" w:name="_Toc531122919"/>
      <w:bookmarkStart w:id="714" w:name="_Toc532812449"/>
      <w:r w:rsidRPr="002B2A7F">
        <w:rPr>
          <w:rFonts w:asciiTheme="minorHAnsi" w:hAnsiTheme="minorHAnsi" w:cs="Calibri"/>
        </w:rPr>
        <w:lastRenderedPageBreak/>
        <w:t>Technical Appendix C: Housing need calculations</w:t>
      </w:r>
      <w:bookmarkEnd w:id="690"/>
      <w:bookmarkEnd w:id="691"/>
      <w:bookmarkEnd w:id="692"/>
      <w:bookmarkEnd w:id="693"/>
      <w:bookmarkEnd w:id="694"/>
      <w:bookmarkEnd w:id="695"/>
      <w:bookmarkEnd w:id="696"/>
      <w:bookmarkEnd w:id="697"/>
      <w:bookmarkEnd w:id="711"/>
      <w:bookmarkEnd w:id="712"/>
      <w:bookmarkEnd w:id="713"/>
      <w:bookmarkEnd w:id="714"/>
    </w:p>
    <w:p w14:paraId="4ABC1EF9" w14:textId="77777777" w:rsidR="001F27D2" w:rsidRPr="002B2A7F" w:rsidRDefault="001F27D2" w:rsidP="001F27D2">
      <w:pPr>
        <w:rPr>
          <w:rFonts w:asciiTheme="minorHAnsi" w:hAnsiTheme="minorHAnsi" w:cs="Calibri"/>
        </w:rPr>
      </w:pPr>
    </w:p>
    <w:p w14:paraId="2DFD237B" w14:textId="77777777" w:rsidR="001F27D2" w:rsidRPr="002B2A7F" w:rsidRDefault="001F27D2" w:rsidP="001F27D2">
      <w:pPr>
        <w:pStyle w:val="Heading2"/>
        <w:rPr>
          <w:rFonts w:asciiTheme="minorHAnsi" w:hAnsiTheme="minorHAnsi" w:cs="Calibri"/>
        </w:rPr>
      </w:pPr>
      <w:bookmarkStart w:id="715" w:name="_Toc428528522"/>
      <w:bookmarkStart w:id="716" w:name="_Toc430084615"/>
      <w:bookmarkStart w:id="717" w:name="_Toc430782055"/>
      <w:bookmarkStart w:id="718" w:name="_Toc305277844"/>
      <w:bookmarkStart w:id="719" w:name="_Toc432599070"/>
      <w:bookmarkStart w:id="720" w:name="_Toc319240075"/>
      <w:bookmarkStart w:id="721" w:name="_Toc357939708"/>
      <w:bookmarkStart w:id="722" w:name="_Toc359601889"/>
      <w:bookmarkStart w:id="723" w:name="_Toc505362662"/>
      <w:bookmarkStart w:id="724" w:name="_Toc391314107"/>
      <w:bookmarkStart w:id="725" w:name="_Toc529652025"/>
      <w:bookmarkStart w:id="726" w:name="_Toc529780801"/>
      <w:bookmarkStart w:id="727" w:name="_Toc531122920"/>
      <w:bookmarkStart w:id="728" w:name="_Toc532812450"/>
      <w:r w:rsidRPr="002B2A7F">
        <w:rPr>
          <w:rFonts w:asciiTheme="minorHAnsi" w:hAnsiTheme="minorHAnsi" w:cs="Calibri"/>
        </w:rPr>
        <w:t>Introduction</w:t>
      </w:r>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p>
    <w:p w14:paraId="6346E42C" w14:textId="77777777" w:rsidR="001F27D2" w:rsidRPr="002B2A7F" w:rsidRDefault="001F27D2" w:rsidP="007D2B69">
      <w:pPr>
        <w:pStyle w:val="Maintext"/>
        <w:numPr>
          <w:ilvl w:val="1"/>
          <w:numId w:val="34"/>
        </w:numPr>
        <w:spacing w:before="0"/>
        <w:rPr>
          <w:rFonts w:asciiTheme="minorHAnsi" w:hAnsiTheme="minorHAnsi" w:cs="Arial"/>
        </w:rPr>
      </w:pPr>
      <w:r w:rsidRPr="002B2A7F">
        <w:rPr>
          <w:rFonts w:asciiTheme="minorHAnsi" w:hAnsiTheme="minorHAnsi" w:cs="Arial"/>
        </w:rPr>
        <w:t>The purpose of this section is to set out the affordable housing need calculations for Eden District. It considers the framework for analysis established in the 2018 PPG.</w:t>
      </w:r>
    </w:p>
    <w:p w14:paraId="31AC588F" w14:textId="77777777" w:rsidR="001F27D2" w:rsidRPr="002B2A7F" w:rsidRDefault="001F27D2" w:rsidP="007D2B69">
      <w:pPr>
        <w:pStyle w:val="Maintext"/>
        <w:numPr>
          <w:ilvl w:val="1"/>
          <w:numId w:val="34"/>
        </w:numPr>
        <w:spacing w:before="0"/>
        <w:rPr>
          <w:rFonts w:asciiTheme="minorHAnsi" w:hAnsiTheme="minorHAnsi" w:cs="Arial"/>
        </w:rPr>
      </w:pPr>
      <w:r w:rsidRPr="002B2A7F">
        <w:rPr>
          <w:rFonts w:asciiTheme="minorHAnsi" w:hAnsiTheme="minorHAnsi" w:cs="Arial"/>
        </w:rPr>
        <w:t>All households whose needs are not met by the market can be considered (to be) in affordable housing need</w:t>
      </w:r>
      <w:r w:rsidRPr="002B2A7F">
        <w:rPr>
          <w:rStyle w:val="FootnoteReference"/>
          <w:rFonts w:asciiTheme="minorHAnsi" w:hAnsiTheme="minorHAnsi" w:cs="Arial"/>
        </w:rPr>
        <w:footnoteReference w:id="24"/>
      </w:r>
      <w:r w:rsidRPr="002B2A7F">
        <w:rPr>
          <w:rFonts w:asciiTheme="minorHAnsi" w:hAnsiTheme="minorHAnsi" w:cs="Arial"/>
        </w:rPr>
        <w:t>. PPG 2018 then considers how affordable housing need should be calculated:</w:t>
      </w:r>
    </w:p>
    <w:p w14:paraId="3BCE20FE" w14:textId="77777777" w:rsidR="001F27D2" w:rsidRPr="002B2A7F" w:rsidRDefault="001F27D2" w:rsidP="001F27D2">
      <w:pPr>
        <w:pStyle w:val="Maintext"/>
        <w:numPr>
          <w:ilvl w:val="0"/>
          <w:numId w:val="0"/>
        </w:numPr>
        <w:ind w:left="709"/>
        <w:rPr>
          <w:rFonts w:asciiTheme="minorHAnsi" w:hAnsiTheme="minorHAnsi" w:cs="Arial"/>
          <w:i/>
        </w:rPr>
      </w:pPr>
      <w:r w:rsidRPr="002B2A7F">
        <w:rPr>
          <w:rFonts w:asciiTheme="minorHAnsi" w:hAnsiTheme="minorHAnsi" w:cs="Arial"/>
          <w:i/>
        </w:rPr>
        <w:t>‘Strategic policy-makers will need to estimate the current number of households and projected number of households who lack their own housing or who cannot afford to meet their housing needs in the market. This should involve working with colleagues in their relevant authority (e.g. housing, health and social care departments).’</w:t>
      </w:r>
      <w:r w:rsidRPr="002B2A7F">
        <w:rPr>
          <w:rStyle w:val="FootnoteReference"/>
          <w:rFonts w:asciiTheme="minorHAnsi" w:hAnsiTheme="minorHAnsi" w:cs="Arial"/>
          <w:i/>
        </w:rPr>
        <w:footnoteReference w:id="25"/>
      </w:r>
    </w:p>
    <w:p w14:paraId="6DD48F35" w14:textId="4E5B805D" w:rsidR="001F27D2" w:rsidRPr="002B2A7F" w:rsidRDefault="001F27D2" w:rsidP="007D2B69">
      <w:pPr>
        <w:pStyle w:val="Maintext"/>
        <w:numPr>
          <w:ilvl w:val="1"/>
          <w:numId w:val="34"/>
        </w:numPr>
        <w:spacing w:before="0"/>
        <w:rPr>
          <w:rFonts w:asciiTheme="minorHAnsi" w:hAnsiTheme="minorHAnsi" w:cs="Arial"/>
        </w:rPr>
      </w:pPr>
      <w:r w:rsidRPr="002B2A7F">
        <w:rPr>
          <w:rFonts w:asciiTheme="minorHAnsi" w:hAnsiTheme="minorHAnsi" w:cs="Arial"/>
        </w:rPr>
        <w:t xml:space="preserve">2018 </w:t>
      </w:r>
      <w:r w:rsidR="009741AD">
        <w:rPr>
          <w:rFonts w:asciiTheme="minorHAnsi" w:hAnsiTheme="minorHAnsi" w:cs="Arial"/>
        </w:rPr>
        <w:t>h</w:t>
      </w:r>
      <w:r w:rsidRPr="002B2A7F">
        <w:rPr>
          <w:rFonts w:asciiTheme="minorHAnsi" w:hAnsiTheme="minorHAnsi" w:cs="Arial"/>
        </w:rPr>
        <w:t xml:space="preserve">ousehold </w:t>
      </w:r>
      <w:r w:rsidR="009741AD">
        <w:rPr>
          <w:rFonts w:asciiTheme="minorHAnsi" w:hAnsiTheme="minorHAnsi" w:cs="Arial"/>
        </w:rPr>
        <w:t>s</w:t>
      </w:r>
      <w:r w:rsidRPr="002B2A7F">
        <w:rPr>
          <w:rFonts w:asciiTheme="minorHAnsi" w:hAnsiTheme="minorHAnsi" w:cs="Arial"/>
        </w:rPr>
        <w:t xml:space="preserve">urvey data and data on affordable housing lettings provides an appropriate source of data from which a robust assessment of need can be calculated. </w:t>
      </w:r>
    </w:p>
    <w:p w14:paraId="0E86C36B" w14:textId="56272C8D" w:rsidR="001F27D2" w:rsidRPr="002B2A7F" w:rsidRDefault="001F27D2" w:rsidP="007D2B69">
      <w:pPr>
        <w:pStyle w:val="Maintext"/>
        <w:numPr>
          <w:ilvl w:val="1"/>
          <w:numId w:val="34"/>
        </w:numPr>
        <w:spacing w:before="0"/>
        <w:rPr>
          <w:rFonts w:asciiTheme="minorHAnsi" w:hAnsiTheme="minorHAnsi" w:cs="Arial"/>
        </w:rPr>
      </w:pPr>
      <w:r w:rsidRPr="002B2A7F">
        <w:rPr>
          <w:rFonts w:asciiTheme="minorHAnsi" w:hAnsiTheme="minorHAnsi" w:cs="Arial"/>
        </w:rPr>
        <w:t xml:space="preserve">Housing needs analysis and affordable housing modelling has been prepared in accordance with PPG guidance at </w:t>
      </w:r>
      <w:r w:rsidR="009741AD">
        <w:rPr>
          <w:rFonts w:asciiTheme="minorHAnsi" w:hAnsiTheme="minorHAnsi" w:cs="Arial"/>
        </w:rPr>
        <w:t>D</w:t>
      </w:r>
      <w:r w:rsidRPr="002B2A7F">
        <w:rPr>
          <w:rFonts w:asciiTheme="minorHAnsi" w:hAnsiTheme="minorHAnsi" w:cs="Arial"/>
        </w:rPr>
        <w:t xml:space="preserve">istrict and </w:t>
      </w:r>
      <w:r w:rsidR="009741AD">
        <w:rPr>
          <w:rFonts w:asciiTheme="minorHAnsi" w:hAnsiTheme="minorHAnsi" w:cs="Arial"/>
        </w:rPr>
        <w:t>H</w:t>
      </w:r>
      <w:r w:rsidRPr="002B2A7F">
        <w:rPr>
          <w:rFonts w:asciiTheme="minorHAnsi" w:hAnsiTheme="minorHAnsi" w:cs="Arial"/>
        </w:rPr>
        <w:t xml:space="preserve">ousing </w:t>
      </w:r>
      <w:r w:rsidR="009741AD">
        <w:rPr>
          <w:rFonts w:asciiTheme="minorHAnsi" w:hAnsiTheme="minorHAnsi" w:cs="Arial"/>
        </w:rPr>
        <w:t>M</w:t>
      </w:r>
      <w:r w:rsidRPr="002B2A7F">
        <w:rPr>
          <w:rFonts w:asciiTheme="minorHAnsi" w:hAnsiTheme="minorHAnsi" w:cs="Arial"/>
        </w:rPr>
        <w:t xml:space="preserve">arket </w:t>
      </w:r>
      <w:r w:rsidR="009741AD">
        <w:rPr>
          <w:rFonts w:asciiTheme="minorHAnsi" w:hAnsiTheme="minorHAnsi" w:cs="Arial"/>
        </w:rPr>
        <w:t>A</w:t>
      </w:r>
      <w:r w:rsidRPr="002B2A7F">
        <w:rPr>
          <w:rFonts w:asciiTheme="minorHAnsi" w:hAnsiTheme="minorHAnsi" w:cs="Arial"/>
        </w:rPr>
        <w:t>rea level. In summary, the model reviews in a step-wise process:</w:t>
      </w:r>
    </w:p>
    <w:p w14:paraId="6303875B" w14:textId="77777777" w:rsidR="001F27D2" w:rsidRPr="002B2A7F" w:rsidRDefault="001F27D2" w:rsidP="001F27D2">
      <w:pPr>
        <w:ind w:left="720"/>
        <w:rPr>
          <w:rFonts w:asciiTheme="minorHAnsi" w:hAnsiTheme="minorHAnsi" w:cs="Arial"/>
          <w:iCs/>
        </w:rPr>
      </w:pPr>
      <w:r w:rsidRPr="002B2A7F">
        <w:rPr>
          <w:rFonts w:asciiTheme="minorHAnsi" w:hAnsiTheme="minorHAnsi" w:cs="Arial"/>
          <w:iCs/>
        </w:rPr>
        <w:t xml:space="preserve">Stage 1: </w:t>
      </w:r>
      <w:r w:rsidRPr="002B2A7F">
        <w:rPr>
          <w:rFonts w:asciiTheme="minorHAnsi" w:hAnsiTheme="minorHAnsi" w:cs="Arial"/>
          <w:iCs/>
        </w:rPr>
        <w:tab/>
        <w:t>Current housing need (gross backlog)</w:t>
      </w:r>
    </w:p>
    <w:p w14:paraId="196CA3B3" w14:textId="77777777" w:rsidR="001F27D2" w:rsidRPr="002B2A7F" w:rsidRDefault="001F27D2" w:rsidP="001F27D2">
      <w:pPr>
        <w:ind w:firstLine="720"/>
        <w:rPr>
          <w:rFonts w:asciiTheme="minorHAnsi" w:hAnsiTheme="minorHAnsi" w:cs="Arial"/>
          <w:iCs/>
        </w:rPr>
      </w:pPr>
      <w:r w:rsidRPr="002B2A7F">
        <w:rPr>
          <w:rFonts w:asciiTheme="minorHAnsi" w:hAnsiTheme="minorHAnsi" w:cs="Arial"/>
          <w:iCs/>
        </w:rPr>
        <w:t>Stage 2:</w:t>
      </w:r>
      <w:r w:rsidRPr="002B2A7F">
        <w:rPr>
          <w:rFonts w:asciiTheme="minorHAnsi" w:hAnsiTheme="minorHAnsi" w:cs="Arial"/>
          <w:iCs/>
        </w:rPr>
        <w:tab/>
        <w:t>Newly-arising need</w:t>
      </w:r>
    </w:p>
    <w:p w14:paraId="77D0C43E" w14:textId="77777777" w:rsidR="001F27D2" w:rsidRPr="002B2A7F" w:rsidRDefault="001F27D2" w:rsidP="001F27D2">
      <w:pPr>
        <w:ind w:left="720"/>
        <w:rPr>
          <w:rFonts w:asciiTheme="minorHAnsi" w:hAnsiTheme="minorHAnsi" w:cs="Arial"/>
          <w:iCs/>
        </w:rPr>
      </w:pPr>
      <w:r w:rsidRPr="002B2A7F">
        <w:rPr>
          <w:rFonts w:asciiTheme="minorHAnsi" w:hAnsiTheme="minorHAnsi" w:cs="Arial"/>
          <w:iCs/>
        </w:rPr>
        <w:t>Stage 3:</w:t>
      </w:r>
      <w:r w:rsidRPr="002B2A7F">
        <w:rPr>
          <w:rFonts w:asciiTheme="minorHAnsi" w:hAnsiTheme="minorHAnsi" w:cs="Arial"/>
          <w:iCs/>
        </w:rPr>
        <w:tab/>
        <w:t>Likely future affordable housing supply</w:t>
      </w:r>
    </w:p>
    <w:p w14:paraId="1F0583E6" w14:textId="77777777" w:rsidR="001F27D2" w:rsidRPr="002B2A7F" w:rsidRDefault="001F27D2" w:rsidP="001F27D2">
      <w:pPr>
        <w:ind w:left="720"/>
        <w:rPr>
          <w:rFonts w:asciiTheme="minorHAnsi" w:hAnsiTheme="minorHAnsi" w:cs="Arial"/>
        </w:rPr>
      </w:pPr>
      <w:r w:rsidRPr="002B2A7F">
        <w:rPr>
          <w:rFonts w:asciiTheme="minorHAnsi" w:hAnsiTheme="minorHAnsi" w:cs="Arial"/>
        </w:rPr>
        <w:t>Stage 4:</w:t>
      </w:r>
      <w:r w:rsidRPr="002B2A7F">
        <w:rPr>
          <w:rFonts w:asciiTheme="minorHAnsi" w:hAnsiTheme="minorHAnsi" w:cs="Arial"/>
        </w:rPr>
        <w:tab/>
        <w:t>Total and annual need for affordable housing</w:t>
      </w:r>
    </w:p>
    <w:p w14:paraId="31A1CE52" w14:textId="77777777" w:rsidR="001F27D2" w:rsidRPr="002B2A7F" w:rsidRDefault="001F27D2" w:rsidP="007D2B69">
      <w:pPr>
        <w:pStyle w:val="Maintext"/>
        <w:numPr>
          <w:ilvl w:val="1"/>
          <w:numId w:val="34"/>
        </w:numPr>
        <w:spacing w:before="0"/>
        <w:jc w:val="left"/>
        <w:rPr>
          <w:rFonts w:asciiTheme="minorHAnsi" w:hAnsiTheme="minorHAnsi" w:cs="Arial"/>
        </w:rPr>
      </w:pPr>
      <w:r w:rsidRPr="002B2A7F">
        <w:rPr>
          <w:rFonts w:asciiTheme="minorHAnsi" w:hAnsiTheme="minorHAnsi" w:cs="Arial"/>
        </w:rPr>
        <w:t xml:space="preserve">Table C1 provides an overall summary of needs analysis and Table C2 provides data at housing market area level. </w:t>
      </w:r>
    </w:p>
    <w:p w14:paraId="4B29A339" w14:textId="793903F6" w:rsidR="001F27D2" w:rsidRDefault="001F27D2" w:rsidP="001F27D2">
      <w:pPr>
        <w:pStyle w:val="Maintext"/>
        <w:numPr>
          <w:ilvl w:val="0"/>
          <w:numId w:val="0"/>
        </w:numPr>
        <w:rPr>
          <w:rFonts w:asciiTheme="minorHAnsi" w:hAnsiTheme="minorHAnsi" w:cs="Calibri"/>
          <w:highlight w:val="red"/>
        </w:rPr>
      </w:pPr>
    </w:p>
    <w:p w14:paraId="1B59EE0E" w14:textId="7367D0CF" w:rsidR="000C2C5C" w:rsidRDefault="000C2C5C">
      <w:pPr>
        <w:spacing w:before="0" w:after="0"/>
        <w:jc w:val="left"/>
        <w:rPr>
          <w:rFonts w:asciiTheme="minorHAnsi" w:hAnsiTheme="minorHAnsi" w:cs="Calibri"/>
          <w:highlight w:val="red"/>
        </w:rPr>
      </w:pPr>
      <w:r>
        <w:rPr>
          <w:rFonts w:asciiTheme="minorHAnsi" w:hAnsiTheme="minorHAnsi" w:cs="Calibri"/>
          <w:highlight w:val="red"/>
        </w:rPr>
        <w:br w:type="page"/>
      </w: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676"/>
        <w:gridCol w:w="3947"/>
        <w:gridCol w:w="2954"/>
        <w:gridCol w:w="1603"/>
      </w:tblGrid>
      <w:tr w:rsidR="001F27D2" w:rsidRPr="002B2A7F" w14:paraId="7E7EE7BE" w14:textId="77777777" w:rsidTr="001F27D2">
        <w:tc>
          <w:tcPr>
            <w:tcW w:w="5000" w:type="pct"/>
            <w:gridSpan w:val="4"/>
            <w:tcBorders>
              <w:top w:val="single" w:sz="4" w:space="0" w:color="006666"/>
              <w:left w:val="single" w:sz="4" w:space="0" w:color="006666"/>
              <w:bottom w:val="single" w:sz="4" w:space="0" w:color="006666"/>
              <w:right w:val="single" w:sz="4" w:space="0" w:color="006666"/>
            </w:tcBorders>
            <w:shd w:val="clear" w:color="auto" w:fill="009999"/>
            <w:noWrap/>
            <w:vAlign w:val="bottom"/>
            <w:hideMark/>
          </w:tcPr>
          <w:p w14:paraId="1767A703" w14:textId="2E61479A" w:rsidR="001F27D2" w:rsidRPr="002B2A7F" w:rsidRDefault="001F27D2" w:rsidP="001F27D2">
            <w:pPr>
              <w:pStyle w:val="Tableheading1"/>
              <w:rPr>
                <w:rFonts w:asciiTheme="minorHAnsi" w:hAnsiTheme="minorHAnsi" w:cs="Calibri"/>
                <w:color w:val="FFFFFF"/>
                <w:szCs w:val="22"/>
                <w:lang w:eastAsia="en-GB"/>
              </w:rPr>
            </w:pPr>
            <w:bookmarkStart w:id="729" w:name="_Toc517303775"/>
            <w:bookmarkStart w:id="730" w:name="_Toc529652139"/>
            <w:bookmarkStart w:id="731" w:name="_Toc529739491"/>
            <w:bookmarkStart w:id="732" w:name="_Toc531122983"/>
            <w:bookmarkStart w:id="733" w:name="_Toc532812515"/>
            <w:r w:rsidRPr="002B2A7F">
              <w:rPr>
                <w:rFonts w:asciiTheme="minorHAnsi" w:hAnsiTheme="minorHAnsi" w:cs="Calibri"/>
                <w:szCs w:val="22"/>
              </w:rPr>
              <w:lastRenderedPageBreak/>
              <w:t>Table C1</w:t>
            </w:r>
            <w:r w:rsidRPr="002B2A7F">
              <w:rPr>
                <w:rFonts w:asciiTheme="minorHAnsi" w:hAnsiTheme="minorHAnsi" w:cs="Calibri"/>
                <w:szCs w:val="22"/>
              </w:rPr>
              <w:tab/>
              <w:t xml:space="preserve">CLG Needs Assessment Summary for </w:t>
            </w:r>
            <w:bookmarkEnd w:id="729"/>
            <w:bookmarkEnd w:id="730"/>
            <w:bookmarkEnd w:id="731"/>
            <w:r w:rsidRPr="002B2A7F">
              <w:rPr>
                <w:rFonts w:asciiTheme="minorHAnsi" w:hAnsiTheme="minorHAnsi" w:cs="Calibri"/>
                <w:szCs w:val="22"/>
              </w:rPr>
              <w:t>Eden District</w:t>
            </w:r>
            <w:bookmarkEnd w:id="732"/>
            <w:r w:rsidR="005A3635">
              <w:rPr>
                <w:rFonts w:asciiTheme="minorHAnsi" w:hAnsiTheme="minorHAnsi" w:cs="Calibri"/>
                <w:szCs w:val="22"/>
              </w:rPr>
              <w:t>- Affordable Need Only</w:t>
            </w:r>
            <w:bookmarkEnd w:id="733"/>
          </w:p>
        </w:tc>
      </w:tr>
      <w:tr w:rsidR="001F27D2" w:rsidRPr="002B2A7F" w14:paraId="191430B3" w14:textId="77777777" w:rsidTr="001F27D2">
        <w:tc>
          <w:tcPr>
            <w:tcW w:w="368" w:type="pct"/>
            <w:tcBorders>
              <w:top w:val="single" w:sz="4" w:space="0" w:color="006666"/>
              <w:left w:val="single" w:sz="4" w:space="0" w:color="006666"/>
              <w:bottom w:val="single" w:sz="4" w:space="0" w:color="006666"/>
              <w:right w:val="single" w:sz="4" w:space="0" w:color="006666"/>
            </w:tcBorders>
            <w:shd w:val="clear" w:color="auto" w:fill="009999"/>
            <w:noWrap/>
            <w:vAlign w:val="bottom"/>
            <w:hideMark/>
          </w:tcPr>
          <w:p w14:paraId="658D5311" w14:textId="77777777" w:rsidR="001F27D2" w:rsidRPr="000C2C5C" w:rsidRDefault="001F27D2" w:rsidP="000C2C5C">
            <w:pPr>
              <w:spacing w:before="0" w:after="0"/>
              <w:rPr>
                <w:rFonts w:cs="Calibri"/>
                <w:b/>
                <w:bCs/>
                <w:color w:val="FFFFFF"/>
                <w:sz w:val="22"/>
                <w:szCs w:val="22"/>
                <w:lang w:eastAsia="en-GB"/>
              </w:rPr>
            </w:pPr>
            <w:r w:rsidRPr="000C2C5C">
              <w:rPr>
                <w:rFonts w:cs="Calibri"/>
                <w:b/>
                <w:bCs/>
                <w:color w:val="FFFFFF"/>
                <w:sz w:val="22"/>
                <w:szCs w:val="22"/>
                <w:lang w:eastAsia="en-GB"/>
              </w:rPr>
              <w:t>Step</w:t>
            </w:r>
          </w:p>
        </w:tc>
        <w:tc>
          <w:tcPr>
            <w:tcW w:w="2150" w:type="pct"/>
            <w:tcBorders>
              <w:top w:val="single" w:sz="4" w:space="0" w:color="006666"/>
              <w:left w:val="single" w:sz="4" w:space="0" w:color="006666"/>
              <w:bottom w:val="single" w:sz="4" w:space="0" w:color="006666"/>
              <w:right w:val="single" w:sz="4" w:space="0" w:color="006666"/>
            </w:tcBorders>
            <w:shd w:val="clear" w:color="auto" w:fill="009999"/>
            <w:noWrap/>
            <w:vAlign w:val="bottom"/>
            <w:hideMark/>
          </w:tcPr>
          <w:p w14:paraId="79B89481" w14:textId="77777777" w:rsidR="001F27D2" w:rsidRPr="000C2C5C" w:rsidRDefault="001F27D2" w:rsidP="000C2C5C">
            <w:pPr>
              <w:spacing w:before="0" w:after="0"/>
              <w:rPr>
                <w:rFonts w:cs="Calibri"/>
                <w:b/>
                <w:bCs/>
                <w:color w:val="FFFFFF"/>
                <w:sz w:val="22"/>
                <w:szCs w:val="22"/>
                <w:lang w:eastAsia="en-GB"/>
              </w:rPr>
            </w:pPr>
            <w:r w:rsidRPr="000C2C5C">
              <w:rPr>
                <w:rFonts w:cs="Calibri"/>
                <w:b/>
                <w:bCs/>
                <w:color w:val="FFFFFF"/>
                <w:sz w:val="22"/>
                <w:szCs w:val="22"/>
                <w:lang w:eastAsia="en-GB"/>
              </w:rPr>
              <w:t>Stage and Step description</w:t>
            </w:r>
          </w:p>
        </w:tc>
        <w:tc>
          <w:tcPr>
            <w:tcW w:w="1609" w:type="pct"/>
            <w:tcBorders>
              <w:top w:val="single" w:sz="4" w:space="0" w:color="006666"/>
              <w:left w:val="single" w:sz="4" w:space="0" w:color="006666"/>
              <w:bottom w:val="single" w:sz="4" w:space="0" w:color="006666"/>
              <w:right w:val="single" w:sz="4" w:space="0" w:color="006666"/>
            </w:tcBorders>
            <w:shd w:val="clear" w:color="auto" w:fill="009999"/>
            <w:noWrap/>
            <w:vAlign w:val="bottom"/>
            <w:hideMark/>
          </w:tcPr>
          <w:p w14:paraId="39261731" w14:textId="77777777" w:rsidR="001F27D2" w:rsidRPr="000C2C5C" w:rsidRDefault="001F27D2" w:rsidP="000C2C5C">
            <w:pPr>
              <w:spacing w:before="0" w:after="0"/>
              <w:jc w:val="center"/>
              <w:rPr>
                <w:rFonts w:cs="Calibri"/>
                <w:b/>
                <w:bCs/>
                <w:color w:val="FFFFFF"/>
                <w:sz w:val="22"/>
                <w:szCs w:val="22"/>
                <w:lang w:eastAsia="en-GB"/>
              </w:rPr>
            </w:pPr>
            <w:r w:rsidRPr="000C2C5C">
              <w:rPr>
                <w:rFonts w:cs="Calibri"/>
                <w:b/>
                <w:bCs/>
                <w:color w:val="FFFFFF"/>
                <w:sz w:val="22"/>
                <w:szCs w:val="22"/>
                <w:lang w:eastAsia="en-GB"/>
              </w:rPr>
              <w:t>Calculation</w:t>
            </w:r>
          </w:p>
        </w:tc>
        <w:tc>
          <w:tcPr>
            <w:tcW w:w="873" w:type="pct"/>
            <w:tcBorders>
              <w:top w:val="single" w:sz="4" w:space="0" w:color="006666"/>
              <w:left w:val="single" w:sz="4" w:space="0" w:color="006666"/>
              <w:bottom w:val="single" w:sz="4" w:space="0" w:color="006666"/>
              <w:right w:val="single" w:sz="4" w:space="0" w:color="006666"/>
            </w:tcBorders>
            <w:shd w:val="clear" w:color="auto" w:fill="009999"/>
            <w:vAlign w:val="bottom"/>
            <w:hideMark/>
          </w:tcPr>
          <w:p w14:paraId="0554963C" w14:textId="77777777" w:rsidR="001F27D2" w:rsidRPr="000C2C5C" w:rsidRDefault="001F27D2" w:rsidP="000C2C5C">
            <w:pPr>
              <w:spacing w:before="0" w:after="0"/>
              <w:jc w:val="center"/>
              <w:rPr>
                <w:rFonts w:cs="Calibri"/>
                <w:b/>
                <w:bCs/>
                <w:color w:val="FFFFFF"/>
                <w:sz w:val="22"/>
                <w:szCs w:val="22"/>
                <w:lang w:eastAsia="en-GB"/>
              </w:rPr>
            </w:pPr>
            <w:r w:rsidRPr="000C2C5C">
              <w:rPr>
                <w:rFonts w:cs="Calibri"/>
                <w:b/>
                <w:bCs/>
                <w:color w:val="FFFFFF"/>
                <w:sz w:val="22"/>
                <w:szCs w:val="22"/>
                <w:lang w:eastAsia="en-GB"/>
              </w:rPr>
              <w:t>Eden District Total</w:t>
            </w:r>
          </w:p>
        </w:tc>
      </w:tr>
      <w:tr w:rsidR="001F27D2" w:rsidRPr="002B2A7F" w14:paraId="400834C2" w14:textId="77777777" w:rsidTr="001F27D2">
        <w:tc>
          <w:tcPr>
            <w:tcW w:w="5000" w:type="pct"/>
            <w:gridSpan w:val="4"/>
            <w:tcBorders>
              <w:top w:val="single" w:sz="4" w:space="0" w:color="006666"/>
              <w:left w:val="single" w:sz="4" w:space="0" w:color="006666"/>
              <w:bottom w:val="single" w:sz="4" w:space="0" w:color="006666"/>
              <w:right w:val="single" w:sz="4" w:space="0" w:color="006666"/>
            </w:tcBorders>
            <w:noWrap/>
            <w:vAlign w:val="bottom"/>
            <w:hideMark/>
          </w:tcPr>
          <w:p w14:paraId="369CFFA5" w14:textId="77777777" w:rsidR="001F27D2" w:rsidRPr="000C2C5C" w:rsidRDefault="001F27D2" w:rsidP="000C2C5C">
            <w:pPr>
              <w:spacing w:before="0" w:after="0"/>
              <w:rPr>
                <w:rFonts w:cs="Calibri"/>
                <w:b/>
                <w:bCs/>
                <w:sz w:val="22"/>
                <w:szCs w:val="22"/>
                <w:lang w:eastAsia="en-GB"/>
              </w:rPr>
            </w:pPr>
            <w:r w:rsidRPr="000C2C5C">
              <w:rPr>
                <w:rFonts w:cs="Calibri"/>
                <w:b/>
                <w:bCs/>
                <w:color w:val="FFFFFF"/>
                <w:sz w:val="22"/>
                <w:szCs w:val="22"/>
                <w:lang w:eastAsia="en-GB"/>
              </w:rPr>
              <w:t> </w:t>
            </w:r>
            <w:r w:rsidRPr="000C2C5C">
              <w:rPr>
                <w:rFonts w:cs="Calibri"/>
                <w:b/>
                <w:bCs/>
                <w:sz w:val="22"/>
                <w:szCs w:val="22"/>
                <w:lang w:eastAsia="en-GB"/>
              </w:rPr>
              <w:t>Stage1: CURRENT NEED</w:t>
            </w:r>
          </w:p>
        </w:tc>
      </w:tr>
      <w:tr w:rsidR="001F27D2" w:rsidRPr="002B2A7F" w14:paraId="0E587DB1" w14:textId="77777777" w:rsidTr="001F27D2">
        <w:tc>
          <w:tcPr>
            <w:tcW w:w="368" w:type="pct"/>
            <w:tcBorders>
              <w:top w:val="single" w:sz="4" w:space="0" w:color="006666"/>
              <w:left w:val="single" w:sz="4" w:space="0" w:color="006666"/>
              <w:bottom w:val="single" w:sz="4" w:space="0" w:color="006666"/>
              <w:right w:val="single" w:sz="4" w:space="0" w:color="006666"/>
            </w:tcBorders>
            <w:noWrap/>
            <w:vAlign w:val="center"/>
          </w:tcPr>
          <w:p w14:paraId="15DCCBD3" w14:textId="77777777" w:rsidR="001F27D2" w:rsidRPr="000C2C5C" w:rsidRDefault="001F27D2" w:rsidP="000C2C5C">
            <w:pPr>
              <w:spacing w:before="0" w:after="0"/>
              <w:rPr>
                <w:rFonts w:cs="Calibri"/>
                <w:sz w:val="22"/>
                <w:szCs w:val="22"/>
                <w:lang w:eastAsia="en-GB"/>
              </w:rPr>
            </w:pPr>
            <w:r w:rsidRPr="000C2C5C">
              <w:rPr>
                <w:rFonts w:cs="Calibri"/>
                <w:sz w:val="22"/>
                <w:szCs w:val="22"/>
                <w:lang w:eastAsia="en-GB"/>
              </w:rPr>
              <w:t>1.1</w:t>
            </w:r>
          </w:p>
        </w:tc>
        <w:tc>
          <w:tcPr>
            <w:tcW w:w="2150" w:type="pct"/>
            <w:tcBorders>
              <w:top w:val="single" w:sz="4" w:space="0" w:color="006666"/>
              <w:left w:val="single" w:sz="4" w:space="0" w:color="006666"/>
              <w:bottom w:val="single" w:sz="4" w:space="0" w:color="006666"/>
              <w:right w:val="single" w:sz="4" w:space="0" w:color="006666"/>
            </w:tcBorders>
            <w:vAlign w:val="center"/>
          </w:tcPr>
          <w:p w14:paraId="52840CDB" w14:textId="77777777" w:rsidR="001F27D2" w:rsidRPr="000C2C5C" w:rsidRDefault="001F27D2" w:rsidP="000C2C5C">
            <w:pPr>
              <w:spacing w:before="0" w:after="0"/>
              <w:rPr>
                <w:rFonts w:cs="Calibri"/>
                <w:sz w:val="22"/>
                <w:szCs w:val="22"/>
                <w:lang w:eastAsia="en-GB"/>
              </w:rPr>
            </w:pPr>
            <w:r w:rsidRPr="000C2C5C">
              <w:rPr>
                <w:rFonts w:cs="Calibri"/>
                <w:sz w:val="22"/>
                <w:szCs w:val="22"/>
                <w:lang w:eastAsia="en-GB"/>
              </w:rPr>
              <w:t>Total households in need</w:t>
            </w:r>
          </w:p>
        </w:tc>
        <w:tc>
          <w:tcPr>
            <w:tcW w:w="1609" w:type="pct"/>
            <w:tcBorders>
              <w:top w:val="single" w:sz="4" w:space="0" w:color="006666"/>
              <w:left w:val="single" w:sz="4" w:space="0" w:color="006666"/>
              <w:bottom w:val="single" w:sz="4" w:space="0" w:color="006666"/>
              <w:right w:val="single" w:sz="4" w:space="0" w:color="006666"/>
            </w:tcBorders>
            <w:vAlign w:val="center"/>
          </w:tcPr>
          <w:p w14:paraId="2EEE1808" w14:textId="77777777" w:rsidR="001F27D2" w:rsidRPr="000C2C5C" w:rsidRDefault="001F27D2" w:rsidP="000C2C5C">
            <w:pPr>
              <w:spacing w:before="0" w:after="0"/>
              <w:rPr>
                <w:rFonts w:cs="Calibri"/>
                <w:sz w:val="22"/>
                <w:szCs w:val="22"/>
                <w:lang w:eastAsia="en-GB"/>
              </w:rPr>
            </w:pPr>
            <w:r w:rsidRPr="000C2C5C">
              <w:rPr>
                <w:rFonts w:cs="Calibri"/>
                <w:sz w:val="22"/>
                <w:szCs w:val="22"/>
                <w:lang w:eastAsia="en-GB"/>
              </w:rPr>
              <w:t>Current need</w:t>
            </w:r>
          </w:p>
        </w:tc>
        <w:tc>
          <w:tcPr>
            <w:tcW w:w="873" w:type="pct"/>
            <w:tcBorders>
              <w:top w:val="single" w:sz="4" w:space="0" w:color="006666"/>
              <w:left w:val="single" w:sz="4" w:space="0" w:color="006666"/>
              <w:bottom w:val="single" w:sz="4" w:space="0" w:color="006666"/>
              <w:right w:val="single" w:sz="4" w:space="0" w:color="006666"/>
            </w:tcBorders>
            <w:noWrap/>
            <w:vAlign w:val="center"/>
          </w:tcPr>
          <w:p w14:paraId="7F1CC903" w14:textId="77777777" w:rsidR="001F27D2" w:rsidRPr="000C2C5C" w:rsidRDefault="001F27D2" w:rsidP="000C2C5C">
            <w:pPr>
              <w:spacing w:before="0" w:after="0"/>
              <w:jc w:val="center"/>
              <w:rPr>
                <w:rFonts w:cs="Calibri"/>
                <w:b/>
                <w:bCs/>
                <w:sz w:val="22"/>
                <w:szCs w:val="22"/>
              </w:rPr>
            </w:pPr>
            <w:r w:rsidRPr="000C2C5C">
              <w:rPr>
                <w:rFonts w:cs="Calibri"/>
                <w:b/>
                <w:bCs/>
                <w:sz w:val="22"/>
                <w:szCs w:val="22"/>
              </w:rPr>
              <w:t>2,629</w:t>
            </w:r>
          </w:p>
        </w:tc>
      </w:tr>
      <w:tr w:rsidR="001F27D2" w:rsidRPr="002B2A7F" w14:paraId="23FFA601" w14:textId="77777777" w:rsidTr="001F27D2">
        <w:tc>
          <w:tcPr>
            <w:tcW w:w="368" w:type="pct"/>
            <w:tcBorders>
              <w:top w:val="single" w:sz="4" w:space="0" w:color="006666"/>
              <w:left w:val="single" w:sz="4" w:space="0" w:color="006666"/>
              <w:bottom w:val="single" w:sz="4" w:space="0" w:color="006666"/>
              <w:right w:val="single" w:sz="4" w:space="0" w:color="006666"/>
            </w:tcBorders>
            <w:noWrap/>
            <w:vAlign w:val="center"/>
            <w:hideMark/>
          </w:tcPr>
          <w:p w14:paraId="73DA9DAE" w14:textId="77777777" w:rsidR="001F27D2" w:rsidRPr="000C2C5C" w:rsidRDefault="001F27D2" w:rsidP="000C2C5C">
            <w:pPr>
              <w:spacing w:before="0" w:after="0"/>
              <w:rPr>
                <w:rFonts w:cs="Calibri"/>
                <w:sz w:val="22"/>
                <w:szCs w:val="22"/>
                <w:lang w:eastAsia="en-GB"/>
              </w:rPr>
            </w:pPr>
            <w:r w:rsidRPr="000C2C5C">
              <w:rPr>
                <w:rFonts w:cs="Calibri"/>
                <w:sz w:val="22"/>
                <w:szCs w:val="22"/>
                <w:lang w:eastAsia="en-GB"/>
              </w:rPr>
              <w:t>1.2</w:t>
            </w:r>
          </w:p>
        </w:tc>
        <w:tc>
          <w:tcPr>
            <w:tcW w:w="2150" w:type="pct"/>
            <w:tcBorders>
              <w:top w:val="single" w:sz="4" w:space="0" w:color="006666"/>
              <w:left w:val="single" w:sz="4" w:space="0" w:color="006666"/>
              <w:bottom w:val="single" w:sz="4" w:space="0" w:color="006666"/>
              <w:right w:val="single" w:sz="4" w:space="0" w:color="006666"/>
            </w:tcBorders>
            <w:vAlign w:val="center"/>
            <w:hideMark/>
          </w:tcPr>
          <w:p w14:paraId="24E006C3" w14:textId="77777777" w:rsidR="001F27D2" w:rsidRPr="000C2C5C" w:rsidRDefault="001F27D2" w:rsidP="000C2C5C">
            <w:pPr>
              <w:spacing w:before="0" w:after="0"/>
              <w:rPr>
                <w:rFonts w:cs="Calibri"/>
                <w:sz w:val="22"/>
                <w:szCs w:val="22"/>
                <w:lang w:eastAsia="en-GB"/>
              </w:rPr>
            </w:pPr>
            <w:r w:rsidRPr="000C2C5C">
              <w:rPr>
                <w:rFonts w:cs="Calibri"/>
                <w:sz w:val="22"/>
                <w:szCs w:val="22"/>
                <w:lang w:eastAsia="en-GB"/>
              </w:rPr>
              <w:t>TOTAL in need and cannot afford open market (buying or renting)  (53%)</w:t>
            </w:r>
          </w:p>
          <w:p w14:paraId="417025B4" w14:textId="77777777" w:rsidR="001F27D2" w:rsidRPr="000C2C5C" w:rsidRDefault="001F27D2" w:rsidP="000C2C5C">
            <w:pPr>
              <w:spacing w:before="0" w:after="0"/>
              <w:rPr>
                <w:rFonts w:cs="Calibri"/>
                <w:sz w:val="22"/>
                <w:szCs w:val="22"/>
                <w:lang w:eastAsia="en-GB"/>
              </w:rPr>
            </w:pPr>
          </w:p>
        </w:tc>
        <w:tc>
          <w:tcPr>
            <w:tcW w:w="1609" w:type="pct"/>
            <w:tcBorders>
              <w:top w:val="single" w:sz="4" w:space="0" w:color="006666"/>
              <w:left w:val="single" w:sz="4" w:space="0" w:color="006666"/>
              <w:bottom w:val="single" w:sz="4" w:space="0" w:color="006666"/>
              <w:right w:val="single" w:sz="4" w:space="0" w:color="006666"/>
            </w:tcBorders>
            <w:vAlign w:val="center"/>
            <w:hideMark/>
          </w:tcPr>
          <w:p w14:paraId="06635372" w14:textId="77777777" w:rsidR="001F27D2" w:rsidRPr="000C2C5C" w:rsidRDefault="001F27D2" w:rsidP="000C2C5C">
            <w:pPr>
              <w:spacing w:before="0" w:after="0"/>
              <w:rPr>
                <w:rFonts w:cs="Calibri"/>
                <w:sz w:val="22"/>
                <w:szCs w:val="22"/>
                <w:lang w:eastAsia="en-GB"/>
              </w:rPr>
            </w:pPr>
            <w:r w:rsidRPr="000C2C5C">
              <w:rPr>
                <w:rFonts w:cs="Calibri"/>
                <w:sz w:val="22"/>
                <w:szCs w:val="22"/>
                <w:lang w:eastAsia="en-GB"/>
              </w:rPr>
              <w:t>Current need taking into account affordability of open market price and rents</w:t>
            </w:r>
          </w:p>
        </w:tc>
        <w:tc>
          <w:tcPr>
            <w:tcW w:w="873" w:type="pct"/>
            <w:tcBorders>
              <w:top w:val="single" w:sz="4" w:space="0" w:color="006666"/>
              <w:left w:val="single" w:sz="4" w:space="0" w:color="006666"/>
              <w:bottom w:val="single" w:sz="4" w:space="0" w:color="006666"/>
              <w:right w:val="single" w:sz="4" w:space="0" w:color="006666"/>
            </w:tcBorders>
            <w:noWrap/>
            <w:vAlign w:val="center"/>
            <w:hideMark/>
          </w:tcPr>
          <w:p w14:paraId="2B84E2DB" w14:textId="77777777" w:rsidR="001F27D2" w:rsidRPr="000C2C5C" w:rsidRDefault="001F27D2" w:rsidP="000C2C5C">
            <w:pPr>
              <w:spacing w:before="0" w:after="0"/>
              <w:jc w:val="center"/>
              <w:rPr>
                <w:rFonts w:cs="Calibri"/>
                <w:b/>
                <w:bCs/>
                <w:sz w:val="22"/>
                <w:szCs w:val="22"/>
                <w:lang w:eastAsia="en-GB"/>
              </w:rPr>
            </w:pPr>
            <w:r w:rsidRPr="000C2C5C">
              <w:rPr>
                <w:rFonts w:cs="Calibri"/>
                <w:b/>
                <w:bCs/>
                <w:sz w:val="22"/>
                <w:szCs w:val="22"/>
              </w:rPr>
              <w:t>1,395</w:t>
            </w:r>
          </w:p>
        </w:tc>
      </w:tr>
      <w:tr w:rsidR="001F27D2" w:rsidRPr="002B2A7F" w14:paraId="363D87C6" w14:textId="77777777" w:rsidTr="001F27D2">
        <w:tc>
          <w:tcPr>
            <w:tcW w:w="5000" w:type="pct"/>
            <w:gridSpan w:val="4"/>
            <w:tcBorders>
              <w:top w:val="single" w:sz="4" w:space="0" w:color="006666"/>
              <w:left w:val="single" w:sz="4" w:space="0" w:color="006666"/>
              <w:bottom w:val="single" w:sz="4" w:space="0" w:color="006666"/>
              <w:right w:val="single" w:sz="4" w:space="0" w:color="006666"/>
            </w:tcBorders>
            <w:noWrap/>
            <w:vAlign w:val="bottom"/>
            <w:hideMark/>
          </w:tcPr>
          <w:p w14:paraId="219041EB" w14:textId="77777777" w:rsidR="001F27D2" w:rsidRPr="000C2C5C" w:rsidRDefault="001F27D2" w:rsidP="000C2C5C">
            <w:pPr>
              <w:spacing w:before="0" w:after="0"/>
              <w:rPr>
                <w:rFonts w:cs="Calibri"/>
                <w:b/>
                <w:bCs/>
                <w:sz w:val="22"/>
                <w:szCs w:val="22"/>
                <w:lang w:eastAsia="en-GB"/>
              </w:rPr>
            </w:pPr>
            <w:r w:rsidRPr="000C2C5C">
              <w:rPr>
                <w:rFonts w:cs="Calibri"/>
                <w:b/>
                <w:bCs/>
                <w:sz w:val="22"/>
                <w:szCs w:val="22"/>
                <w:lang w:eastAsia="en-GB"/>
              </w:rPr>
              <w:t>Stage 2: FUTURE NEED</w:t>
            </w:r>
          </w:p>
        </w:tc>
      </w:tr>
      <w:tr w:rsidR="001F27D2" w:rsidRPr="002B2A7F" w14:paraId="6A2DE8FE" w14:textId="77777777" w:rsidTr="001F27D2">
        <w:tc>
          <w:tcPr>
            <w:tcW w:w="368" w:type="pct"/>
            <w:tcBorders>
              <w:top w:val="single" w:sz="4" w:space="0" w:color="006666"/>
              <w:left w:val="single" w:sz="4" w:space="0" w:color="006666"/>
              <w:bottom w:val="single" w:sz="4" w:space="0" w:color="006666"/>
              <w:right w:val="single" w:sz="4" w:space="0" w:color="006666"/>
            </w:tcBorders>
            <w:noWrap/>
            <w:vAlign w:val="center"/>
            <w:hideMark/>
          </w:tcPr>
          <w:p w14:paraId="718E81A1" w14:textId="77777777" w:rsidR="001F27D2" w:rsidRPr="000C2C5C" w:rsidRDefault="001F27D2" w:rsidP="000C2C5C">
            <w:pPr>
              <w:spacing w:before="0" w:after="0"/>
              <w:rPr>
                <w:rFonts w:cs="Calibri"/>
                <w:sz w:val="22"/>
                <w:szCs w:val="22"/>
                <w:lang w:eastAsia="en-GB"/>
              </w:rPr>
            </w:pPr>
            <w:r w:rsidRPr="000C2C5C">
              <w:rPr>
                <w:rFonts w:cs="Calibri"/>
                <w:sz w:val="22"/>
                <w:szCs w:val="22"/>
                <w:lang w:eastAsia="en-GB"/>
              </w:rPr>
              <w:t>2.1</w:t>
            </w:r>
          </w:p>
        </w:tc>
        <w:tc>
          <w:tcPr>
            <w:tcW w:w="2150" w:type="pct"/>
            <w:tcBorders>
              <w:top w:val="single" w:sz="4" w:space="0" w:color="006666"/>
              <w:left w:val="single" w:sz="4" w:space="0" w:color="006666"/>
              <w:bottom w:val="single" w:sz="4" w:space="0" w:color="006666"/>
              <w:right w:val="single" w:sz="4" w:space="0" w:color="006666"/>
            </w:tcBorders>
            <w:vAlign w:val="center"/>
            <w:hideMark/>
          </w:tcPr>
          <w:p w14:paraId="0310015E" w14:textId="77777777" w:rsidR="001F27D2" w:rsidRPr="000C2C5C" w:rsidRDefault="001F27D2" w:rsidP="000C2C5C">
            <w:pPr>
              <w:spacing w:before="0" w:after="0"/>
              <w:rPr>
                <w:rFonts w:cs="Calibri"/>
                <w:sz w:val="22"/>
                <w:szCs w:val="22"/>
                <w:lang w:eastAsia="en-GB"/>
              </w:rPr>
            </w:pPr>
            <w:r w:rsidRPr="000C2C5C">
              <w:rPr>
                <w:rFonts w:cs="Calibri"/>
                <w:sz w:val="22"/>
                <w:szCs w:val="22"/>
                <w:lang w:eastAsia="en-GB"/>
              </w:rPr>
              <w:t>New household formation (gross per year)</w:t>
            </w:r>
          </w:p>
        </w:tc>
        <w:tc>
          <w:tcPr>
            <w:tcW w:w="1609" w:type="pct"/>
            <w:tcBorders>
              <w:top w:val="single" w:sz="4" w:space="0" w:color="006666"/>
              <w:left w:val="single" w:sz="4" w:space="0" w:color="006666"/>
              <w:bottom w:val="single" w:sz="4" w:space="0" w:color="006666"/>
              <w:right w:val="single" w:sz="4" w:space="0" w:color="006666"/>
            </w:tcBorders>
            <w:vAlign w:val="center"/>
            <w:hideMark/>
          </w:tcPr>
          <w:p w14:paraId="18111AA3" w14:textId="77777777" w:rsidR="001F27D2" w:rsidRPr="000C2C5C" w:rsidRDefault="001F27D2" w:rsidP="000C2C5C">
            <w:pPr>
              <w:spacing w:before="0" w:after="0"/>
              <w:rPr>
                <w:rFonts w:cs="Calibri"/>
                <w:sz w:val="22"/>
                <w:szCs w:val="22"/>
                <w:lang w:eastAsia="en-GB"/>
              </w:rPr>
            </w:pPr>
            <w:r w:rsidRPr="000C2C5C">
              <w:rPr>
                <w:rFonts w:cs="Calibri"/>
                <w:sz w:val="22"/>
                <w:szCs w:val="22"/>
                <w:lang w:eastAsia="en-GB"/>
              </w:rPr>
              <w:t>Based on national rate and aspiration</w:t>
            </w:r>
          </w:p>
        </w:tc>
        <w:tc>
          <w:tcPr>
            <w:tcW w:w="873" w:type="pct"/>
            <w:tcBorders>
              <w:top w:val="single" w:sz="4" w:space="0" w:color="006666"/>
              <w:left w:val="single" w:sz="4" w:space="0" w:color="006666"/>
              <w:bottom w:val="single" w:sz="4" w:space="0" w:color="006666"/>
              <w:right w:val="single" w:sz="4" w:space="0" w:color="006666"/>
            </w:tcBorders>
            <w:noWrap/>
            <w:vAlign w:val="center"/>
            <w:hideMark/>
          </w:tcPr>
          <w:p w14:paraId="6337AE7D" w14:textId="77777777" w:rsidR="001F27D2" w:rsidRPr="000C2C5C" w:rsidRDefault="001F27D2" w:rsidP="000C2C5C">
            <w:pPr>
              <w:spacing w:before="0" w:after="0"/>
              <w:jc w:val="center"/>
              <w:rPr>
                <w:rFonts w:cs="Calibri"/>
                <w:b/>
                <w:bCs/>
                <w:sz w:val="22"/>
                <w:szCs w:val="22"/>
                <w:lang w:eastAsia="en-GB"/>
              </w:rPr>
            </w:pPr>
            <w:r w:rsidRPr="000C2C5C">
              <w:rPr>
                <w:rFonts w:cs="Calibri"/>
                <w:color w:val="000000"/>
                <w:sz w:val="22"/>
                <w:szCs w:val="22"/>
              </w:rPr>
              <w:t>547</w:t>
            </w:r>
          </w:p>
        </w:tc>
      </w:tr>
      <w:tr w:rsidR="001F27D2" w:rsidRPr="002B2A7F" w14:paraId="2BBCE91D" w14:textId="77777777" w:rsidTr="001F27D2">
        <w:tc>
          <w:tcPr>
            <w:tcW w:w="368" w:type="pct"/>
            <w:tcBorders>
              <w:top w:val="single" w:sz="4" w:space="0" w:color="006666"/>
              <w:left w:val="single" w:sz="4" w:space="0" w:color="006666"/>
              <w:bottom w:val="single" w:sz="4" w:space="0" w:color="006666"/>
              <w:right w:val="single" w:sz="4" w:space="0" w:color="006666"/>
            </w:tcBorders>
            <w:noWrap/>
            <w:vAlign w:val="center"/>
            <w:hideMark/>
          </w:tcPr>
          <w:p w14:paraId="7E505493" w14:textId="77777777" w:rsidR="001F27D2" w:rsidRPr="000C2C5C" w:rsidRDefault="001F27D2" w:rsidP="000C2C5C">
            <w:pPr>
              <w:spacing w:before="0" w:after="0"/>
              <w:rPr>
                <w:rFonts w:cs="Calibri"/>
                <w:sz w:val="22"/>
                <w:szCs w:val="22"/>
                <w:lang w:eastAsia="en-GB"/>
              </w:rPr>
            </w:pPr>
            <w:r w:rsidRPr="000C2C5C">
              <w:rPr>
                <w:rFonts w:cs="Calibri"/>
                <w:sz w:val="22"/>
                <w:szCs w:val="22"/>
                <w:lang w:eastAsia="en-GB"/>
              </w:rPr>
              <w:t>2.2</w:t>
            </w:r>
          </w:p>
        </w:tc>
        <w:tc>
          <w:tcPr>
            <w:tcW w:w="2150" w:type="pct"/>
            <w:tcBorders>
              <w:top w:val="single" w:sz="4" w:space="0" w:color="006666"/>
              <w:left w:val="single" w:sz="4" w:space="0" w:color="006666"/>
              <w:bottom w:val="single" w:sz="4" w:space="0" w:color="006666"/>
              <w:right w:val="single" w:sz="4" w:space="0" w:color="006666"/>
            </w:tcBorders>
            <w:vAlign w:val="center"/>
            <w:hideMark/>
          </w:tcPr>
          <w:p w14:paraId="6AC998B7" w14:textId="77777777" w:rsidR="001F27D2" w:rsidRPr="000C2C5C" w:rsidRDefault="001F27D2" w:rsidP="000C2C5C">
            <w:pPr>
              <w:spacing w:before="0" w:after="0"/>
              <w:rPr>
                <w:rFonts w:cs="Calibri"/>
                <w:sz w:val="22"/>
                <w:szCs w:val="22"/>
                <w:lang w:eastAsia="en-GB"/>
              </w:rPr>
            </w:pPr>
            <w:r w:rsidRPr="000C2C5C">
              <w:rPr>
                <w:rFonts w:cs="Calibri"/>
                <w:sz w:val="22"/>
                <w:szCs w:val="22"/>
                <w:lang w:eastAsia="en-GB"/>
              </w:rPr>
              <w:t>% of new households requiring affordable housing</w:t>
            </w:r>
          </w:p>
        </w:tc>
        <w:tc>
          <w:tcPr>
            <w:tcW w:w="1609" w:type="pct"/>
            <w:tcBorders>
              <w:top w:val="single" w:sz="4" w:space="0" w:color="006666"/>
              <w:left w:val="single" w:sz="4" w:space="0" w:color="006666"/>
              <w:bottom w:val="single" w:sz="4" w:space="0" w:color="006666"/>
              <w:right w:val="single" w:sz="4" w:space="0" w:color="006666"/>
            </w:tcBorders>
            <w:vAlign w:val="center"/>
            <w:hideMark/>
          </w:tcPr>
          <w:p w14:paraId="52F4947F" w14:textId="77777777" w:rsidR="001F27D2" w:rsidRPr="000C2C5C" w:rsidRDefault="001F27D2" w:rsidP="000C2C5C">
            <w:pPr>
              <w:spacing w:before="0" w:after="0"/>
              <w:rPr>
                <w:rFonts w:cs="Calibri"/>
                <w:sz w:val="22"/>
                <w:szCs w:val="22"/>
              </w:rPr>
            </w:pPr>
            <w:r w:rsidRPr="000C2C5C">
              <w:rPr>
                <w:rFonts w:cs="Calibri"/>
                <w:sz w:val="22"/>
                <w:szCs w:val="22"/>
              </w:rPr>
              <w:t>% Based on actual affordability of households forming</w:t>
            </w:r>
          </w:p>
          <w:p w14:paraId="0BF1BB42" w14:textId="77777777" w:rsidR="001F27D2" w:rsidRPr="000C2C5C" w:rsidRDefault="001F27D2" w:rsidP="000C2C5C">
            <w:pPr>
              <w:spacing w:before="0" w:after="0"/>
              <w:rPr>
                <w:rFonts w:cs="Calibri"/>
                <w:sz w:val="22"/>
                <w:szCs w:val="22"/>
                <w:lang w:eastAsia="en-GB"/>
              </w:rPr>
            </w:pPr>
          </w:p>
        </w:tc>
        <w:tc>
          <w:tcPr>
            <w:tcW w:w="873" w:type="pct"/>
            <w:tcBorders>
              <w:top w:val="single" w:sz="4" w:space="0" w:color="006666"/>
              <w:left w:val="single" w:sz="4" w:space="0" w:color="006666"/>
              <w:bottom w:val="single" w:sz="4" w:space="0" w:color="006666"/>
              <w:right w:val="single" w:sz="4" w:space="0" w:color="006666"/>
            </w:tcBorders>
            <w:noWrap/>
            <w:vAlign w:val="center"/>
            <w:hideMark/>
          </w:tcPr>
          <w:p w14:paraId="53A994C3" w14:textId="77777777" w:rsidR="001F27D2" w:rsidRPr="000C2C5C" w:rsidRDefault="001F27D2" w:rsidP="000C2C5C">
            <w:pPr>
              <w:spacing w:before="0" w:after="0"/>
              <w:jc w:val="center"/>
              <w:rPr>
                <w:rFonts w:cs="Calibri"/>
                <w:b/>
                <w:bCs/>
                <w:sz w:val="22"/>
                <w:szCs w:val="22"/>
                <w:lang w:eastAsia="en-GB"/>
              </w:rPr>
            </w:pPr>
            <w:r w:rsidRPr="000C2C5C">
              <w:rPr>
                <w:rFonts w:cs="Calibri"/>
                <w:color w:val="000000"/>
                <w:sz w:val="22"/>
                <w:szCs w:val="22"/>
              </w:rPr>
              <w:t>76.4%</w:t>
            </w:r>
          </w:p>
        </w:tc>
      </w:tr>
      <w:tr w:rsidR="001F27D2" w:rsidRPr="002B2A7F" w14:paraId="335EC727" w14:textId="77777777" w:rsidTr="001F27D2">
        <w:tc>
          <w:tcPr>
            <w:tcW w:w="368" w:type="pct"/>
            <w:tcBorders>
              <w:top w:val="single" w:sz="4" w:space="0" w:color="006666"/>
              <w:left w:val="single" w:sz="4" w:space="0" w:color="006666"/>
              <w:bottom w:val="single" w:sz="4" w:space="0" w:color="006666"/>
              <w:right w:val="single" w:sz="4" w:space="0" w:color="006666"/>
            </w:tcBorders>
            <w:noWrap/>
            <w:vAlign w:val="center"/>
            <w:hideMark/>
          </w:tcPr>
          <w:p w14:paraId="0947C313" w14:textId="77777777" w:rsidR="001F27D2" w:rsidRPr="000C2C5C" w:rsidRDefault="001F27D2" w:rsidP="000C2C5C">
            <w:pPr>
              <w:spacing w:before="0" w:after="0"/>
              <w:rPr>
                <w:rFonts w:cs="Calibri"/>
                <w:sz w:val="22"/>
                <w:szCs w:val="22"/>
                <w:lang w:eastAsia="en-GB"/>
              </w:rPr>
            </w:pPr>
          </w:p>
        </w:tc>
        <w:tc>
          <w:tcPr>
            <w:tcW w:w="2150" w:type="pct"/>
            <w:tcBorders>
              <w:top w:val="single" w:sz="4" w:space="0" w:color="006666"/>
              <w:left w:val="single" w:sz="4" w:space="0" w:color="006666"/>
              <w:bottom w:val="single" w:sz="4" w:space="0" w:color="006666"/>
              <w:right w:val="single" w:sz="4" w:space="0" w:color="006666"/>
            </w:tcBorders>
            <w:vAlign w:val="center"/>
            <w:hideMark/>
          </w:tcPr>
          <w:p w14:paraId="21135299" w14:textId="77777777" w:rsidR="001F27D2" w:rsidRPr="000C2C5C" w:rsidRDefault="001F27D2" w:rsidP="000C2C5C">
            <w:pPr>
              <w:spacing w:before="0" w:after="0"/>
              <w:rPr>
                <w:rFonts w:cs="Calibri"/>
                <w:sz w:val="22"/>
                <w:szCs w:val="22"/>
                <w:lang w:eastAsia="en-GB"/>
              </w:rPr>
            </w:pPr>
          </w:p>
        </w:tc>
        <w:tc>
          <w:tcPr>
            <w:tcW w:w="1609" w:type="pct"/>
            <w:tcBorders>
              <w:top w:val="single" w:sz="4" w:space="0" w:color="006666"/>
              <w:left w:val="single" w:sz="4" w:space="0" w:color="006666"/>
              <w:bottom w:val="single" w:sz="4" w:space="0" w:color="006666"/>
              <w:right w:val="single" w:sz="4" w:space="0" w:color="006666"/>
            </w:tcBorders>
            <w:vAlign w:val="center"/>
            <w:hideMark/>
          </w:tcPr>
          <w:p w14:paraId="7D546EE0" w14:textId="77777777" w:rsidR="001F27D2" w:rsidRPr="000C2C5C" w:rsidRDefault="001F27D2" w:rsidP="000C2C5C">
            <w:pPr>
              <w:spacing w:before="0" w:after="0"/>
              <w:rPr>
                <w:rFonts w:cs="Calibri"/>
                <w:sz w:val="22"/>
                <w:szCs w:val="22"/>
                <w:lang w:eastAsia="en-GB"/>
              </w:rPr>
            </w:pPr>
            <w:r w:rsidRPr="000C2C5C">
              <w:rPr>
                <w:rFonts w:cs="Calibri"/>
                <w:sz w:val="22"/>
                <w:szCs w:val="22"/>
                <w:lang w:eastAsia="en-GB"/>
              </w:rPr>
              <w:t xml:space="preserve">Number </w:t>
            </w:r>
          </w:p>
        </w:tc>
        <w:tc>
          <w:tcPr>
            <w:tcW w:w="873" w:type="pct"/>
            <w:tcBorders>
              <w:top w:val="single" w:sz="4" w:space="0" w:color="006666"/>
              <w:left w:val="single" w:sz="4" w:space="0" w:color="006666"/>
              <w:bottom w:val="single" w:sz="4" w:space="0" w:color="006666"/>
              <w:right w:val="single" w:sz="4" w:space="0" w:color="006666"/>
            </w:tcBorders>
            <w:noWrap/>
            <w:vAlign w:val="center"/>
            <w:hideMark/>
          </w:tcPr>
          <w:p w14:paraId="2B2E8987" w14:textId="77777777" w:rsidR="001F27D2" w:rsidRPr="000C2C5C" w:rsidRDefault="001F27D2" w:rsidP="000C2C5C">
            <w:pPr>
              <w:spacing w:before="0" w:after="0"/>
              <w:jc w:val="center"/>
              <w:rPr>
                <w:rFonts w:cs="Calibri"/>
                <w:b/>
                <w:bCs/>
                <w:sz w:val="22"/>
                <w:szCs w:val="22"/>
                <w:lang w:eastAsia="en-GB"/>
              </w:rPr>
            </w:pPr>
            <w:r w:rsidRPr="000C2C5C">
              <w:rPr>
                <w:rFonts w:cs="Calibri"/>
                <w:b/>
                <w:bCs/>
                <w:sz w:val="22"/>
                <w:szCs w:val="22"/>
              </w:rPr>
              <w:t>418</w:t>
            </w:r>
          </w:p>
        </w:tc>
      </w:tr>
      <w:tr w:rsidR="001F27D2" w:rsidRPr="002B2A7F" w14:paraId="59F20C5C" w14:textId="77777777" w:rsidTr="001F27D2">
        <w:tc>
          <w:tcPr>
            <w:tcW w:w="368" w:type="pct"/>
            <w:tcBorders>
              <w:top w:val="single" w:sz="4" w:space="0" w:color="006666"/>
              <w:left w:val="single" w:sz="4" w:space="0" w:color="006666"/>
              <w:bottom w:val="single" w:sz="4" w:space="0" w:color="006666"/>
              <w:right w:val="single" w:sz="4" w:space="0" w:color="006666"/>
            </w:tcBorders>
            <w:noWrap/>
            <w:vAlign w:val="center"/>
            <w:hideMark/>
          </w:tcPr>
          <w:p w14:paraId="560AE51B" w14:textId="77777777" w:rsidR="001F27D2" w:rsidRPr="000C2C5C" w:rsidRDefault="001F27D2" w:rsidP="000C2C5C">
            <w:pPr>
              <w:spacing w:before="0" w:after="0"/>
              <w:rPr>
                <w:rFonts w:cs="Calibri"/>
                <w:sz w:val="22"/>
                <w:szCs w:val="22"/>
                <w:lang w:eastAsia="en-GB"/>
              </w:rPr>
            </w:pPr>
            <w:r w:rsidRPr="000C2C5C">
              <w:rPr>
                <w:rFonts w:cs="Calibri"/>
                <w:sz w:val="22"/>
                <w:szCs w:val="22"/>
                <w:lang w:eastAsia="en-GB"/>
              </w:rPr>
              <w:t>2.3</w:t>
            </w:r>
          </w:p>
        </w:tc>
        <w:tc>
          <w:tcPr>
            <w:tcW w:w="2150" w:type="pct"/>
            <w:tcBorders>
              <w:top w:val="single" w:sz="4" w:space="0" w:color="006666"/>
              <w:left w:val="single" w:sz="4" w:space="0" w:color="006666"/>
              <w:bottom w:val="single" w:sz="4" w:space="0" w:color="006666"/>
              <w:right w:val="single" w:sz="4" w:space="0" w:color="006666"/>
            </w:tcBorders>
            <w:vAlign w:val="center"/>
            <w:hideMark/>
          </w:tcPr>
          <w:p w14:paraId="7B0410A6" w14:textId="77777777" w:rsidR="001F27D2" w:rsidRPr="000C2C5C" w:rsidRDefault="001F27D2" w:rsidP="000C2C5C">
            <w:pPr>
              <w:spacing w:before="0" w:after="0"/>
              <w:rPr>
                <w:rFonts w:cs="Calibri"/>
                <w:sz w:val="22"/>
                <w:szCs w:val="22"/>
                <w:lang w:eastAsia="en-GB"/>
              </w:rPr>
            </w:pPr>
            <w:r w:rsidRPr="000C2C5C">
              <w:rPr>
                <w:rFonts w:cs="Calibri"/>
                <w:sz w:val="22"/>
                <w:szCs w:val="22"/>
                <w:lang w:eastAsia="en-GB"/>
              </w:rPr>
              <w:t>Existing households falling into need</w:t>
            </w:r>
          </w:p>
        </w:tc>
        <w:tc>
          <w:tcPr>
            <w:tcW w:w="1609" w:type="pct"/>
            <w:tcBorders>
              <w:top w:val="single" w:sz="4" w:space="0" w:color="006666"/>
              <w:left w:val="single" w:sz="4" w:space="0" w:color="006666"/>
              <w:bottom w:val="single" w:sz="4" w:space="0" w:color="006666"/>
              <w:right w:val="single" w:sz="4" w:space="0" w:color="006666"/>
            </w:tcBorders>
            <w:vAlign w:val="center"/>
            <w:hideMark/>
          </w:tcPr>
          <w:p w14:paraId="65FFBA52" w14:textId="77777777" w:rsidR="001F27D2" w:rsidRPr="000C2C5C" w:rsidRDefault="001F27D2" w:rsidP="000C2C5C">
            <w:pPr>
              <w:spacing w:before="0" w:after="0"/>
              <w:rPr>
                <w:rFonts w:cs="Calibri"/>
                <w:sz w:val="22"/>
                <w:szCs w:val="22"/>
                <w:lang w:eastAsia="en-GB"/>
              </w:rPr>
            </w:pPr>
            <w:r w:rsidRPr="000C2C5C">
              <w:rPr>
                <w:rFonts w:cs="Calibri"/>
                <w:sz w:val="22"/>
                <w:szCs w:val="22"/>
                <w:lang w:eastAsia="en-GB"/>
              </w:rPr>
              <w:t>Annual requirement</w:t>
            </w:r>
          </w:p>
        </w:tc>
        <w:tc>
          <w:tcPr>
            <w:tcW w:w="873" w:type="pct"/>
            <w:tcBorders>
              <w:top w:val="single" w:sz="4" w:space="0" w:color="006666"/>
              <w:left w:val="single" w:sz="4" w:space="0" w:color="006666"/>
              <w:bottom w:val="single" w:sz="4" w:space="0" w:color="006666"/>
              <w:right w:val="single" w:sz="4" w:space="0" w:color="006666"/>
            </w:tcBorders>
            <w:noWrap/>
            <w:vAlign w:val="center"/>
            <w:hideMark/>
          </w:tcPr>
          <w:p w14:paraId="1E9BCC1C" w14:textId="77777777" w:rsidR="001F27D2" w:rsidRPr="000C2C5C" w:rsidRDefault="001F27D2" w:rsidP="000C2C5C">
            <w:pPr>
              <w:spacing w:before="0" w:after="0"/>
              <w:jc w:val="center"/>
              <w:rPr>
                <w:rFonts w:cs="Calibri"/>
                <w:b/>
                <w:bCs/>
                <w:sz w:val="22"/>
                <w:szCs w:val="22"/>
                <w:lang w:eastAsia="en-GB"/>
              </w:rPr>
            </w:pPr>
            <w:r w:rsidRPr="000C2C5C">
              <w:rPr>
                <w:rFonts w:cs="Calibri"/>
                <w:b/>
                <w:bCs/>
                <w:sz w:val="22"/>
                <w:szCs w:val="22"/>
              </w:rPr>
              <w:t>Included in 1.1</w:t>
            </w:r>
          </w:p>
        </w:tc>
      </w:tr>
      <w:tr w:rsidR="001F27D2" w:rsidRPr="002B2A7F" w14:paraId="1190C34F" w14:textId="77777777" w:rsidTr="001F27D2">
        <w:tc>
          <w:tcPr>
            <w:tcW w:w="368" w:type="pct"/>
            <w:tcBorders>
              <w:top w:val="single" w:sz="4" w:space="0" w:color="006666"/>
              <w:left w:val="single" w:sz="4" w:space="0" w:color="006666"/>
              <w:bottom w:val="single" w:sz="4" w:space="0" w:color="006666"/>
              <w:right w:val="single" w:sz="4" w:space="0" w:color="006666"/>
            </w:tcBorders>
            <w:noWrap/>
            <w:vAlign w:val="center"/>
            <w:hideMark/>
          </w:tcPr>
          <w:p w14:paraId="35D11C7C" w14:textId="77777777" w:rsidR="001F27D2" w:rsidRPr="000C2C5C" w:rsidRDefault="001F27D2" w:rsidP="000C2C5C">
            <w:pPr>
              <w:spacing w:before="0" w:after="0"/>
              <w:rPr>
                <w:rFonts w:cs="Calibri"/>
                <w:b/>
                <w:sz w:val="22"/>
                <w:szCs w:val="22"/>
                <w:lang w:eastAsia="en-GB"/>
              </w:rPr>
            </w:pPr>
            <w:r w:rsidRPr="000C2C5C">
              <w:rPr>
                <w:rFonts w:cs="Calibri"/>
                <w:b/>
                <w:sz w:val="22"/>
                <w:szCs w:val="22"/>
                <w:lang w:eastAsia="en-GB"/>
              </w:rPr>
              <w:t>2.4</w:t>
            </w:r>
          </w:p>
        </w:tc>
        <w:tc>
          <w:tcPr>
            <w:tcW w:w="2150" w:type="pct"/>
            <w:tcBorders>
              <w:top w:val="single" w:sz="4" w:space="0" w:color="006666"/>
              <w:left w:val="single" w:sz="4" w:space="0" w:color="006666"/>
              <w:bottom w:val="single" w:sz="4" w:space="0" w:color="006666"/>
              <w:right w:val="single" w:sz="4" w:space="0" w:color="006666"/>
            </w:tcBorders>
            <w:vAlign w:val="center"/>
            <w:hideMark/>
          </w:tcPr>
          <w:p w14:paraId="323E8C93" w14:textId="77777777" w:rsidR="001F27D2" w:rsidRPr="000C2C5C" w:rsidRDefault="001F27D2" w:rsidP="000C2C5C">
            <w:pPr>
              <w:spacing w:before="0" w:after="0"/>
              <w:rPr>
                <w:rFonts w:cs="Calibri"/>
                <w:b/>
                <w:sz w:val="22"/>
                <w:szCs w:val="22"/>
                <w:lang w:eastAsia="en-GB"/>
              </w:rPr>
            </w:pPr>
            <w:r w:rsidRPr="000C2C5C">
              <w:rPr>
                <w:rFonts w:cs="Calibri"/>
                <w:b/>
                <w:sz w:val="22"/>
                <w:szCs w:val="22"/>
                <w:lang w:eastAsia="en-GB"/>
              </w:rPr>
              <w:t>TOTAL newly-arising housing need (gross each year)</w:t>
            </w:r>
          </w:p>
        </w:tc>
        <w:tc>
          <w:tcPr>
            <w:tcW w:w="1609" w:type="pct"/>
            <w:tcBorders>
              <w:top w:val="single" w:sz="4" w:space="0" w:color="006666"/>
              <w:left w:val="single" w:sz="4" w:space="0" w:color="006666"/>
              <w:bottom w:val="single" w:sz="4" w:space="0" w:color="006666"/>
              <w:right w:val="single" w:sz="4" w:space="0" w:color="006666"/>
            </w:tcBorders>
            <w:vAlign w:val="center"/>
            <w:hideMark/>
          </w:tcPr>
          <w:p w14:paraId="24A3C0D7" w14:textId="77777777" w:rsidR="001F27D2" w:rsidRPr="000C2C5C" w:rsidRDefault="001F27D2" w:rsidP="000C2C5C">
            <w:pPr>
              <w:spacing w:before="0" w:after="0"/>
              <w:rPr>
                <w:rFonts w:cs="Calibri"/>
                <w:b/>
                <w:sz w:val="22"/>
                <w:szCs w:val="22"/>
                <w:lang w:eastAsia="en-GB"/>
              </w:rPr>
            </w:pPr>
            <w:r w:rsidRPr="000C2C5C">
              <w:rPr>
                <w:rFonts w:cs="Calibri"/>
                <w:b/>
                <w:sz w:val="22"/>
                <w:szCs w:val="22"/>
                <w:lang w:eastAsia="en-GB"/>
              </w:rPr>
              <w:t>2.2 + 2.3</w:t>
            </w:r>
          </w:p>
        </w:tc>
        <w:tc>
          <w:tcPr>
            <w:tcW w:w="873" w:type="pct"/>
            <w:tcBorders>
              <w:top w:val="single" w:sz="4" w:space="0" w:color="006666"/>
              <w:left w:val="single" w:sz="4" w:space="0" w:color="006666"/>
              <w:bottom w:val="single" w:sz="4" w:space="0" w:color="006666"/>
              <w:right w:val="single" w:sz="4" w:space="0" w:color="006666"/>
            </w:tcBorders>
            <w:noWrap/>
            <w:vAlign w:val="center"/>
            <w:hideMark/>
          </w:tcPr>
          <w:p w14:paraId="3929BEFD" w14:textId="77777777" w:rsidR="001F27D2" w:rsidRPr="000C2C5C" w:rsidRDefault="001F27D2" w:rsidP="000C2C5C">
            <w:pPr>
              <w:spacing w:before="0" w:after="0"/>
              <w:jc w:val="center"/>
              <w:rPr>
                <w:rFonts w:cs="Calibri"/>
                <w:b/>
                <w:bCs/>
                <w:sz w:val="22"/>
                <w:szCs w:val="22"/>
                <w:lang w:eastAsia="en-GB"/>
              </w:rPr>
            </w:pPr>
            <w:r w:rsidRPr="000C2C5C">
              <w:rPr>
                <w:rFonts w:cs="Calibri"/>
                <w:b/>
                <w:bCs/>
                <w:sz w:val="22"/>
                <w:szCs w:val="22"/>
              </w:rPr>
              <w:t>418</w:t>
            </w:r>
          </w:p>
        </w:tc>
      </w:tr>
      <w:tr w:rsidR="001F27D2" w:rsidRPr="002B2A7F" w14:paraId="400E2207" w14:textId="77777777" w:rsidTr="001F27D2">
        <w:tc>
          <w:tcPr>
            <w:tcW w:w="5000" w:type="pct"/>
            <w:gridSpan w:val="4"/>
            <w:tcBorders>
              <w:top w:val="single" w:sz="4" w:space="0" w:color="006666"/>
              <w:left w:val="single" w:sz="4" w:space="0" w:color="006666"/>
              <w:bottom w:val="single" w:sz="4" w:space="0" w:color="006666"/>
              <w:right w:val="single" w:sz="4" w:space="0" w:color="006666"/>
            </w:tcBorders>
            <w:noWrap/>
            <w:vAlign w:val="bottom"/>
            <w:hideMark/>
          </w:tcPr>
          <w:p w14:paraId="79A1678A" w14:textId="77777777" w:rsidR="001F27D2" w:rsidRPr="000C2C5C" w:rsidRDefault="001F27D2" w:rsidP="000C2C5C">
            <w:pPr>
              <w:spacing w:before="0" w:after="0"/>
              <w:rPr>
                <w:rFonts w:cs="Calibri"/>
                <w:b/>
                <w:bCs/>
                <w:sz w:val="22"/>
                <w:szCs w:val="22"/>
                <w:lang w:eastAsia="en-GB"/>
              </w:rPr>
            </w:pPr>
            <w:r w:rsidRPr="000C2C5C">
              <w:rPr>
                <w:rFonts w:cs="Calibri"/>
                <w:b/>
                <w:bCs/>
                <w:sz w:val="22"/>
                <w:szCs w:val="22"/>
                <w:lang w:eastAsia="en-GB"/>
              </w:rPr>
              <w:t>Stage 3: AFFORDABLE HOUSING SUPPLY </w:t>
            </w:r>
          </w:p>
        </w:tc>
      </w:tr>
      <w:tr w:rsidR="001F27D2" w:rsidRPr="002B2A7F" w14:paraId="44FC8E12" w14:textId="77777777" w:rsidTr="001F27D2">
        <w:tc>
          <w:tcPr>
            <w:tcW w:w="368" w:type="pct"/>
            <w:tcBorders>
              <w:top w:val="single" w:sz="4" w:space="0" w:color="006666"/>
              <w:left w:val="single" w:sz="4" w:space="0" w:color="006666"/>
              <w:bottom w:val="single" w:sz="4" w:space="0" w:color="006666"/>
              <w:right w:val="single" w:sz="4" w:space="0" w:color="006666"/>
            </w:tcBorders>
            <w:noWrap/>
            <w:vAlign w:val="center"/>
            <w:hideMark/>
          </w:tcPr>
          <w:p w14:paraId="793C3AFC" w14:textId="77777777" w:rsidR="001F27D2" w:rsidRPr="000C2C5C" w:rsidRDefault="001F27D2" w:rsidP="000C2C5C">
            <w:pPr>
              <w:spacing w:before="0" w:after="0"/>
              <w:jc w:val="center"/>
              <w:rPr>
                <w:rFonts w:cs="Calibri"/>
                <w:sz w:val="22"/>
                <w:szCs w:val="22"/>
                <w:lang w:eastAsia="en-GB"/>
              </w:rPr>
            </w:pPr>
            <w:r w:rsidRPr="000C2C5C">
              <w:rPr>
                <w:rFonts w:cs="Calibri"/>
                <w:sz w:val="22"/>
                <w:szCs w:val="22"/>
                <w:lang w:eastAsia="en-GB"/>
              </w:rPr>
              <w:t>3.1</w:t>
            </w:r>
          </w:p>
        </w:tc>
        <w:tc>
          <w:tcPr>
            <w:tcW w:w="2150" w:type="pct"/>
            <w:tcBorders>
              <w:top w:val="single" w:sz="4" w:space="0" w:color="006666"/>
              <w:left w:val="single" w:sz="4" w:space="0" w:color="006666"/>
              <w:bottom w:val="single" w:sz="4" w:space="0" w:color="006666"/>
              <w:right w:val="single" w:sz="4" w:space="0" w:color="006666"/>
            </w:tcBorders>
            <w:vAlign w:val="center"/>
            <w:hideMark/>
          </w:tcPr>
          <w:p w14:paraId="16AFCA96" w14:textId="77777777" w:rsidR="001F27D2" w:rsidRPr="000C2C5C" w:rsidRDefault="001F27D2" w:rsidP="000C2C5C">
            <w:pPr>
              <w:spacing w:before="0" w:after="0"/>
              <w:rPr>
                <w:rFonts w:cs="Calibri"/>
                <w:sz w:val="22"/>
                <w:szCs w:val="22"/>
                <w:lang w:eastAsia="en-GB"/>
              </w:rPr>
            </w:pPr>
            <w:r w:rsidRPr="000C2C5C">
              <w:rPr>
                <w:rFonts w:cs="Calibri"/>
                <w:sz w:val="22"/>
                <w:szCs w:val="22"/>
                <w:lang w:eastAsia="en-GB"/>
              </w:rPr>
              <w:t xml:space="preserve">Affordable dwellings occupied by households in need </w:t>
            </w:r>
          </w:p>
        </w:tc>
        <w:tc>
          <w:tcPr>
            <w:tcW w:w="1609" w:type="pct"/>
            <w:tcBorders>
              <w:top w:val="single" w:sz="4" w:space="0" w:color="006666"/>
              <w:left w:val="single" w:sz="4" w:space="0" w:color="006666"/>
              <w:bottom w:val="single" w:sz="4" w:space="0" w:color="006666"/>
              <w:right w:val="single" w:sz="4" w:space="0" w:color="006666"/>
            </w:tcBorders>
            <w:vAlign w:val="center"/>
            <w:hideMark/>
          </w:tcPr>
          <w:p w14:paraId="70FBABD7" w14:textId="77777777" w:rsidR="001F27D2" w:rsidRPr="000C2C5C" w:rsidRDefault="001F27D2" w:rsidP="000C2C5C">
            <w:pPr>
              <w:spacing w:before="0" w:after="0"/>
              <w:rPr>
                <w:rFonts w:cs="Calibri"/>
                <w:sz w:val="22"/>
                <w:szCs w:val="22"/>
                <w:lang w:eastAsia="en-GB"/>
              </w:rPr>
            </w:pPr>
            <w:r w:rsidRPr="000C2C5C">
              <w:rPr>
                <w:rFonts w:cs="Calibri"/>
                <w:sz w:val="22"/>
                <w:szCs w:val="22"/>
                <w:lang w:eastAsia="en-GB"/>
              </w:rPr>
              <w:t>(based on 1.1)</w:t>
            </w:r>
          </w:p>
        </w:tc>
        <w:tc>
          <w:tcPr>
            <w:tcW w:w="873" w:type="pct"/>
            <w:tcBorders>
              <w:top w:val="single" w:sz="4" w:space="0" w:color="006666"/>
              <w:left w:val="single" w:sz="4" w:space="0" w:color="006666"/>
              <w:bottom w:val="single" w:sz="4" w:space="0" w:color="006666"/>
              <w:right w:val="single" w:sz="4" w:space="0" w:color="006666"/>
            </w:tcBorders>
            <w:noWrap/>
            <w:vAlign w:val="center"/>
            <w:hideMark/>
          </w:tcPr>
          <w:p w14:paraId="01FC3EA9" w14:textId="77777777" w:rsidR="001F27D2" w:rsidRPr="000C2C5C" w:rsidRDefault="001F27D2" w:rsidP="000C2C5C">
            <w:pPr>
              <w:spacing w:before="0" w:after="0"/>
              <w:jc w:val="center"/>
              <w:rPr>
                <w:rFonts w:cs="Calibri"/>
                <w:b/>
                <w:bCs/>
                <w:sz w:val="22"/>
                <w:szCs w:val="22"/>
                <w:lang w:eastAsia="en-GB"/>
              </w:rPr>
            </w:pPr>
            <w:r w:rsidRPr="000C2C5C">
              <w:rPr>
                <w:rFonts w:cs="Calibri"/>
                <w:b/>
                <w:bCs/>
                <w:sz w:val="22"/>
                <w:szCs w:val="22"/>
              </w:rPr>
              <w:t>424</w:t>
            </w:r>
          </w:p>
        </w:tc>
      </w:tr>
      <w:tr w:rsidR="001F27D2" w:rsidRPr="002B2A7F" w14:paraId="0C188036" w14:textId="77777777" w:rsidTr="001F27D2">
        <w:tc>
          <w:tcPr>
            <w:tcW w:w="368" w:type="pct"/>
            <w:tcBorders>
              <w:top w:val="single" w:sz="4" w:space="0" w:color="006666"/>
              <w:left w:val="single" w:sz="4" w:space="0" w:color="006666"/>
              <w:bottom w:val="single" w:sz="4" w:space="0" w:color="006666"/>
              <w:right w:val="single" w:sz="4" w:space="0" w:color="006666"/>
            </w:tcBorders>
            <w:noWrap/>
            <w:vAlign w:val="center"/>
            <w:hideMark/>
          </w:tcPr>
          <w:p w14:paraId="27E3169E" w14:textId="77777777" w:rsidR="001F27D2" w:rsidRPr="000C2C5C" w:rsidRDefault="001F27D2" w:rsidP="000C2C5C">
            <w:pPr>
              <w:spacing w:before="0" w:after="0"/>
              <w:jc w:val="center"/>
              <w:rPr>
                <w:rFonts w:cs="Calibri"/>
                <w:sz w:val="22"/>
                <w:szCs w:val="22"/>
                <w:lang w:eastAsia="en-GB"/>
              </w:rPr>
            </w:pPr>
            <w:r w:rsidRPr="000C2C5C">
              <w:rPr>
                <w:rFonts w:cs="Calibri"/>
                <w:sz w:val="22"/>
                <w:szCs w:val="22"/>
                <w:lang w:eastAsia="en-GB"/>
              </w:rPr>
              <w:t>3.2</w:t>
            </w:r>
          </w:p>
        </w:tc>
        <w:tc>
          <w:tcPr>
            <w:tcW w:w="2150" w:type="pct"/>
            <w:tcBorders>
              <w:top w:val="single" w:sz="4" w:space="0" w:color="006666"/>
              <w:left w:val="single" w:sz="4" w:space="0" w:color="006666"/>
              <w:bottom w:val="single" w:sz="4" w:space="0" w:color="006666"/>
              <w:right w:val="single" w:sz="4" w:space="0" w:color="006666"/>
            </w:tcBorders>
            <w:vAlign w:val="center"/>
            <w:hideMark/>
          </w:tcPr>
          <w:p w14:paraId="4DE78037" w14:textId="77777777" w:rsidR="001F27D2" w:rsidRPr="000C2C5C" w:rsidRDefault="001F27D2" w:rsidP="000C2C5C">
            <w:pPr>
              <w:spacing w:before="0" w:after="0"/>
              <w:rPr>
                <w:rFonts w:cs="Calibri"/>
                <w:sz w:val="22"/>
                <w:szCs w:val="22"/>
                <w:lang w:eastAsia="en-GB"/>
              </w:rPr>
            </w:pPr>
            <w:r w:rsidRPr="000C2C5C">
              <w:rPr>
                <w:rFonts w:cs="Calibri"/>
                <w:sz w:val="22"/>
                <w:szCs w:val="22"/>
                <w:lang w:eastAsia="en-GB"/>
              </w:rPr>
              <w:t>Surplus stock</w:t>
            </w:r>
          </w:p>
        </w:tc>
        <w:tc>
          <w:tcPr>
            <w:tcW w:w="1609" w:type="pct"/>
            <w:tcBorders>
              <w:top w:val="single" w:sz="4" w:space="0" w:color="006666"/>
              <w:left w:val="single" w:sz="4" w:space="0" w:color="006666"/>
              <w:bottom w:val="single" w:sz="4" w:space="0" w:color="006666"/>
              <w:right w:val="single" w:sz="4" w:space="0" w:color="006666"/>
            </w:tcBorders>
            <w:vAlign w:val="center"/>
            <w:hideMark/>
          </w:tcPr>
          <w:p w14:paraId="452EAF7F" w14:textId="77777777" w:rsidR="001F27D2" w:rsidRPr="000C2C5C" w:rsidRDefault="001F27D2" w:rsidP="000C2C5C">
            <w:pPr>
              <w:spacing w:before="0" w:after="0"/>
              <w:rPr>
                <w:rFonts w:cs="Calibri"/>
                <w:sz w:val="22"/>
                <w:szCs w:val="22"/>
                <w:lang w:eastAsia="en-GB"/>
              </w:rPr>
            </w:pPr>
            <w:r w:rsidRPr="000C2C5C">
              <w:rPr>
                <w:rFonts w:cs="Calibri"/>
                <w:sz w:val="22"/>
                <w:szCs w:val="22"/>
                <w:lang w:eastAsia="en-GB"/>
              </w:rPr>
              <w:t>Vacancy rate &lt;2% so no surplus stock assumed</w:t>
            </w:r>
          </w:p>
        </w:tc>
        <w:tc>
          <w:tcPr>
            <w:tcW w:w="873" w:type="pct"/>
            <w:tcBorders>
              <w:top w:val="single" w:sz="4" w:space="0" w:color="006666"/>
              <w:left w:val="single" w:sz="4" w:space="0" w:color="006666"/>
              <w:bottom w:val="single" w:sz="4" w:space="0" w:color="006666"/>
              <w:right w:val="single" w:sz="4" w:space="0" w:color="006666"/>
            </w:tcBorders>
            <w:noWrap/>
            <w:vAlign w:val="center"/>
            <w:hideMark/>
          </w:tcPr>
          <w:p w14:paraId="2B0F7C18" w14:textId="77777777" w:rsidR="001F27D2" w:rsidRPr="000C2C5C" w:rsidRDefault="001F27D2" w:rsidP="000C2C5C">
            <w:pPr>
              <w:spacing w:before="0" w:after="0"/>
              <w:jc w:val="center"/>
              <w:rPr>
                <w:rFonts w:cs="Calibri"/>
                <w:b/>
                <w:bCs/>
                <w:sz w:val="22"/>
                <w:szCs w:val="22"/>
                <w:lang w:eastAsia="en-GB"/>
              </w:rPr>
            </w:pPr>
            <w:r w:rsidRPr="000C2C5C">
              <w:rPr>
                <w:rFonts w:cs="Calibri"/>
                <w:color w:val="000000"/>
                <w:sz w:val="22"/>
                <w:szCs w:val="22"/>
              </w:rPr>
              <w:t>0</w:t>
            </w:r>
          </w:p>
        </w:tc>
      </w:tr>
      <w:tr w:rsidR="001F27D2" w:rsidRPr="002B2A7F" w14:paraId="19F5E357" w14:textId="77777777" w:rsidTr="001F27D2">
        <w:tc>
          <w:tcPr>
            <w:tcW w:w="368" w:type="pct"/>
            <w:tcBorders>
              <w:top w:val="single" w:sz="4" w:space="0" w:color="006666"/>
              <w:left w:val="single" w:sz="4" w:space="0" w:color="006666"/>
              <w:bottom w:val="single" w:sz="4" w:space="0" w:color="006666"/>
              <w:right w:val="single" w:sz="4" w:space="0" w:color="006666"/>
            </w:tcBorders>
            <w:noWrap/>
            <w:vAlign w:val="center"/>
            <w:hideMark/>
          </w:tcPr>
          <w:p w14:paraId="22FB42C7" w14:textId="77777777" w:rsidR="001F27D2" w:rsidRPr="000C2C5C" w:rsidRDefault="001F27D2" w:rsidP="000C2C5C">
            <w:pPr>
              <w:spacing w:before="0" w:after="0"/>
              <w:jc w:val="center"/>
              <w:rPr>
                <w:rFonts w:cs="Calibri"/>
                <w:sz w:val="22"/>
                <w:szCs w:val="22"/>
                <w:lang w:eastAsia="en-GB"/>
              </w:rPr>
            </w:pPr>
            <w:r w:rsidRPr="000C2C5C">
              <w:rPr>
                <w:rFonts w:cs="Calibri"/>
                <w:sz w:val="22"/>
                <w:szCs w:val="22"/>
                <w:lang w:eastAsia="en-GB"/>
              </w:rPr>
              <w:t>3.3</w:t>
            </w:r>
          </w:p>
        </w:tc>
        <w:tc>
          <w:tcPr>
            <w:tcW w:w="2150" w:type="pct"/>
            <w:tcBorders>
              <w:top w:val="single" w:sz="4" w:space="0" w:color="006666"/>
              <w:left w:val="single" w:sz="4" w:space="0" w:color="006666"/>
              <w:bottom w:val="single" w:sz="4" w:space="0" w:color="006666"/>
              <w:right w:val="single" w:sz="4" w:space="0" w:color="006666"/>
            </w:tcBorders>
            <w:vAlign w:val="center"/>
            <w:hideMark/>
          </w:tcPr>
          <w:p w14:paraId="1C3D97C0" w14:textId="77777777" w:rsidR="001F27D2" w:rsidRPr="000C2C5C" w:rsidRDefault="001F27D2" w:rsidP="000C2C5C">
            <w:pPr>
              <w:spacing w:before="0" w:after="0"/>
              <w:rPr>
                <w:rFonts w:cs="Calibri"/>
                <w:sz w:val="22"/>
                <w:szCs w:val="22"/>
                <w:lang w:eastAsia="en-GB"/>
              </w:rPr>
            </w:pPr>
            <w:r w:rsidRPr="000C2C5C">
              <w:rPr>
                <w:rFonts w:cs="Calibri"/>
                <w:sz w:val="22"/>
                <w:szCs w:val="22"/>
                <w:lang w:eastAsia="en-GB"/>
              </w:rPr>
              <w:t>Committed supply of new affordable units</w:t>
            </w:r>
          </w:p>
        </w:tc>
        <w:tc>
          <w:tcPr>
            <w:tcW w:w="1609" w:type="pct"/>
            <w:tcBorders>
              <w:top w:val="single" w:sz="4" w:space="0" w:color="006666"/>
              <w:left w:val="single" w:sz="4" w:space="0" w:color="006666"/>
              <w:bottom w:val="single" w:sz="4" w:space="0" w:color="006666"/>
              <w:right w:val="single" w:sz="4" w:space="0" w:color="006666"/>
            </w:tcBorders>
            <w:vAlign w:val="center"/>
            <w:hideMark/>
          </w:tcPr>
          <w:p w14:paraId="01F350DC" w14:textId="77777777" w:rsidR="001F27D2" w:rsidRPr="000C2C5C" w:rsidRDefault="001F27D2" w:rsidP="000C2C5C">
            <w:pPr>
              <w:spacing w:before="0" w:after="0"/>
              <w:rPr>
                <w:rFonts w:cs="Calibri"/>
                <w:sz w:val="22"/>
                <w:szCs w:val="22"/>
                <w:lang w:eastAsia="en-GB"/>
              </w:rPr>
            </w:pPr>
            <w:r w:rsidRPr="000C2C5C">
              <w:rPr>
                <w:rFonts w:cs="Calibri"/>
                <w:sz w:val="22"/>
                <w:szCs w:val="22"/>
                <w:lang w:eastAsia="en-GB"/>
              </w:rPr>
              <w:t>Estimated 5 years</w:t>
            </w:r>
          </w:p>
        </w:tc>
        <w:tc>
          <w:tcPr>
            <w:tcW w:w="873" w:type="pct"/>
            <w:tcBorders>
              <w:top w:val="single" w:sz="4" w:space="0" w:color="006666"/>
              <w:left w:val="single" w:sz="4" w:space="0" w:color="006666"/>
              <w:bottom w:val="single" w:sz="4" w:space="0" w:color="006666"/>
              <w:right w:val="single" w:sz="4" w:space="0" w:color="006666"/>
            </w:tcBorders>
            <w:noWrap/>
            <w:vAlign w:val="center"/>
            <w:hideMark/>
          </w:tcPr>
          <w:p w14:paraId="6E71AC8F" w14:textId="77777777" w:rsidR="001F27D2" w:rsidRPr="000C2C5C" w:rsidRDefault="001F27D2" w:rsidP="000C2C5C">
            <w:pPr>
              <w:spacing w:before="0" w:after="0"/>
              <w:jc w:val="center"/>
              <w:rPr>
                <w:rFonts w:cs="Calibri"/>
                <w:b/>
                <w:bCs/>
                <w:sz w:val="22"/>
                <w:szCs w:val="22"/>
                <w:lang w:eastAsia="en-GB"/>
              </w:rPr>
            </w:pPr>
            <w:r w:rsidRPr="000C2C5C">
              <w:rPr>
                <w:rFonts w:cs="Calibri"/>
                <w:b/>
                <w:bCs/>
                <w:sz w:val="22"/>
                <w:szCs w:val="22"/>
              </w:rPr>
              <w:t>486</w:t>
            </w:r>
          </w:p>
        </w:tc>
      </w:tr>
      <w:tr w:rsidR="001F27D2" w:rsidRPr="002B2A7F" w14:paraId="48A5B446" w14:textId="77777777" w:rsidTr="001F27D2">
        <w:tc>
          <w:tcPr>
            <w:tcW w:w="368" w:type="pct"/>
            <w:tcBorders>
              <w:top w:val="single" w:sz="4" w:space="0" w:color="006666"/>
              <w:left w:val="single" w:sz="4" w:space="0" w:color="006666"/>
              <w:bottom w:val="single" w:sz="4" w:space="0" w:color="006666"/>
              <w:right w:val="single" w:sz="4" w:space="0" w:color="006666"/>
            </w:tcBorders>
            <w:noWrap/>
            <w:vAlign w:val="center"/>
            <w:hideMark/>
          </w:tcPr>
          <w:p w14:paraId="091F2EB1" w14:textId="77777777" w:rsidR="001F27D2" w:rsidRPr="000C2C5C" w:rsidRDefault="001F27D2" w:rsidP="000C2C5C">
            <w:pPr>
              <w:spacing w:before="0" w:after="0"/>
              <w:jc w:val="center"/>
              <w:rPr>
                <w:rFonts w:cs="Calibri"/>
                <w:sz w:val="22"/>
                <w:szCs w:val="22"/>
                <w:lang w:eastAsia="en-GB"/>
              </w:rPr>
            </w:pPr>
            <w:r w:rsidRPr="000C2C5C">
              <w:rPr>
                <w:rFonts w:cs="Calibri"/>
                <w:sz w:val="22"/>
                <w:szCs w:val="22"/>
                <w:lang w:eastAsia="en-GB"/>
              </w:rPr>
              <w:t>3.4</w:t>
            </w:r>
          </w:p>
        </w:tc>
        <w:tc>
          <w:tcPr>
            <w:tcW w:w="2150" w:type="pct"/>
            <w:tcBorders>
              <w:top w:val="single" w:sz="4" w:space="0" w:color="006666"/>
              <w:left w:val="single" w:sz="4" w:space="0" w:color="006666"/>
              <w:bottom w:val="single" w:sz="4" w:space="0" w:color="006666"/>
              <w:right w:val="single" w:sz="4" w:space="0" w:color="006666"/>
            </w:tcBorders>
            <w:vAlign w:val="center"/>
            <w:hideMark/>
          </w:tcPr>
          <w:p w14:paraId="0C4EE49E" w14:textId="77777777" w:rsidR="001F27D2" w:rsidRPr="000C2C5C" w:rsidRDefault="001F27D2" w:rsidP="000C2C5C">
            <w:pPr>
              <w:spacing w:before="0" w:after="0"/>
              <w:rPr>
                <w:rFonts w:cs="Calibri"/>
                <w:sz w:val="22"/>
                <w:szCs w:val="22"/>
                <w:lang w:eastAsia="en-GB"/>
              </w:rPr>
            </w:pPr>
            <w:r w:rsidRPr="000C2C5C">
              <w:rPr>
                <w:rFonts w:cs="Calibri"/>
                <w:sz w:val="22"/>
                <w:szCs w:val="22"/>
                <w:lang w:eastAsia="en-GB"/>
              </w:rPr>
              <w:t>Units to be taken out of management</w:t>
            </w:r>
          </w:p>
        </w:tc>
        <w:tc>
          <w:tcPr>
            <w:tcW w:w="1609" w:type="pct"/>
            <w:tcBorders>
              <w:top w:val="single" w:sz="4" w:space="0" w:color="006666"/>
              <w:left w:val="single" w:sz="4" w:space="0" w:color="006666"/>
              <w:bottom w:val="single" w:sz="4" w:space="0" w:color="006666"/>
              <w:right w:val="single" w:sz="4" w:space="0" w:color="006666"/>
            </w:tcBorders>
            <w:vAlign w:val="center"/>
            <w:hideMark/>
          </w:tcPr>
          <w:p w14:paraId="49A52A3C" w14:textId="77777777" w:rsidR="001F27D2" w:rsidRPr="000C2C5C" w:rsidRDefault="001F27D2" w:rsidP="000C2C5C">
            <w:pPr>
              <w:spacing w:before="0" w:after="0"/>
              <w:rPr>
                <w:rFonts w:cs="Calibri"/>
                <w:sz w:val="22"/>
                <w:szCs w:val="22"/>
                <w:lang w:eastAsia="en-GB"/>
              </w:rPr>
            </w:pPr>
            <w:r w:rsidRPr="000C2C5C">
              <w:rPr>
                <w:rFonts w:cs="Calibri"/>
                <w:sz w:val="22"/>
                <w:szCs w:val="22"/>
                <w:lang w:eastAsia="en-GB"/>
              </w:rPr>
              <w:t>None assumed</w:t>
            </w:r>
          </w:p>
        </w:tc>
        <w:tc>
          <w:tcPr>
            <w:tcW w:w="873" w:type="pct"/>
            <w:tcBorders>
              <w:top w:val="single" w:sz="4" w:space="0" w:color="006666"/>
              <w:left w:val="single" w:sz="4" w:space="0" w:color="006666"/>
              <w:bottom w:val="single" w:sz="4" w:space="0" w:color="006666"/>
              <w:right w:val="single" w:sz="4" w:space="0" w:color="006666"/>
            </w:tcBorders>
            <w:noWrap/>
            <w:vAlign w:val="center"/>
            <w:hideMark/>
          </w:tcPr>
          <w:p w14:paraId="60521969" w14:textId="77777777" w:rsidR="001F27D2" w:rsidRPr="000C2C5C" w:rsidRDefault="001F27D2" w:rsidP="000C2C5C">
            <w:pPr>
              <w:spacing w:before="0" w:after="0"/>
              <w:jc w:val="center"/>
              <w:rPr>
                <w:rFonts w:cs="Calibri"/>
                <w:b/>
                <w:bCs/>
                <w:sz w:val="22"/>
                <w:szCs w:val="22"/>
                <w:lang w:eastAsia="en-GB"/>
              </w:rPr>
            </w:pPr>
            <w:r w:rsidRPr="000C2C5C">
              <w:rPr>
                <w:rFonts w:cs="Calibri"/>
                <w:color w:val="000000"/>
                <w:sz w:val="22"/>
                <w:szCs w:val="22"/>
              </w:rPr>
              <w:t>0</w:t>
            </w:r>
          </w:p>
        </w:tc>
      </w:tr>
      <w:tr w:rsidR="001F27D2" w:rsidRPr="002B2A7F" w14:paraId="0D1CB8B4" w14:textId="77777777" w:rsidTr="001F27D2">
        <w:tc>
          <w:tcPr>
            <w:tcW w:w="368" w:type="pct"/>
            <w:tcBorders>
              <w:top w:val="single" w:sz="4" w:space="0" w:color="006666"/>
              <w:left w:val="single" w:sz="4" w:space="0" w:color="006666"/>
              <w:bottom w:val="single" w:sz="4" w:space="0" w:color="006666"/>
              <w:right w:val="single" w:sz="4" w:space="0" w:color="006666"/>
            </w:tcBorders>
            <w:noWrap/>
            <w:vAlign w:val="center"/>
            <w:hideMark/>
          </w:tcPr>
          <w:p w14:paraId="1801C72F" w14:textId="77777777" w:rsidR="001F27D2" w:rsidRPr="000C2C5C" w:rsidRDefault="001F27D2" w:rsidP="000C2C5C">
            <w:pPr>
              <w:spacing w:before="0" w:after="0"/>
              <w:jc w:val="center"/>
              <w:rPr>
                <w:rFonts w:cs="Calibri"/>
                <w:sz w:val="22"/>
                <w:szCs w:val="22"/>
                <w:lang w:eastAsia="en-GB"/>
              </w:rPr>
            </w:pPr>
            <w:r w:rsidRPr="000C2C5C">
              <w:rPr>
                <w:rFonts w:cs="Calibri"/>
                <w:sz w:val="22"/>
                <w:szCs w:val="22"/>
                <w:lang w:eastAsia="en-GB"/>
              </w:rPr>
              <w:t>3.5</w:t>
            </w:r>
          </w:p>
        </w:tc>
        <w:tc>
          <w:tcPr>
            <w:tcW w:w="2150" w:type="pct"/>
            <w:tcBorders>
              <w:top w:val="single" w:sz="4" w:space="0" w:color="006666"/>
              <w:left w:val="single" w:sz="4" w:space="0" w:color="006666"/>
              <w:bottom w:val="single" w:sz="4" w:space="0" w:color="006666"/>
              <w:right w:val="single" w:sz="4" w:space="0" w:color="006666"/>
            </w:tcBorders>
            <w:vAlign w:val="center"/>
            <w:hideMark/>
          </w:tcPr>
          <w:p w14:paraId="1743232E" w14:textId="77777777" w:rsidR="001F27D2" w:rsidRPr="000C2C5C" w:rsidRDefault="001F27D2" w:rsidP="000C2C5C">
            <w:pPr>
              <w:spacing w:before="0" w:after="0"/>
              <w:rPr>
                <w:rFonts w:cs="Calibri"/>
                <w:sz w:val="22"/>
                <w:szCs w:val="22"/>
                <w:lang w:eastAsia="en-GB"/>
              </w:rPr>
            </w:pPr>
            <w:r w:rsidRPr="000C2C5C">
              <w:rPr>
                <w:rFonts w:cs="Calibri"/>
                <w:sz w:val="22"/>
                <w:szCs w:val="22"/>
                <w:lang w:eastAsia="en-GB"/>
              </w:rPr>
              <w:t>Total affordable housing stock available</w:t>
            </w:r>
          </w:p>
        </w:tc>
        <w:tc>
          <w:tcPr>
            <w:tcW w:w="1609" w:type="pct"/>
            <w:tcBorders>
              <w:top w:val="single" w:sz="4" w:space="0" w:color="006666"/>
              <w:left w:val="single" w:sz="4" w:space="0" w:color="006666"/>
              <w:bottom w:val="single" w:sz="4" w:space="0" w:color="006666"/>
              <w:right w:val="single" w:sz="4" w:space="0" w:color="006666"/>
            </w:tcBorders>
            <w:vAlign w:val="center"/>
            <w:hideMark/>
          </w:tcPr>
          <w:p w14:paraId="05A94BAB" w14:textId="77777777" w:rsidR="001F27D2" w:rsidRPr="000C2C5C" w:rsidRDefault="001F27D2" w:rsidP="000C2C5C">
            <w:pPr>
              <w:spacing w:before="0" w:after="0"/>
              <w:rPr>
                <w:rFonts w:cs="Calibri"/>
                <w:sz w:val="22"/>
                <w:szCs w:val="22"/>
                <w:lang w:eastAsia="en-GB"/>
              </w:rPr>
            </w:pPr>
            <w:r w:rsidRPr="000C2C5C">
              <w:rPr>
                <w:rFonts w:cs="Calibri"/>
                <w:sz w:val="22"/>
                <w:szCs w:val="22"/>
                <w:lang w:eastAsia="en-GB"/>
              </w:rPr>
              <w:t xml:space="preserve">3.1+3.2+3.3-3.4 </w:t>
            </w:r>
          </w:p>
        </w:tc>
        <w:tc>
          <w:tcPr>
            <w:tcW w:w="873" w:type="pct"/>
            <w:tcBorders>
              <w:top w:val="single" w:sz="4" w:space="0" w:color="006666"/>
              <w:left w:val="single" w:sz="4" w:space="0" w:color="006666"/>
              <w:bottom w:val="single" w:sz="4" w:space="0" w:color="006666"/>
              <w:right w:val="single" w:sz="4" w:space="0" w:color="006666"/>
            </w:tcBorders>
            <w:noWrap/>
            <w:vAlign w:val="center"/>
            <w:hideMark/>
          </w:tcPr>
          <w:p w14:paraId="4AC89C30" w14:textId="77777777" w:rsidR="001F27D2" w:rsidRPr="000C2C5C" w:rsidRDefault="001F27D2" w:rsidP="000C2C5C">
            <w:pPr>
              <w:spacing w:before="0" w:after="0"/>
              <w:jc w:val="center"/>
              <w:rPr>
                <w:rFonts w:cs="Calibri"/>
                <w:b/>
                <w:bCs/>
                <w:sz w:val="22"/>
                <w:szCs w:val="22"/>
                <w:lang w:eastAsia="en-GB"/>
              </w:rPr>
            </w:pPr>
            <w:r w:rsidRPr="000C2C5C">
              <w:rPr>
                <w:rFonts w:cs="Calibri"/>
                <w:b/>
                <w:bCs/>
                <w:sz w:val="22"/>
                <w:szCs w:val="22"/>
              </w:rPr>
              <w:t>910</w:t>
            </w:r>
          </w:p>
        </w:tc>
      </w:tr>
      <w:tr w:rsidR="001F27D2" w:rsidRPr="002B2A7F" w14:paraId="1062BCF6" w14:textId="77777777" w:rsidTr="001F27D2">
        <w:tc>
          <w:tcPr>
            <w:tcW w:w="368" w:type="pct"/>
            <w:tcBorders>
              <w:top w:val="single" w:sz="4" w:space="0" w:color="006666"/>
              <w:left w:val="single" w:sz="4" w:space="0" w:color="006666"/>
              <w:bottom w:val="single" w:sz="4" w:space="0" w:color="006666"/>
              <w:right w:val="single" w:sz="4" w:space="0" w:color="006666"/>
            </w:tcBorders>
            <w:noWrap/>
            <w:vAlign w:val="center"/>
            <w:hideMark/>
          </w:tcPr>
          <w:p w14:paraId="21E68E03" w14:textId="77777777" w:rsidR="001F27D2" w:rsidRPr="000C2C5C" w:rsidRDefault="001F27D2" w:rsidP="000C2C5C">
            <w:pPr>
              <w:spacing w:before="0" w:after="0"/>
              <w:jc w:val="center"/>
              <w:rPr>
                <w:rFonts w:cs="Calibri"/>
                <w:sz w:val="22"/>
                <w:szCs w:val="22"/>
                <w:lang w:eastAsia="en-GB"/>
              </w:rPr>
            </w:pPr>
            <w:r w:rsidRPr="000C2C5C">
              <w:rPr>
                <w:rFonts w:cs="Calibri"/>
                <w:sz w:val="22"/>
                <w:szCs w:val="22"/>
                <w:lang w:eastAsia="en-GB"/>
              </w:rPr>
              <w:t>3.6</w:t>
            </w:r>
          </w:p>
        </w:tc>
        <w:tc>
          <w:tcPr>
            <w:tcW w:w="2150" w:type="pct"/>
            <w:tcBorders>
              <w:top w:val="single" w:sz="4" w:space="0" w:color="006666"/>
              <w:left w:val="single" w:sz="4" w:space="0" w:color="006666"/>
              <w:bottom w:val="single" w:sz="4" w:space="0" w:color="006666"/>
              <w:right w:val="single" w:sz="4" w:space="0" w:color="006666"/>
            </w:tcBorders>
            <w:vAlign w:val="center"/>
            <w:hideMark/>
          </w:tcPr>
          <w:p w14:paraId="24E2BA8B" w14:textId="77777777" w:rsidR="001F27D2" w:rsidRPr="000C2C5C" w:rsidRDefault="001F27D2" w:rsidP="000C2C5C">
            <w:pPr>
              <w:spacing w:before="0" w:after="0"/>
              <w:rPr>
                <w:rFonts w:cs="Calibri"/>
                <w:sz w:val="22"/>
                <w:szCs w:val="22"/>
                <w:lang w:eastAsia="en-GB"/>
              </w:rPr>
            </w:pPr>
            <w:r w:rsidRPr="000C2C5C">
              <w:rPr>
                <w:rFonts w:cs="Calibri"/>
                <w:sz w:val="22"/>
                <w:szCs w:val="22"/>
                <w:lang w:eastAsia="en-GB"/>
              </w:rPr>
              <w:t>Annual supply of social re-lets (net)</w:t>
            </w:r>
          </w:p>
        </w:tc>
        <w:tc>
          <w:tcPr>
            <w:tcW w:w="1609" w:type="pct"/>
            <w:tcBorders>
              <w:top w:val="single" w:sz="4" w:space="0" w:color="006666"/>
              <w:left w:val="single" w:sz="4" w:space="0" w:color="006666"/>
              <w:bottom w:val="single" w:sz="4" w:space="0" w:color="006666"/>
              <w:right w:val="single" w:sz="4" w:space="0" w:color="006666"/>
            </w:tcBorders>
            <w:vAlign w:val="center"/>
            <w:hideMark/>
          </w:tcPr>
          <w:p w14:paraId="291B3BD7" w14:textId="77777777" w:rsidR="001F27D2" w:rsidRPr="000C2C5C" w:rsidRDefault="001F27D2" w:rsidP="000C2C5C">
            <w:pPr>
              <w:spacing w:before="0" w:after="0"/>
              <w:rPr>
                <w:rFonts w:cs="Calibri"/>
                <w:sz w:val="22"/>
                <w:szCs w:val="22"/>
                <w:lang w:eastAsia="en-GB"/>
              </w:rPr>
            </w:pPr>
            <w:r w:rsidRPr="000C2C5C">
              <w:rPr>
                <w:rFonts w:cs="Calibri"/>
                <w:sz w:val="22"/>
                <w:szCs w:val="22"/>
                <w:lang w:eastAsia="en-GB"/>
              </w:rPr>
              <w:t xml:space="preserve">Annual Supply </w:t>
            </w:r>
          </w:p>
        </w:tc>
        <w:tc>
          <w:tcPr>
            <w:tcW w:w="873" w:type="pct"/>
            <w:tcBorders>
              <w:top w:val="single" w:sz="4" w:space="0" w:color="006666"/>
              <w:left w:val="single" w:sz="4" w:space="0" w:color="006666"/>
              <w:bottom w:val="single" w:sz="4" w:space="0" w:color="006666"/>
              <w:right w:val="single" w:sz="4" w:space="0" w:color="006666"/>
            </w:tcBorders>
            <w:noWrap/>
            <w:vAlign w:val="center"/>
            <w:hideMark/>
          </w:tcPr>
          <w:p w14:paraId="14D37CAD" w14:textId="77777777" w:rsidR="001F27D2" w:rsidRPr="000C2C5C" w:rsidRDefault="001F27D2" w:rsidP="000C2C5C">
            <w:pPr>
              <w:spacing w:before="0" w:after="0"/>
              <w:jc w:val="center"/>
              <w:rPr>
                <w:rFonts w:cs="Calibri"/>
                <w:b/>
                <w:bCs/>
                <w:sz w:val="22"/>
                <w:szCs w:val="22"/>
                <w:lang w:eastAsia="en-GB"/>
              </w:rPr>
            </w:pPr>
            <w:r w:rsidRPr="000C2C5C">
              <w:rPr>
                <w:rFonts w:cs="Calibri"/>
                <w:b/>
                <w:bCs/>
                <w:sz w:val="22"/>
                <w:szCs w:val="22"/>
              </w:rPr>
              <w:t>241</w:t>
            </w:r>
          </w:p>
        </w:tc>
      </w:tr>
      <w:tr w:rsidR="001F27D2" w:rsidRPr="002B2A7F" w14:paraId="7B5A7712" w14:textId="77777777" w:rsidTr="001F27D2">
        <w:tc>
          <w:tcPr>
            <w:tcW w:w="368" w:type="pct"/>
            <w:tcBorders>
              <w:top w:val="single" w:sz="4" w:space="0" w:color="006666"/>
              <w:left w:val="single" w:sz="4" w:space="0" w:color="006666"/>
              <w:bottom w:val="single" w:sz="4" w:space="0" w:color="006666"/>
              <w:right w:val="single" w:sz="4" w:space="0" w:color="006666"/>
            </w:tcBorders>
            <w:noWrap/>
            <w:vAlign w:val="center"/>
            <w:hideMark/>
          </w:tcPr>
          <w:p w14:paraId="36F7E11D" w14:textId="77777777" w:rsidR="001F27D2" w:rsidRPr="000C2C5C" w:rsidRDefault="001F27D2" w:rsidP="000C2C5C">
            <w:pPr>
              <w:spacing w:before="0" w:after="0"/>
              <w:jc w:val="center"/>
              <w:rPr>
                <w:rFonts w:cs="Calibri"/>
                <w:sz w:val="22"/>
                <w:szCs w:val="22"/>
                <w:lang w:eastAsia="en-GB"/>
              </w:rPr>
            </w:pPr>
            <w:r w:rsidRPr="000C2C5C">
              <w:rPr>
                <w:rFonts w:cs="Calibri"/>
                <w:sz w:val="22"/>
                <w:szCs w:val="22"/>
                <w:lang w:eastAsia="en-GB"/>
              </w:rPr>
              <w:t>3.7</w:t>
            </w:r>
          </w:p>
        </w:tc>
        <w:tc>
          <w:tcPr>
            <w:tcW w:w="2150" w:type="pct"/>
            <w:tcBorders>
              <w:top w:val="single" w:sz="4" w:space="0" w:color="006666"/>
              <w:left w:val="single" w:sz="4" w:space="0" w:color="006666"/>
              <w:bottom w:val="single" w:sz="4" w:space="0" w:color="006666"/>
              <w:right w:val="single" w:sz="4" w:space="0" w:color="006666"/>
            </w:tcBorders>
            <w:vAlign w:val="center"/>
            <w:hideMark/>
          </w:tcPr>
          <w:p w14:paraId="5E83F4C4" w14:textId="77777777" w:rsidR="001F27D2" w:rsidRPr="000C2C5C" w:rsidRDefault="001F27D2" w:rsidP="000C2C5C">
            <w:pPr>
              <w:spacing w:before="0" w:after="0"/>
              <w:rPr>
                <w:rFonts w:cs="Calibri"/>
                <w:sz w:val="22"/>
                <w:szCs w:val="22"/>
                <w:lang w:eastAsia="en-GB"/>
              </w:rPr>
            </w:pPr>
            <w:r w:rsidRPr="000C2C5C">
              <w:rPr>
                <w:rFonts w:cs="Calibri"/>
                <w:sz w:val="22"/>
                <w:szCs w:val="22"/>
                <w:lang w:eastAsia="en-GB"/>
              </w:rPr>
              <w:t>Annual supply of intermediate affordable housing available for re-let or resale at sub-market levels</w:t>
            </w:r>
          </w:p>
        </w:tc>
        <w:tc>
          <w:tcPr>
            <w:tcW w:w="1609" w:type="pct"/>
            <w:tcBorders>
              <w:top w:val="single" w:sz="4" w:space="0" w:color="006666"/>
              <w:left w:val="single" w:sz="4" w:space="0" w:color="006666"/>
              <w:bottom w:val="single" w:sz="4" w:space="0" w:color="006666"/>
              <w:right w:val="single" w:sz="4" w:space="0" w:color="006666"/>
            </w:tcBorders>
            <w:vAlign w:val="center"/>
            <w:hideMark/>
          </w:tcPr>
          <w:p w14:paraId="0751FE3D" w14:textId="77777777" w:rsidR="001F27D2" w:rsidRPr="000C2C5C" w:rsidRDefault="001F27D2" w:rsidP="000C2C5C">
            <w:pPr>
              <w:spacing w:before="0" w:after="0"/>
              <w:rPr>
                <w:rFonts w:cs="Calibri"/>
                <w:sz w:val="22"/>
                <w:szCs w:val="22"/>
                <w:lang w:eastAsia="en-GB"/>
              </w:rPr>
            </w:pPr>
            <w:r w:rsidRPr="000C2C5C">
              <w:rPr>
                <w:rFonts w:cs="Calibri"/>
                <w:sz w:val="22"/>
                <w:szCs w:val="22"/>
                <w:lang w:eastAsia="en-GB"/>
              </w:rPr>
              <w:t xml:space="preserve">Annual Supply </w:t>
            </w:r>
          </w:p>
        </w:tc>
        <w:tc>
          <w:tcPr>
            <w:tcW w:w="873" w:type="pct"/>
            <w:tcBorders>
              <w:top w:val="single" w:sz="4" w:space="0" w:color="006666"/>
              <w:left w:val="single" w:sz="4" w:space="0" w:color="006666"/>
              <w:bottom w:val="single" w:sz="4" w:space="0" w:color="006666"/>
              <w:right w:val="single" w:sz="4" w:space="0" w:color="006666"/>
            </w:tcBorders>
            <w:noWrap/>
            <w:vAlign w:val="center"/>
            <w:hideMark/>
          </w:tcPr>
          <w:p w14:paraId="6F932760" w14:textId="77777777" w:rsidR="001F27D2" w:rsidRPr="000C2C5C" w:rsidRDefault="001F27D2" w:rsidP="000C2C5C">
            <w:pPr>
              <w:spacing w:before="0" w:after="0"/>
              <w:jc w:val="center"/>
              <w:rPr>
                <w:rFonts w:cs="Calibri"/>
                <w:b/>
                <w:bCs/>
                <w:sz w:val="22"/>
                <w:szCs w:val="22"/>
                <w:lang w:eastAsia="en-GB"/>
              </w:rPr>
            </w:pPr>
            <w:r w:rsidRPr="000C2C5C">
              <w:rPr>
                <w:rFonts w:cs="Calibri"/>
                <w:b/>
                <w:bCs/>
                <w:sz w:val="22"/>
                <w:szCs w:val="22"/>
              </w:rPr>
              <w:t>10</w:t>
            </w:r>
          </w:p>
        </w:tc>
      </w:tr>
      <w:tr w:rsidR="001F27D2" w:rsidRPr="002B2A7F" w14:paraId="66CA4172" w14:textId="77777777" w:rsidTr="001F27D2">
        <w:tc>
          <w:tcPr>
            <w:tcW w:w="368" w:type="pct"/>
            <w:tcBorders>
              <w:top w:val="single" w:sz="4" w:space="0" w:color="006666"/>
              <w:left w:val="single" w:sz="4" w:space="0" w:color="006666"/>
              <w:bottom w:val="single" w:sz="4" w:space="0" w:color="006666"/>
              <w:right w:val="single" w:sz="4" w:space="0" w:color="006666"/>
            </w:tcBorders>
            <w:noWrap/>
            <w:vAlign w:val="center"/>
            <w:hideMark/>
          </w:tcPr>
          <w:p w14:paraId="5896EEA4" w14:textId="77777777" w:rsidR="001F27D2" w:rsidRPr="000C2C5C" w:rsidRDefault="001F27D2" w:rsidP="000C2C5C">
            <w:pPr>
              <w:spacing w:before="0" w:after="0"/>
              <w:jc w:val="center"/>
              <w:rPr>
                <w:rFonts w:cs="Calibri"/>
                <w:sz w:val="22"/>
                <w:szCs w:val="22"/>
                <w:lang w:eastAsia="en-GB"/>
              </w:rPr>
            </w:pPr>
            <w:r w:rsidRPr="000C2C5C">
              <w:rPr>
                <w:rFonts w:cs="Calibri"/>
                <w:sz w:val="22"/>
                <w:szCs w:val="22"/>
                <w:lang w:eastAsia="en-GB"/>
              </w:rPr>
              <w:t>3.8</w:t>
            </w:r>
          </w:p>
        </w:tc>
        <w:tc>
          <w:tcPr>
            <w:tcW w:w="2150" w:type="pct"/>
            <w:tcBorders>
              <w:top w:val="single" w:sz="4" w:space="0" w:color="006666"/>
              <w:left w:val="single" w:sz="4" w:space="0" w:color="006666"/>
              <w:bottom w:val="single" w:sz="4" w:space="0" w:color="006666"/>
              <w:right w:val="single" w:sz="4" w:space="0" w:color="006666"/>
            </w:tcBorders>
            <w:vAlign w:val="bottom"/>
            <w:hideMark/>
          </w:tcPr>
          <w:p w14:paraId="314DE238" w14:textId="77777777" w:rsidR="001F27D2" w:rsidRPr="000C2C5C" w:rsidRDefault="001F27D2" w:rsidP="000C2C5C">
            <w:pPr>
              <w:spacing w:before="0" w:after="0"/>
              <w:rPr>
                <w:rFonts w:cs="Calibri"/>
                <w:b/>
                <w:bCs/>
                <w:sz w:val="22"/>
                <w:szCs w:val="22"/>
                <w:lang w:eastAsia="en-GB"/>
              </w:rPr>
            </w:pPr>
            <w:r w:rsidRPr="000C2C5C">
              <w:rPr>
                <w:rFonts w:cs="Calibri"/>
                <w:b/>
                <w:bCs/>
                <w:sz w:val="22"/>
                <w:szCs w:val="22"/>
                <w:lang w:eastAsia="en-GB"/>
              </w:rPr>
              <w:t>Annual supply of affordable housing</w:t>
            </w:r>
          </w:p>
        </w:tc>
        <w:tc>
          <w:tcPr>
            <w:tcW w:w="1609" w:type="pct"/>
            <w:tcBorders>
              <w:top w:val="single" w:sz="4" w:space="0" w:color="006666"/>
              <w:left w:val="single" w:sz="4" w:space="0" w:color="006666"/>
              <w:bottom w:val="single" w:sz="4" w:space="0" w:color="006666"/>
              <w:right w:val="single" w:sz="4" w:space="0" w:color="006666"/>
            </w:tcBorders>
            <w:vAlign w:val="center"/>
            <w:hideMark/>
          </w:tcPr>
          <w:p w14:paraId="13EC539D" w14:textId="77777777" w:rsidR="001F27D2" w:rsidRPr="000C2C5C" w:rsidRDefault="001F27D2" w:rsidP="000C2C5C">
            <w:pPr>
              <w:spacing w:before="0" w:after="0"/>
              <w:rPr>
                <w:rFonts w:cs="Calibri"/>
                <w:b/>
                <w:bCs/>
                <w:sz w:val="22"/>
                <w:szCs w:val="22"/>
                <w:lang w:eastAsia="en-GB"/>
              </w:rPr>
            </w:pPr>
            <w:r w:rsidRPr="000C2C5C">
              <w:rPr>
                <w:rFonts w:cs="Calibri"/>
                <w:b/>
                <w:bCs/>
                <w:sz w:val="22"/>
                <w:szCs w:val="22"/>
                <w:lang w:eastAsia="en-GB"/>
              </w:rPr>
              <w:t>3.6+3.7</w:t>
            </w:r>
          </w:p>
        </w:tc>
        <w:tc>
          <w:tcPr>
            <w:tcW w:w="873" w:type="pct"/>
            <w:tcBorders>
              <w:top w:val="single" w:sz="4" w:space="0" w:color="006666"/>
              <w:left w:val="single" w:sz="4" w:space="0" w:color="006666"/>
              <w:bottom w:val="single" w:sz="4" w:space="0" w:color="006666"/>
              <w:right w:val="single" w:sz="4" w:space="0" w:color="006666"/>
            </w:tcBorders>
            <w:noWrap/>
            <w:vAlign w:val="center"/>
            <w:hideMark/>
          </w:tcPr>
          <w:p w14:paraId="6C507CA2" w14:textId="77777777" w:rsidR="001F27D2" w:rsidRPr="000C2C5C" w:rsidRDefault="001F27D2" w:rsidP="000C2C5C">
            <w:pPr>
              <w:spacing w:before="0" w:after="0"/>
              <w:jc w:val="center"/>
              <w:rPr>
                <w:rFonts w:cs="Calibri"/>
                <w:b/>
                <w:bCs/>
                <w:sz w:val="22"/>
                <w:szCs w:val="22"/>
                <w:lang w:eastAsia="en-GB"/>
              </w:rPr>
            </w:pPr>
            <w:r w:rsidRPr="000C2C5C">
              <w:rPr>
                <w:rFonts w:cs="Calibri"/>
                <w:b/>
                <w:bCs/>
                <w:sz w:val="22"/>
                <w:szCs w:val="22"/>
              </w:rPr>
              <w:t>251</w:t>
            </w:r>
          </w:p>
        </w:tc>
      </w:tr>
      <w:tr w:rsidR="001F27D2" w:rsidRPr="002B2A7F" w14:paraId="6CCFE48F" w14:textId="77777777" w:rsidTr="001F27D2">
        <w:tc>
          <w:tcPr>
            <w:tcW w:w="5000" w:type="pct"/>
            <w:gridSpan w:val="4"/>
            <w:tcBorders>
              <w:top w:val="single" w:sz="4" w:space="0" w:color="006666"/>
              <w:left w:val="single" w:sz="4" w:space="0" w:color="006666"/>
              <w:bottom w:val="single" w:sz="4" w:space="0" w:color="006666"/>
              <w:right w:val="single" w:sz="4" w:space="0" w:color="006666"/>
            </w:tcBorders>
            <w:noWrap/>
            <w:vAlign w:val="bottom"/>
            <w:hideMark/>
          </w:tcPr>
          <w:p w14:paraId="783D9025" w14:textId="77777777" w:rsidR="001F27D2" w:rsidRPr="000C2C5C" w:rsidRDefault="001F27D2" w:rsidP="000C2C5C">
            <w:pPr>
              <w:spacing w:before="0" w:after="0"/>
              <w:rPr>
                <w:rFonts w:cs="Calibri"/>
                <w:b/>
                <w:bCs/>
                <w:sz w:val="22"/>
                <w:szCs w:val="22"/>
                <w:lang w:eastAsia="en-GB"/>
              </w:rPr>
            </w:pPr>
            <w:r w:rsidRPr="000C2C5C">
              <w:rPr>
                <w:rFonts w:cs="Calibri"/>
                <w:b/>
                <w:bCs/>
                <w:sz w:val="22"/>
                <w:szCs w:val="22"/>
                <w:lang w:eastAsia="en-GB"/>
              </w:rPr>
              <w:t>Stage 4: ESTIMATE OF ANNUAL HOUSING NEED </w:t>
            </w:r>
          </w:p>
        </w:tc>
      </w:tr>
      <w:tr w:rsidR="001F27D2" w:rsidRPr="002B2A7F" w14:paraId="149AFB76" w14:textId="77777777" w:rsidTr="001F27D2">
        <w:tc>
          <w:tcPr>
            <w:tcW w:w="368" w:type="pct"/>
            <w:tcBorders>
              <w:top w:val="single" w:sz="4" w:space="0" w:color="006666"/>
              <w:left w:val="single" w:sz="4" w:space="0" w:color="006666"/>
              <w:bottom w:val="single" w:sz="4" w:space="0" w:color="006666"/>
              <w:right w:val="single" w:sz="4" w:space="0" w:color="006666"/>
            </w:tcBorders>
            <w:noWrap/>
            <w:vAlign w:val="bottom"/>
            <w:hideMark/>
          </w:tcPr>
          <w:p w14:paraId="7E802B5F" w14:textId="77777777" w:rsidR="001F27D2" w:rsidRPr="000C2C5C" w:rsidRDefault="001F27D2" w:rsidP="000C2C5C">
            <w:pPr>
              <w:spacing w:before="0" w:after="0"/>
              <w:jc w:val="center"/>
              <w:rPr>
                <w:rFonts w:cs="Calibri"/>
                <w:sz w:val="22"/>
                <w:szCs w:val="22"/>
                <w:lang w:eastAsia="en-GB"/>
              </w:rPr>
            </w:pPr>
            <w:r w:rsidRPr="000C2C5C">
              <w:rPr>
                <w:rFonts w:cs="Calibri"/>
                <w:sz w:val="22"/>
                <w:szCs w:val="22"/>
                <w:lang w:eastAsia="en-GB"/>
              </w:rPr>
              <w:t>4.1</w:t>
            </w:r>
          </w:p>
        </w:tc>
        <w:tc>
          <w:tcPr>
            <w:tcW w:w="2150" w:type="pct"/>
            <w:tcBorders>
              <w:top w:val="single" w:sz="4" w:space="0" w:color="006666"/>
              <w:left w:val="single" w:sz="4" w:space="0" w:color="006666"/>
              <w:bottom w:val="single" w:sz="4" w:space="0" w:color="006666"/>
              <w:right w:val="single" w:sz="4" w:space="0" w:color="006666"/>
            </w:tcBorders>
            <w:vAlign w:val="center"/>
            <w:hideMark/>
          </w:tcPr>
          <w:p w14:paraId="160CCB3C" w14:textId="77777777" w:rsidR="001F27D2" w:rsidRPr="000C2C5C" w:rsidRDefault="001F27D2" w:rsidP="000C2C5C">
            <w:pPr>
              <w:spacing w:before="0" w:after="0"/>
              <w:rPr>
                <w:rFonts w:cs="Calibri"/>
                <w:sz w:val="22"/>
                <w:szCs w:val="22"/>
                <w:lang w:eastAsia="en-GB"/>
              </w:rPr>
            </w:pPr>
            <w:r w:rsidRPr="000C2C5C">
              <w:rPr>
                <w:rFonts w:cs="Calibri"/>
                <w:sz w:val="22"/>
                <w:szCs w:val="22"/>
                <w:lang w:eastAsia="en-GB"/>
              </w:rPr>
              <w:t xml:space="preserve">Total backlog need </w:t>
            </w:r>
          </w:p>
        </w:tc>
        <w:tc>
          <w:tcPr>
            <w:tcW w:w="1609" w:type="pct"/>
            <w:tcBorders>
              <w:top w:val="single" w:sz="4" w:space="0" w:color="006666"/>
              <w:left w:val="single" w:sz="4" w:space="0" w:color="006666"/>
              <w:bottom w:val="single" w:sz="4" w:space="0" w:color="006666"/>
              <w:right w:val="single" w:sz="4" w:space="0" w:color="006666"/>
            </w:tcBorders>
            <w:noWrap/>
            <w:vAlign w:val="center"/>
            <w:hideMark/>
          </w:tcPr>
          <w:p w14:paraId="03DD69AF" w14:textId="77777777" w:rsidR="001F27D2" w:rsidRPr="000C2C5C" w:rsidRDefault="001F27D2" w:rsidP="000C2C5C">
            <w:pPr>
              <w:spacing w:before="0" w:after="0"/>
              <w:rPr>
                <w:rFonts w:cs="Calibri"/>
                <w:sz w:val="22"/>
                <w:szCs w:val="22"/>
                <w:lang w:eastAsia="en-GB"/>
              </w:rPr>
            </w:pPr>
            <w:r w:rsidRPr="000C2C5C">
              <w:rPr>
                <w:rFonts w:cs="Calibri"/>
                <w:sz w:val="22"/>
                <w:szCs w:val="22"/>
                <w:lang w:eastAsia="en-GB"/>
              </w:rPr>
              <w:t>1.1-3.5</w:t>
            </w:r>
          </w:p>
        </w:tc>
        <w:tc>
          <w:tcPr>
            <w:tcW w:w="873" w:type="pct"/>
            <w:tcBorders>
              <w:top w:val="single" w:sz="4" w:space="0" w:color="006666"/>
              <w:left w:val="single" w:sz="4" w:space="0" w:color="006666"/>
              <w:bottom w:val="single" w:sz="4" w:space="0" w:color="006666"/>
              <w:right w:val="single" w:sz="4" w:space="0" w:color="006666"/>
            </w:tcBorders>
            <w:noWrap/>
            <w:vAlign w:val="center"/>
            <w:hideMark/>
          </w:tcPr>
          <w:p w14:paraId="602C0A7B" w14:textId="77777777" w:rsidR="001F27D2" w:rsidRPr="000C2C5C" w:rsidRDefault="001F27D2" w:rsidP="000C2C5C">
            <w:pPr>
              <w:spacing w:before="0" w:after="0"/>
              <w:jc w:val="center"/>
              <w:rPr>
                <w:rFonts w:cs="Calibri"/>
                <w:b/>
                <w:bCs/>
                <w:sz w:val="22"/>
                <w:szCs w:val="22"/>
                <w:lang w:eastAsia="en-GB"/>
              </w:rPr>
            </w:pPr>
            <w:r w:rsidRPr="000C2C5C">
              <w:rPr>
                <w:rFonts w:cs="Calibri"/>
                <w:b/>
                <w:bCs/>
                <w:sz w:val="22"/>
                <w:szCs w:val="22"/>
              </w:rPr>
              <w:t>485</w:t>
            </w:r>
          </w:p>
        </w:tc>
      </w:tr>
      <w:tr w:rsidR="001F27D2" w:rsidRPr="002B2A7F" w14:paraId="0C5C8BEB" w14:textId="77777777" w:rsidTr="001F27D2">
        <w:tc>
          <w:tcPr>
            <w:tcW w:w="368" w:type="pct"/>
            <w:tcBorders>
              <w:top w:val="single" w:sz="4" w:space="0" w:color="006666"/>
              <w:left w:val="single" w:sz="4" w:space="0" w:color="006666"/>
              <w:bottom w:val="single" w:sz="4" w:space="0" w:color="006666"/>
              <w:right w:val="single" w:sz="4" w:space="0" w:color="006666"/>
            </w:tcBorders>
            <w:noWrap/>
            <w:vAlign w:val="bottom"/>
            <w:hideMark/>
          </w:tcPr>
          <w:p w14:paraId="18AD8B20" w14:textId="77777777" w:rsidR="001F27D2" w:rsidRPr="000C2C5C" w:rsidRDefault="001F27D2" w:rsidP="000C2C5C">
            <w:pPr>
              <w:spacing w:before="0" w:after="0"/>
              <w:jc w:val="center"/>
              <w:rPr>
                <w:rFonts w:cs="Calibri"/>
                <w:sz w:val="22"/>
                <w:szCs w:val="22"/>
                <w:lang w:eastAsia="en-GB"/>
              </w:rPr>
            </w:pPr>
            <w:r w:rsidRPr="000C2C5C">
              <w:rPr>
                <w:rFonts w:cs="Calibri"/>
                <w:sz w:val="22"/>
                <w:szCs w:val="22"/>
                <w:lang w:eastAsia="en-GB"/>
              </w:rPr>
              <w:t>4.2</w:t>
            </w:r>
          </w:p>
        </w:tc>
        <w:tc>
          <w:tcPr>
            <w:tcW w:w="2150" w:type="pct"/>
            <w:tcBorders>
              <w:top w:val="single" w:sz="4" w:space="0" w:color="006666"/>
              <w:left w:val="single" w:sz="4" w:space="0" w:color="006666"/>
              <w:bottom w:val="single" w:sz="4" w:space="0" w:color="006666"/>
              <w:right w:val="single" w:sz="4" w:space="0" w:color="006666"/>
            </w:tcBorders>
            <w:vAlign w:val="center"/>
            <w:hideMark/>
          </w:tcPr>
          <w:p w14:paraId="54BF1960" w14:textId="77777777" w:rsidR="001F27D2" w:rsidRPr="000C2C5C" w:rsidRDefault="001F27D2" w:rsidP="000C2C5C">
            <w:pPr>
              <w:spacing w:before="0" w:after="0"/>
              <w:rPr>
                <w:rFonts w:cs="Calibri"/>
                <w:sz w:val="22"/>
                <w:szCs w:val="22"/>
                <w:lang w:eastAsia="en-GB"/>
              </w:rPr>
            </w:pPr>
            <w:r w:rsidRPr="000C2C5C">
              <w:rPr>
                <w:rFonts w:cs="Calibri"/>
                <w:sz w:val="22"/>
                <w:szCs w:val="22"/>
                <w:lang w:eastAsia="en-GB"/>
              </w:rPr>
              <w:t>Quota to reduce over Plan Period</w:t>
            </w:r>
          </w:p>
        </w:tc>
        <w:tc>
          <w:tcPr>
            <w:tcW w:w="1609" w:type="pct"/>
            <w:tcBorders>
              <w:top w:val="single" w:sz="4" w:space="0" w:color="006666"/>
              <w:left w:val="single" w:sz="4" w:space="0" w:color="006666"/>
              <w:bottom w:val="single" w:sz="4" w:space="0" w:color="006666"/>
              <w:right w:val="single" w:sz="4" w:space="0" w:color="006666"/>
            </w:tcBorders>
            <w:noWrap/>
            <w:vAlign w:val="center"/>
            <w:hideMark/>
          </w:tcPr>
          <w:p w14:paraId="423D4E0B" w14:textId="77777777" w:rsidR="001F27D2" w:rsidRPr="000C2C5C" w:rsidRDefault="001F27D2" w:rsidP="000C2C5C">
            <w:pPr>
              <w:spacing w:before="0" w:after="0"/>
              <w:rPr>
                <w:rFonts w:cs="Calibri"/>
                <w:sz w:val="22"/>
                <w:szCs w:val="22"/>
                <w:lang w:eastAsia="en-GB"/>
              </w:rPr>
            </w:pPr>
            <w:r w:rsidRPr="000C2C5C">
              <w:rPr>
                <w:rFonts w:cs="Calibri"/>
                <w:sz w:val="22"/>
                <w:szCs w:val="22"/>
                <w:lang w:eastAsia="en-GB"/>
              </w:rPr>
              <w:t>Annual reduction</w:t>
            </w:r>
          </w:p>
        </w:tc>
        <w:tc>
          <w:tcPr>
            <w:tcW w:w="873" w:type="pct"/>
            <w:tcBorders>
              <w:top w:val="single" w:sz="4" w:space="0" w:color="006666"/>
              <w:left w:val="single" w:sz="4" w:space="0" w:color="006666"/>
              <w:bottom w:val="single" w:sz="4" w:space="0" w:color="006666"/>
              <w:right w:val="single" w:sz="4" w:space="0" w:color="006666"/>
            </w:tcBorders>
            <w:noWrap/>
            <w:vAlign w:val="center"/>
            <w:hideMark/>
          </w:tcPr>
          <w:p w14:paraId="44E7D17D" w14:textId="77777777" w:rsidR="001F27D2" w:rsidRPr="000C2C5C" w:rsidRDefault="001F27D2" w:rsidP="000C2C5C">
            <w:pPr>
              <w:spacing w:before="0" w:after="0"/>
              <w:jc w:val="center"/>
              <w:rPr>
                <w:rFonts w:cs="Calibri"/>
                <w:b/>
                <w:bCs/>
                <w:sz w:val="22"/>
                <w:szCs w:val="22"/>
                <w:lang w:eastAsia="en-GB"/>
              </w:rPr>
            </w:pPr>
            <w:r w:rsidRPr="000C2C5C">
              <w:rPr>
                <w:rFonts w:cs="Calibri"/>
                <w:color w:val="000000"/>
                <w:sz w:val="22"/>
                <w:szCs w:val="22"/>
              </w:rPr>
              <w:t>20%</w:t>
            </w:r>
          </w:p>
        </w:tc>
      </w:tr>
      <w:tr w:rsidR="001F27D2" w:rsidRPr="002B2A7F" w14:paraId="01AF4131" w14:textId="77777777" w:rsidTr="001F27D2">
        <w:tc>
          <w:tcPr>
            <w:tcW w:w="368" w:type="pct"/>
            <w:tcBorders>
              <w:top w:val="single" w:sz="4" w:space="0" w:color="006666"/>
              <w:left w:val="single" w:sz="4" w:space="0" w:color="006666"/>
              <w:bottom w:val="single" w:sz="4" w:space="0" w:color="006666"/>
              <w:right w:val="single" w:sz="4" w:space="0" w:color="006666"/>
            </w:tcBorders>
            <w:noWrap/>
            <w:vAlign w:val="bottom"/>
            <w:hideMark/>
          </w:tcPr>
          <w:p w14:paraId="5570723D" w14:textId="77777777" w:rsidR="001F27D2" w:rsidRPr="000C2C5C" w:rsidRDefault="001F27D2" w:rsidP="000C2C5C">
            <w:pPr>
              <w:spacing w:before="0" w:after="0"/>
              <w:jc w:val="center"/>
              <w:rPr>
                <w:rFonts w:cs="Calibri"/>
                <w:sz w:val="22"/>
                <w:szCs w:val="22"/>
                <w:lang w:eastAsia="en-GB"/>
              </w:rPr>
            </w:pPr>
            <w:r w:rsidRPr="000C2C5C">
              <w:rPr>
                <w:rFonts w:cs="Calibri"/>
                <w:sz w:val="22"/>
                <w:szCs w:val="22"/>
                <w:lang w:eastAsia="en-GB"/>
              </w:rPr>
              <w:t>4.3</w:t>
            </w:r>
          </w:p>
        </w:tc>
        <w:tc>
          <w:tcPr>
            <w:tcW w:w="2150" w:type="pct"/>
            <w:tcBorders>
              <w:top w:val="single" w:sz="4" w:space="0" w:color="006666"/>
              <w:left w:val="single" w:sz="4" w:space="0" w:color="006666"/>
              <w:bottom w:val="single" w:sz="4" w:space="0" w:color="006666"/>
              <w:right w:val="single" w:sz="4" w:space="0" w:color="006666"/>
            </w:tcBorders>
            <w:vAlign w:val="center"/>
            <w:hideMark/>
          </w:tcPr>
          <w:p w14:paraId="55DB6D05" w14:textId="77777777" w:rsidR="001F27D2" w:rsidRPr="000C2C5C" w:rsidRDefault="001F27D2" w:rsidP="000C2C5C">
            <w:pPr>
              <w:spacing w:before="0" w:after="0"/>
              <w:rPr>
                <w:rFonts w:cs="Calibri"/>
                <w:sz w:val="22"/>
                <w:szCs w:val="22"/>
                <w:lang w:eastAsia="en-GB"/>
              </w:rPr>
            </w:pPr>
            <w:r w:rsidRPr="000C2C5C">
              <w:rPr>
                <w:rFonts w:cs="Calibri"/>
                <w:sz w:val="22"/>
                <w:szCs w:val="22"/>
                <w:lang w:eastAsia="en-GB"/>
              </w:rPr>
              <w:t>Annual backlog reduction</w:t>
            </w:r>
          </w:p>
        </w:tc>
        <w:tc>
          <w:tcPr>
            <w:tcW w:w="1609" w:type="pct"/>
            <w:tcBorders>
              <w:top w:val="single" w:sz="4" w:space="0" w:color="006666"/>
              <w:left w:val="single" w:sz="4" w:space="0" w:color="006666"/>
              <w:bottom w:val="single" w:sz="4" w:space="0" w:color="006666"/>
              <w:right w:val="single" w:sz="4" w:space="0" w:color="006666"/>
            </w:tcBorders>
            <w:noWrap/>
            <w:vAlign w:val="center"/>
            <w:hideMark/>
          </w:tcPr>
          <w:p w14:paraId="5DF23101" w14:textId="77777777" w:rsidR="001F27D2" w:rsidRPr="000C2C5C" w:rsidRDefault="001F27D2" w:rsidP="000C2C5C">
            <w:pPr>
              <w:spacing w:before="0" w:after="0"/>
              <w:rPr>
                <w:rFonts w:cs="Calibri"/>
                <w:sz w:val="22"/>
                <w:szCs w:val="22"/>
                <w:lang w:eastAsia="en-GB"/>
              </w:rPr>
            </w:pPr>
            <w:r w:rsidRPr="000C2C5C">
              <w:rPr>
                <w:rFonts w:cs="Calibri"/>
                <w:sz w:val="22"/>
                <w:szCs w:val="22"/>
                <w:lang w:eastAsia="en-GB"/>
              </w:rPr>
              <w:t>Annual requirement</w:t>
            </w:r>
          </w:p>
        </w:tc>
        <w:tc>
          <w:tcPr>
            <w:tcW w:w="873" w:type="pct"/>
            <w:tcBorders>
              <w:top w:val="single" w:sz="4" w:space="0" w:color="006666"/>
              <w:left w:val="single" w:sz="4" w:space="0" w:color="006666"/>
              <w:bottom w:val="single" w:sz="4" w:space="0" w:color="006666"/>
              <w:right w:val="single" w:sz="4" w:space="0" w:color="006666"/>
            </w:tcBorders>
            <w:noWrap/>
            <w:vAlign w:val="center"/>
            <w:hideMark/>
          </w:tcPr>
          <w:p w14:paraId="2F4EEB8D" w14:textId="77777777" w:rsidR="001F27D2" w:rsidRPr="000C2C5C" w:rsidRDefault="001F27D2" w:rsidP="000C2C5C">
            <w:pPr>
              <w:spacing w:before="0" w:after="0"/>
              <w:jc w:val="center"/>
              <w:rPr>
                <w:rFonts w:cs="Calibri"/>
                <w:b/>
                <w:bCs/>
                <w:sz w:val="22"/>
                <w:szCs w:val="22"/>
                <w:lang w:eastAsia="en-GB"/>
              </w:rPr>
            </w:pPr>
            <w:r w:rsidRPr="000C2C5C">
              <w:rPr>
                <w:rFonts w:cs="Calibri"/>
                <w:b/>
                <w:bCs/>
                <w:sz w:val="22"/>
                <w:szCs w:val="22"/>
              </w:rPr>
              <w:t>97</w:t>
            </w:r>
          </w:p>
        </w:tc>
      </w:tr>
      <w:tr w:rsidR="001F27D2" w:rsidRPr="002B2A7F" w14:paraId="53884D50" w14:textId="77777777" w:rsidTr="001F27D2">
        <w:tc>
          <w:tcPr>
            <w:tcW w:w="368" w:type="pct"/>
            <w:tcBorders>
              <w:top w:val="single" w:sz="4" w:space="0" w:color="006666"/>
              <w:left w:val="single" w:sz="4" w:space="0" w:color="006666"/>
              <w:bottom w:val="single" w:sz="4" w:space="0" w:color="006666"/>
              <w:right w:val="single" w:sz="4" w:space="0" w:color="006666"/>
            </w:tcBorders>
            <w:noWrap/>
            <w:vAlign w:val="bottom"/>
            <w:hideMark/>
          </w:tcPr>
          <w:p w14:paraId="3B64946C" w14:textId="77777777" w:rsidR="001F27D2" w:rsidRPr="000C2C5C" w:rsidRDefault="001F27D2" w:rsidP="000C2C5C">
            <w:pPr>
              <w:spacing w:before="0" w:after="0"/>
              <w:jc w:val="center"/>
              <w:rPr>
                <w:rFonts w:cs="Calibri"/>
                <w:sz w:val="22"/>
                <w:szCs w:val="22"/>
                <w:lang w:eastAsia="en-GB"/>
              </w:rPr>
            </w:pPr>
            <w:r w:rsidRPr="000C2C5C">
              <w:rPr>
                <w:rFonts w:cs="Calibri"/>
                <w:sz w:val="22"/>
                <w:szCs w:val="22"/>
                <w:lang w:eastAsia="en-GB"/>
              </w:rPr>
              <w:t>4.4</w:t>
            </w:r>
          </w:p>
        </w:tc>
        <w:tc>
          <w:tcPr>
            <w:tcW w:w="2150" w:type="pct"/>
            <w:tcBorders>
              <w:top w:val="single" w:sz="4" w:space="0" w:color="006666"/>
              <w:left w:val="single" w:sz="4" w:space="0" w:color="006666"/>
              <w:bottom w:val="single" w:sz="4" w:space="0" w:color="006666"/>
              <w:right w:val="single" w:sz="4" w:space="0" w:color="006666"/>
            </w:tcBorders>
            <w:vAlign w:val="center"/>
            <w:hideMark/>
          </w:tcPr>
          <w:p w14:paraId="1C9EBFBE" w14:textId="77777777" w:rsidR="001F27D2" w:rsidRPr="000C2C5C" w:rsidRDefault="001F27D2" w:rsidP="000C2C5C">
            <w:pPr>
              <w:spacing w:before="0" w:after="0"/>
              <w:rPr>
                <w:rFonts w:cs="Calibri"/>
                <w:sz w:val="22"/>
                <w:szCs w:val="22"/>
                <w:lang w:eastAsia="en-GB"/>
              </w:rPr>
            </w:pPr>
            <w:r w:rsidRPr="000C2C5C">
              <w:rPr>
                <w:rFonts w:cs="Calibri"/>
                <w:sz w:val="22"/>
                <w:szCs w:val="22"/>
                <w:lang w:eastAsia="en-GB"/>
              </w:rPr>
              <w:t xml:space="preserve">Newly-arising need </w:t>
            </w:r>
          </w:p>
        </w:tc>
        <w:tc>
          <w:tcPr>
            <w:tcW w:w="1609" w:type="pct"/>
            <w:tcBorders>
              <w:top w:val="single" w:sz="4" w:space="0" w:color="006666"/>
              <w:left w:val="single" w:sz="4" w:space="0" w:color="006666"/>
              <w:bottom w:val="single" w:sz="4" w:space="0" w:color="006666"/>
              <w:right w:val="single" w:sz="4" w:space="0" w:color="006666"/>
            </w:tcBorders>
            <w:noWrap/>
            <w:vAlign w:val="center"/>
            <w:hideMark/>
          </w:tcPr>
          <w:p w14:paraId="112E919A" w14:textId="77777777" w:rsidR="001F27D2" w:rsidRPr="000C2C5C" w:rsidRDefault="001F27D2" w:rsidP="000C2C5C">
            <w:pPr>
              <w:spacing w:before="0" w:after="0"/>
              <w:rPr>
                <w:rFonts w:cs="Calibri"/>
                <w:sz w:val="22"/>
                <w:szCs w:val="22"/>
                <w:lang w:eastAsia="en-GB"/>
              </w:rPr>
            </w:pPr>
            <w:r w:rsidRPr="000C2C5C">
              <w:rPr>
                <w:rFonts w:cs="Calibri"/>
                <w:sz w:val="22"/>
                <w:szCs w:val="22"/>
                <w:lang w:eastAsia="en-GB"/>
              </w:rPr>
              <w:t>2.4</w:t>
            </w:r>
          </w:p>
        </w:tc>
        <w:tc>
          <w:tcPr>
            <w:tcW w:w="873" w:type="pct"/>
            <w:tcBorders>
              <w:top w:val="single" w:sz="4" w:space="0" w:color="006666"/>
              <w:left w:val="single" w:sz="4" w:space="0" w:color="006666"/>
              <w:bottom w:val="single" w:sz="4" w:space="0" w:color="006666"/>
              <w:right w:val="single" w:sz="4" w:space="0" w:color="006666"/>
            </w:tcBorders>
            <w:noWrap/>
            <w:vAlign w:val="center"/>
            <w:hideMark/>
          </w:tcPr>
          <w:p w14:paraId="42946F8D" w14:textId="77777777" w:rsidR="001F27D2" w:rsidRPr="000C2C5C" w:rsidRDefault="001F27D2" w:rsidP="000C2C5C">
            <w:pPr>
              <w:spacing w:before="0" w:after="0"/>
              <w:jc w:val="center"/>
              <w:rPr>
                <w:rFonts w:cs="Calibri"/>
                <w:b/>
                <w:bCs/>
                <w:sz w:val="22"/>
                <w:szCs w:val="22"/>
                <w:lang w:eastAsia="en-GB"/>
              </w:rPr>
            </w:pPr>
            <w:r w:rsidRPr="000C2C5C">
              <w:rPr>
                <w:rFonts w:cs="Calibri"/>
                <w:b/>
                <w:bCs/>
                <w:sz w:val="22"/>
                <w:szCs w:val="22"/>
              </w:rPr>
              <w:t>418</w:t>
            </w:r>
          </w:p>
        </w:tc>
      </w:tr>
      <w:tr w:rsidR="001F27D2" w:rsidRPr="002B2A7F" w14:paraId="16C15CD5" w14:textId="77777777" w:rsidTr="001F27D2">
        <w:tc>
          <w:tcPr>
            <w:tcW w:w="368" w:type="pct"/>
            <w:tcBorders>
              <w:top w:val="single" w:sz="4" w:space="0" w:color="006666"/>
              <w:left w:val="single" w:sz="4" w:space="0" w:color="006666"/>
              <w:bottom w:val="single" w:sz="4" w:space="0" w:color="006666"/>
              <w:right w:val="single" w:sz="4" w:space="0" w:color="006666"/>
            </w:tcBorders>
            <w:noWrap/>
            <w:vAlign w:val="bottom"/>
            <w:hideMark/>
          </w:tcPr>
          <w:p w14:paraId="2F0ACEC7" w14:textId="77777777" w:rsidR="001F27D2" w:rsidRPr="000C2C5C" w:rsidRDefault="001F27D2" w:rsidP="000C2C5C">
            <w:pPr>
              <w:spacing w:before="0" w:after="0"/>
              <w:jc w:val="center"/>
              <w:rPr>
                <w:rFonts w:cs="Calibri"/>
                <w:sz w:val="22"/>
                <w:szCs w:val="22"/>
                <w:lang w:eastAsia="en-GB"/>
              </w:rPr>
            </w:pPr>
            <w:r w:rsidRPr="000C2C5C">
              <w:rPr>
                <w:rFonts w:cs="Calibri"/>
                <w:sz w:val="22"/>
                <w:szCs w:val="22"/>
                <w:lang w:eastAsia="en-GB"/>
              </w:rPr>
              <w:t>4.5</w:t>
            </w:r>
          </w:p>
        </w:tc>
        <w:tc>
          <w:tcPr>
            <w:tcW w:w="2150" w:type="pct"/>
            <w:tcBorders>
              <w:top w:val="single" w:sz="4" w:space="0" w:color="006666"/>
              <w:left w:val="single" w:sz="4" w:space="0" w:color="006666"/>
              <w:bottom w:val="single" w:sz="4" w:space="0" w:color="006666"/>
              <w:right w:val="single" w:sz="4" w:space="0" w:color="006666"/>
            </w:tcBorders>
            <w:vAlign w:val="center"/>
            <w:hideMark/>
          </w:tcPr>
          <w:p w14:paraId="4CAB8487" w14:textId="77777777" w:rsidR="001F27D2" w:rsidRPr="000C2C5C" w:rsidRDefault="001F27D2" w:rsidP="000C2C5C">
            <w:pPr>
              <w:spacing w:before="0" w:after="0"/>
              <w:rPr>
                <w:rFonts w:cs="Calibri"/>
                <w:sz w:val="22"/>
                <w:szCs w:val="22"/>
                <w:lang w:eastAsia="en-GB"/>
              </w:rPr>
            </w:pPr>
            <w:r w:rsidRPr="000C2C5C">
              <w:rPr>
                <w:rFonts w:cs="Calibri"/>
                <w:sz w:val="22"/>
                <w:szCs w:val="22"/>
                <w:lang w:eastAsia="en-GB"/>
              </w:rPr>
              <w:t xml:space="preserve">Total annual affordable need </w:t>
            </w:r>
          </w:p>
        </w:tc>
        <w:tc>
          <w:tcPr>
            <w:tcW w:w="1609" w:type="pct"/>
            <w:tcBorders>
              <w:top w:val="single" w:sz="4" w:space="0" w:color="006666"/>
              <w:left w:val="single" w:sz="4" w:space="0" w:color="006666"/>
              <w:bottom w:val="single" w:sz="4" w:space="0" w:color="006666"/>
              <w:right w:val="single" w:sz="4" w:space="0" w:color="006666"/>
            </w:tcBorders>
            <w:noWrap/>
            <w:vAlign w:val="center"/>
            <w:hideMark/>
          </w:tcPr>
          <w:p w14:paraId="6B081FE2" w14:textId="77777777" w:rsidR="001F27D2" w:rsidRPr="000C2C5C" w:rsidRDefault="001F27D2" w:rsidP="000C2C5C">
            <w:pPr>
              <w:spacing w:before="0" w:after="0"/>
              <w:rPr>
                <w:rFonts w:cs="Calibri"/>
                <w:sz w:val="22"/>
                <w:szCs w:val="22"/>
                <w:lang w:eastAsia="en-GB"/>
              </w:rPr>
            </w:pPr>
            <w:r w:rsidRPr="000C2C5C">
              <w:rPr>
                <w:rFonts w:cs="Calibri"/>
                <w:sz w:val="22"/>
                <w:szCs w:val="22"/>
                <w:lang w:eastAsia="en-GB"/>
              </w:rPr>
              <w:t>4.3+4.4</w:t>
            </w:r>
          </w:p>
        </w:tc>
        <w:tc>
          <w:tcPr>
            <w:tcW w:w="873" w:type="pct"/>
            <w:tcBorders>
              <w:top w:val="single" w:sz="4" w:space="0" w:color="006666"/>
              <w:left w:val="single" w:sz="4" w:space="0" w:color="006666"/>
              <w:bottom w:val="single" w:sz="4" w:space="0" w:color="006666"/>
              <w:right w:val="single" w:sz="4" w:space="0" w:color="006666"/>
            </w:tcBorders>
            <w:noWrap/>
            <w:vAlign w:val="center"/>
            <w:hideMark/>
          </w:tcPr>
          <w:p w14:paraId="31BC1012" w14:textId="77777777" w:rsidR="001F27D2" w:rsidRPr="000C2C5C" w:rsidRDefault="001F27D2" w:rsidP="000C2C5C">
            <w:pPr>
              <w:spacing w:before="0" w:after="0"/>
              <w:jc w:val="center"/>
              <w:rPr>
                <w:rFonts w:cs="Calibri"/>
                <w:b/>
                <w:bCs/>
                <w:sz w:val="22"/>
                <w:szCs w:val="22"/>
                <w:lang w:eastAsia="en-GB"/>
              </w:rPr>
            </w:pPr>
            <w:r w:rsidRPr="000C2C5C">
              <w:rPr>
                <w:rFonts w:cs="Calibri"/>
                <w:b/>
                <w:bCs/>
                <w:sz w:val="22"/>
                <w:szCs w:val="22"/>
              </w:rPr>
              <w:t>515</w:t>
            </w:r>
          </w:p>
        </w:tc>
      </w:tr>
      <w:tr w:rsidR="001F27D2" w:rsidRPr="002B2A7F" w14:paraId="0B89483F" w14:textId="77777777" w:rsidTr="001F27D2">
        <w:tc>
          <w:tcPr>
            <w:tcW w:w="368" w:type="pct"/>
            <w:tcBorders>
              <w:top w:val="single" w:sz="4" w:space="0" w:color="006666"/>
              <w:left w:val="single" w:sz="4" w:space="0" w:color="006666"/>
              <w:bottom w:val="single" w:sz="4" w:space="0" w:color="006666"/>
              <w:right w:val="single" w:sz="4" w:space="0" w:color="006666"/>
            </w:tcBorders>
            <w:noWrap/>
            <w:vAlign w:val="bottom"/>
            <w:hideMark/>
          </w:tcPr>
          <w:p w14:paraId="13130623" w14:textId="77777777" w:rsidR="001F27D2" w:rsidRPr="000C2C5C" w:rsidRDefault="001F27D2" w:rsidP="000C2C5C">
            <w:pPr>
              <w:spacing w:before="0" w:after="0"/>
              <w:jc w:val="center"/>
              <w:rPr>
                <w:rFonts w:cs="Calibri"/>
                <w:sz w:val="22"/>
                <w:szCs w:val="22"/>
                <w:lang w:eastAsia="en-GB"/>
              </w:rPr>
            </w:pPr>
            <w:r w:rsidRPr="000C2C5C">
              <w:rPr>
                <w:rFonts w:cs="Calibri"/>
                <w:sz w:val="22"/>
                <w:szCs w:val="22"/>
                <w:lang w:eastAsia="en-GB"/>
              </w:rPr>
              <w:t>4.6</w:t>
            </w:r>
          </w:p>
        </w:tc>
        <w:tc>
          <w:tcPr>
            <w:tcW w:w="2150" w:type="pct"/>
            <w:tcBorders>
              <w:top w:val="single" w:sz="4" w:space="0" w:color="006666"/>
              <w:left w:val="single" w:sz="4" w:space="0" w:color="006666"/>
              <w:bottom w:val="single" w:sz="4" w:space="0" w:color="006666"/>
              <w:right w:val="single" w:sz="4" w:space="0" w:color="006666"/>
            </w:tcBorders>
            <w:vAlign w:val="center"/>
            <w:hideMark/>
          </w:tcPr>
          <w:p w14:paraId="5BDF2D60" w14:textId="77777777" w:rsidR="001F27D2" w:rsidRPr="000C2C5C" w:rsidRDefault="001F27D2" w:rsidP="000C2C5C">
            <w:pPr>
              <w:spacing w:before="0" w:after="0"/>
              <w:rPr>
                <w:rFonts w:cs="Calibri"/>
                <w:sz w:val="22"/>
                <w:szCs w:val="22"/>
                <w:lang w:eastAsia="en-GB"/>
              </w:rPr>
            </w:pPr>
            <w:r w:rsidRPr="000C2C5C">
              <w:rPr>
                <w:rFonts w:cs="Calibri"/>
                <w:sz w:val="22"/>
                <w:szCs w:val="22"/>
                <w:lang w:eastAsia="en-GB"/>
              </w:rPr>
              <w:t xml:space="preserve">Annual social rented capacity </w:t>
            </w:r>
          </w:p>
        </w:tc>
        <w:tc>
          <w:tcPr>
            <w:tcW w:w="1609" w:type="pct"/>
            <w:tcBorders>
              <w:top w:val="single" w:sz="4" w:space="0" w:color="006666"/>
              <w:left w:val="single" w:sz="4" w:space="0" w:color="006666"/>
              <w:bottom w:val="single" w:sz="4" w:space="0" w:color="006666"/>
              <w:right w:val="single" w:sz="4" w:space="0" w:color="006666"/>
            </w:tcBorders>
            <w:noWrap/>
            <w:vAlign w:val="center"/>
            <w:hideMark/>
          </w:tcPr>
          <w:p w14:paraId="1BDCB2B7" w14:textId="77777777" w:rsidR="001F27D2" w:rsidRPr="000C2C5C" w:rsidRDefault="001F27D2" w:rsidP="000C2C5C">
            <w:pPr>
              <w:spacing w:before="0" w:after="0"/>
              <w:rPr>
                <w:rFonts w:cs="Calibri"/>
                <w:sz w:val="22"/>
                <w:szCs w:val="22"/>
                <w:lang w:eastAsia="en-GB"/>
              </w:rPr>
            </w:pPr>
            <w:r w:rsidRPr="000C2C5C">
              <w:rPr>
                <w:rFonts w:cs="Calibri"/>
                <w:sz w:val="22"/>
                <w:szCs w:val="22"/>
                <w:lang w:eastAsia="en-GB"/>
              </w:rPr>
              <w:t>3.8</w:t>
            </w:r>
          </w:p>
        </w:tc>
        <w:tc>
          <w:tcPr>
            <w:tcW w:w="873" w:type="pct"/>
            <w:tcBorders>
              <w:top w:val="single" w:sz="4" w:space="0" w:color="006666"/>
              <w:left w:val="single" w:sz="4" w:space="0" w:color="006666"/>
              <w:bottom w:val="single" w:sz="4" w:space="0" w:color="006666"/>
              <w:right w:val="single" w:sz="4" w:space="0" w:color="006666"/>
            </w:tcBorders>
            <w:noWrap/>
            <w:vAlign w:val="center"/>
            <w:hideMark/>
          </w:tcPr>
          <w:p w14:paraId="7CC0CD1A" w14:textId="77777777" w:rsidR="001F27D2" w:rsidRPr="000C2C5C" w:rsidRDefault="001F27D2" w:rsidP="000C2C5C">
            <w:pPr>
              <w:spacing w:before="0" w:after="0"/>
              <w:jc w:val="center"/>
              <w:rPr>
                <w:rFonts w:cs="Calibri"/>
                <w:b/>
                <w:bCs/>
                <w:sz w:val="22"/>
                <w:szCs w:val="22"/>
                <w:lang w:eastAsia="en-GB"/>
              </w:rPr>
            </w:pPr>
            <w:r w:rsidRPr="000C2C5C">
              <w:rPr>
                <w:rFonts w:cs="Calibri"/>
                <w:b/>
                <w:bCs/>
                <w:sz w:val="22"/>
                <w:szCs w:val="22"/>
              </w:rPr>
              <w:t>251</w:t>
            </w:r>
          </w:p>
        </w:tc>
      </w:tr>
      <w:tr w:rsidR="001F27D2" w:rsidRPr="002B2A7F" w14:paraId="586E57A8" w14:textId="77777777" w:rsidTr="001F27D2">
        <w:tc>
          <w:tcPr>
            <w:tcW w:w="368" w:type="pct"/>
            <w:tcBorders>
              <w:top w:val="single" w:sz="4" w:space="0" w:color="006666"/>
              <w:left w:val="single" w:sz="4" w:space="0" w:color="006666"/>
              <w:bottom w:val="single" w:sz="4" w:space="0" w:color="006666"/>
              <w:right w:val="single" w:sz="4" w:space="0" w:color="006666"/>
            </w:tcBorders>
            <w:noWrap/>
            <w:vAlign w:val="bottom"/>
            <w:hideMark/>
          </w:tcPr>
          <w:p w14:paraId="2CA55EA5" w14:textId="77777777" w:rsidR="001F27D2" w:rsidRPr="000C2C5C" w:rsidRDefault="001F27D2" w:rsidP="000C2C5C">
            <w:pPr>
              <w:spacing w:before="0" w:after="0"/>
              <w:jc w:val="center"/>
              <w:rPr>
                <w:rFonts w:cs="Calibri"/>
                <w:sz w:val="22"/>
                <w:szCs w:val="22"/>
                <w:lang w:eastAsia="en-GB"/>
              </w:rPr>
            </w:pPr>
            <w:r w:rsidRPr="000C2C5C">
              <w:rPr>
                <w:rFonts w:cs="Calibri"/>
                <w:sz w:val="22"/>
                <w:szCs w:val="22"/>
                <w:lang w:eastAsia="en-GB"/>
              </w:rPr>
              <w:t>4.7</w:t>
            </w:r>
          </w:p>
        </w:tc>
        <w:tc>
          <w:tcPr>
            <w:tcW w:w="2150" w:type="pct"/>
            <w:tcBorders>
              <w:top w:val="single" w:sz="4" w:space="0" w:color="006666"/>
              <w:left w:val="single" w:sz="4" w:space="0" w:color="006666"/>
              <w:bottom w:val="single" w:sz="4" w:space="0" w:color="006666"/>
              <w:right w:val="single" w:sz="4" w:space="0" w:color="006666"/>
            </w:tcBorders>
            <w:vAlign w:val="bottom"/>
            <w:hideMark/>
          </w:tcPr>
          <w:p w14:paraId="5F2CBDE6" w14:textId="77777777" w:rsidR="001F27D2" w:rsidRPr="000C2C5C" w:rsidRDefault="001F27D2" w:rsidP="000C2C5C">
            <w:pPr>
              <w:spacing w:before="0" w:after="0"/>
              <w:rPr>
                <w:rFonts w:cs="Calibri"/>
                <w:b/>
                <w:bCs/>
                <w:sz w:val="22"/>
                <w:szCs w:val="22"/>
                <w:lang w:eastAsia="en-GB"/>
              </w:rPr>
            </w:pPr>
            <w:r w:rsidRPr="000C2C5C">
              <w:rPr>
                <w:rFonts w:cs="Calibri"/>
                <w:b/>
                <w:bCs/>
                <w:sz w:val="22"/>
                <w:szCs w:val="22"/>
                <w:lang w:eastAsia="en-GB"/>
              </w:rPr>
              <w:t>NET ANNUAL SHORTFALL (4.5-4.6)</w:t>
            </w:r>
          </w:p>
        </w:tc>
        <w:tc>
          <w:tcPr>
            <w:tcW w:w="1609" w:type="pct"/>
            <w:tcBorders>
              <w:top w:val="single" w:sz="4" w:space="0" w:color="006666"/>
              <w:left w:val="single" w:sz="4" w:space="0" w:color="006666"/>
              <w:bottom w:val="single" w:sz="4" w:space="0" w:color="006666"/>
              <w:right w:val="single" w:sz="4" w:space="0" w:color="006666"/>
            </w:tcBorders>
            <w:noWrap/>
            <w:vAlign w:val="center"/>
            <w:hideMark/>
          </w:tcPr>
          <w:p w14:paraId="527E1837" w14:textId="77777777" w:rsidR="001F27D2" w:rsidRPr="000C2C5C" w:rsidRDefault="001F27D2" w:rsidP="000C2C5C">
            <w:pPr>
              <w:spacing w:before="0" w:after="0"/>
              <w:rPr>
                <w:rFonts w:cs="Calibri"/>
                <w:b/>
                <w:bCs/>
                <w:sz w:val="22"/>
                <w:szCs w:val="22"/>
                <w:lang w:eastAsia="en-GB"/>
              </w:rPr>
            </w:pPr>
            <w:r w:rsidRPr="000C2C5C">
              <w:rPr>
                <w:rFonts w:cs="Calibri"/>
                <w:b/>
                <w:bCs/>
                <w:sz w:val="22"/>
                <w:szCs w:val="22"/>
                <w:lang w:eastAsia="en-GB"/>
              </w:rPr>
              <w:t>NET</w:t>
            </w:r>
          </w:p>
        </w:tc>
        <w:tc>
          <w:tcPr>
            <w:tcW w:w="873" w:type="pct"/>
            <w:tcBorders>
              <w:top w:val="single" w:sz="4" w:space="0" w:color="006666"/>
              <w:left w:val="single" w:sz="4" w:space="0" w:color="006666"/>
              <w:bottom w:val="single" w:sz="4" w:space="0" w:color="006666"/>
              <w:right w:val="single" w:sz="4" w:space="0" w:color="006666"/>
            </w:tcBorders>
            <w:noWrap/>
            <w:vAlign w:val="center"/>
            <w:hideMark/>
          </w:tcPr>
          <w:p w14:paraId="4A73D2E4" w14:textId="77777777" w:rsidR="001F27D2" w:rsidRPr="000C2C5C" w:rsidRDefault="001F27D2" w:rsidP="000C2C5C">
            <w:pPr>
              <w:spacing w:before="0" w:after="0"/>
              <w:jc w:val="center"/>
              <w:rPr>
                <w:rFonts w:cs="Calibri"/>
                <w:b/>
                <w:bCs/>
                <w:sz w:val="22"/>
                <w:szCs w:val="22"/>
                <w:lang w:eastAsia="en-GB"/>
              </w:rPr>
            </w:pPr>
            <w:r w:rsidRPr="000C2C5C">
              <w:rPr>
                <w:rFonts w:cs="Calibri"/>
                <w:b/>
                <w:bCs/>
                <w:sz w:val="22"/>
                <w:szCs w:val="22"/>
              </w:rPr>
              <w:t>264</w:t>
            </w:r>
          </w:p>
        </w:tc>
      </w:tr>
    </w:tbl>
    <w:p w14:paraId="1C25B847" w14:textId="77777777" w:rsidR="001F27D2" w:rsidRPr="002B2A7F" w:rsidRDefault="001F27D2" w:rsidP="001F27D2">
      <w:pPr>
        <w:rPr>
          <w:rFonts w:asciiTheme="minorHAnsi" w:hAnsiTheme="minorHAnsi" w:cs="Calibri"/>
          <w:sz w:val="20"/>
          <w:szCs w:val="20"/>
        </w:rPr>
      </w:pPr>
      <w:r w:rsidRPr="002B2A7F">
        <w:rPr>
          <w:rFonts w:asciiTheme="minorHAnsi" w:hAnsiTheme="minorHAnsi" w:cs="Calibri"/>
          <w:sz w:val="20"/>
          <w:szCs w:val="20"/>
        </w:rPr>
        <w:t>Source: 2018 Household Survey; RP Core Lettings and Sales data</w:t>
      </w:r>
    </w:p>
    <w:p w14:paraId="6E1B3303" w14:textId="77777777" w:rsidR="001F27D2" w:rsidRPr="002B2A7F" w:rsidRDefault="001F27D2" w:rsidP="001F27D2">
      <w:pPr>
        <w:rPr>
          <w:rFonts w:asciiTheme="minorHAnsi" w:hAnsiTheme="minorHAnsi" w:cs="Calibri"/>
          <w:highlight w:val="red"/>
        </w:rPr>
      </w:pPr>
      <w:r w:rsidRPr="002B2A7F">
        <w:rPr>
          <w:rFonts w:asciiTheme="minorHAnsi" w:hAnsiTheme="minorHAnsi" w:cs="Calibri"/>
          <w:sz w:val="20"/>
          <w:szCs w:val="20"/>
        </w:rPr>
        <w:t>Data presented in the table may be subject to rounding errors</w:t>
      </w:r>
    </w:p>
    <w:p w14:paraId="2480F546" w14:textId="77777777" w:rsidR="001F27D2" w:rsidRPr="002B2A7F" w:rsidRDefault="001F27D2" w:rsidP="001F27D2">
      <w:pPr>
        <w:rPr>
          <w:rFonts w:asciiTheme="minorHAnsi" w:hAnsiTheme="minorHAnsi" w:cs="Calibri"/>
          <w:highlight w:val="red"/>
        </w:rPr>
        <w:sectPr w:rsidR="001F27D2" w:rsidRPr="002B2A7F" w:rsidSect="00BA2B77">
          <w:headerReference w:type="default" r:id="rId71"/>
          <w:footerReference w:type="default" r:id="rId72"/>
          <w:pgSz w:w="11906" w:h="16838"/>
          <w:pgMar w:top="1440" w:right="1276" w:bottom="1134" w:left="1440" w:header="708" w:footer="708" w:gutter="0"/>
          <w:cols w:space="708"/>
          <w:docGrid w:linePitch="360"/>
        </w:sectPr>
      </w:pPr>
      <w:bookmarkStart w:id="734" w:name="_Toc428528523"/>
    </w:p>
    <w:p w14:paraId="024E4996" w14:textId="77777777" w:rsidR="001F27D2" w:rsidRPr="002B2A7F" w:rsidRDefault="001F27D2" w:rsidP="001F27D2">
      <w:pPr>
        <w:pStyle w:val="Tableheading1"/>
        <w:rPr>
          <w:rFonts w:asciiTheme="minorHAnsi" w:hAnsiTheme="minorHAnsi"/>
          <w:color w:val="009999"/>
        </w:rPr>
      </w:pPr>
      <w:bookmarkStart w:id="735" w:name="_Toc351129759"/>
      <w:bookmarkStart w:id="736" w:name="_Toc399871695"/>
      <w:bookmarkStart w:id="737" w:name="_Toc467784983"/>
      <w:bookmarkStart w:id="738" w:name="_Toc505362722"/>
      <w:bookmarkStart w:id="739" w:name="_Toc529652140"/>
      <w:bookmarkStart w:id="740" w:name="_Toc529739492"/>
      <w:bookmarkStart w:id="741" w:name="_Toc531122984"/>
      <w:bookmarkStart w:id="742" w:name="_Toc532812516"/>
      <w:bookmarkStart w:id="743" w:name="_Toc273698054"/>
      <w:bookmarkStart w:id="744" w:name="_Toc273708387"/>
      <w:bookmarkStart w:id="745" w:name="_Toc280272457"/>
      <w:bookmarkStart w:id="746" w:name="_Toc318323464"/>
      <w:bookmarkStart w:id="747" w:name="_Toc320271457"/>
      <w:bookmarkStart w:id="748" w:name="_Toc321323390"/>
      <w:bookmarkStart w:id="749" w:name="_Toc326077252"/>
      <w:bookmarkEnd w:id="735"/>
      <w:r w:rsidRPr="002B2A7F">
        <w:rPr>
          <w:rFonts w:asciiTheme="minorHAnsi" w:hAnsiTheme="minorHAnsi"/>
          <w:color w:val="009999"/>
        </w:rPr>
        <w:lastRenderedPageBreak/>
        <w:t>Table C2</w:t>
      </w:r>
      <w:r w:rsidRPr="002B2A7F">
        <w:rPr>
          <w:rFonts w:asciiTheme="minorHAnsi" w:hAnsiTheme="minorHAnsi"/>
          <w:color w:val="009999"/>
        </w:rPr>
        <w:tab/>
        <w:t xml:space="preserve">CLG Needs Assessment Summary by </w:t>
      </w:r>
      <w:bookmarkEnd w:id="736"/>
      <w:bookmarkEnd w:id="737"/>
      <w:bookmarkEnd w:id="738"/>
      <w:bookmarkEnd w:id="739"/>
      <w:bookmarkEnd w:id="740"/>
      <w:r w:rsidRPr="002B2A7F">
        <w:rPr>
          <w:rFonts w:asciiTheme="minorHAnsi" w:hAnsiTheme="minorHAnsi"/>
          <w:color w:val="009999"/>
        </w:rPr>
        <w:t>housing market area</w:t>
      </w:r>
      <w:bookmarkEnd w:id="741"/>
      <w:bookmarkEnd w:id="742"/>
    </w:p>
    <w:p w14:paraId="1069BA17" w14:textId="77777777" w:rsidR="001F27D2" w:rsidRPr="002B2A7F" w:rsidRDefault="001F27D2" w:rsidP="000C2C5C">
      <w:pPr>
        <w:ind w:left="851" w:hanging="851"/>
        <w:rPr>
          <w:rFonts w:asciiTheme="minorHAnsi" w:hAnsiTheme="minorHAnsi" w:cs="Calibri"/>
        </w:rPr>
      </w:pPr>
      <w:r w:rsidRPr="002B2A7F">
        <w:rPr>
          <w:rFonts w:asciiTheme="minorHAnsi" w:hAnsiTheme="minorHAnsi" w:cs="Calibri"/>
          <w:noProof/>
          <w:lang w:eastAsia="en-GB"/>
        </w:rPr>
        <w:drawing>
          <wp:inline distT="0" distB="0" distL="0" distR="0" wp14:anchorId="5E58155C" wp14:editId="74385DCF">
            <wp:extent cx="8875395" cy="4938395"/>
            <wp:effectExtent l="0" t="0" r="1905"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8875395" cy="4938395"/>
                    </a:xfrm>
                    <a:prstGeom prst="rect">
                      <a:avLst/>
                    </a:prstGeom>
                  </pic:spPr>
                </pic:pic>
              </a:graphicData>
            </a:graphic>
          </wp:inline>
        </w:drawing>
      </w:r>
    </w:p>
    <w:p w14:paraId="4314B97B" w14:textId="77777777" w:rsidR="001F27D2" w:rsidRPr="002B2A7F" w:rsidRDefault="001F27D2" w:rsidP="001F27D2">
      <w:pPr>
        <w:rPr>
          <w:rFonts w:asciiTheme="minorHAnsi" w:hAnsiTheme="minorHAnsi" w:cs="Calibri"/>
          <w:sz w:val="20"/>
          <w:szCs w:val="20"/>
        </w:rPr>
      </w:pPr>
      <w:r w:rsidRPr="002B2A7F">
        <w:rPr>
          <w:rFonts w:asciiTheme="minorHAnsi" w:hAnsiTheme="minorHAnsi" w:cs="Calibri"/>
          <w:sz w:val="20"/>
          <w:szCs w:val="20"/>
        </w:rPr>
        <w:t xml:space="preserve">Source: 2018 Household Survey; RP Core Lettings and Sales data.                       </w:t>
      </w:r>
    </w:p>
    <w:p w14:paraId="0D1C8C36" w14:textId="77777777" w:rsidR="001F27D2" w:rsidRPr="002B2A7F" w:rsidRDefault="001F27D2" w:rsidP="001F27D2">
      <w:pPr>
        <w:rPr>
          <w:rFonts w:asciiTheme="minorHAnsi" w:hAnsiTheme="minorHAnsi" w:cs="Calibri"/>
          <w:sz w:val="20"/>
          <w:szCs w:val="20"/>
        </w:rPr>
      </w:pPr>
      <w:r w:rsidRPr="002B2A7F">
        <w:rPr>
          <w:rFonts w:asciiTheme="minorHAnsi" w:hAnsiTheme="minorHAnsi" w:cs="Calibri"/>
          <w:sz w:val="20"/>
          <w:szCs w:val="20"/>
        </w:rPr>
        <w:t>Data presented in the table may be subject to rounding errors</w:t>
      </w:r>
    </w:p>
    <w:p w14:paraId="1B3BB602" w14:textId="77777777" w:rsidR="001F27D2" w:rsidRPr="002B2A7F" w:rsidRDefault="001F27D2" w:rsidP="001F27D2">
      <w:pPr>
        <w:rPr>
          <w:rFonts w:asciiTheme="minorHAnsi" w:hAnsiTheme="minorHAnsi" w:cs="Calibri"/>
        </w:rPr>
        <w:sectPr w:rsidR="001F27D2" w:rsidRPr="002B2A7F" w:rsidSect="00BA2B77">
          <w:headerReference w:type="default" r:id="rId74"/>
          <w:footerReference w:type="default" r:id="rId75"/>
          <w:pgSz w:w="16840" w:h="11907" w:orient="landscape" w:code="9"/>
          <w:pgMar w:top="1304" w:right="1304" w:bottom="1304" w:left="1559" w:header="720" w:footer="567" w:gutter="0"/>
          <w:cols w:space="708"/>
          <w:noEndnote/>
          <w:docGrid w:linePitch="326"/>
        </w:sectPr>
      </w:pPr>
    </w:p>
    <w:p w14:paraId="5CC21BA7" w14:textId="77777777" w:rsidR="001F27D2" w:rsidRPr="002B2A7F" w:rsidRDefault="001F27D2" w:rsidP="001F27D2">
      <w:pPr>
        <w:pStyle w:val="Heading2"/>
        <w:ind w:left="2268" w:hanging="1559"/>
        <w:rPr>
          <w:rFonts w:asciiTheme="minorHAnsi" w:hAnsiTheme="minorHAnsi" w:cs="Arial"/>
        </w:rPr>
      </w:pPr>
      <w:bookmarkStart w:id="750" w:name="_Toc391019041"/>
      <w:bookmarkStart w:id="751" w:name="_Toc398751107"/>
      <w:bookmarkStart w:id="752" w:name="_Toc524947363"/>
      <w:bookmarkStart w:id="753" w:name="_Toc400208547"/>
      <w:bookmarkStart w:id="754" w:name="_Toc527709490"/>
      <w:bookmarkStart w:id="755" w:name="_Toc528166057"/>
      <w:bookmarkStart w:id="756" w:name="_Toc531122921"/>
      <w:bookmarkStart w:id="757" w:name="_Toc532812451"/>
      <w:bookmarkStart w:id="758" w:name="_Toc333507794"/>
      <w:bookmarkStart w:id="759" w:name="_Toc360192701"/>
      <w:bookmarkStart w:id="760" w:name="_Toc399864456"/>
      <w:bookmarkStart w:id="761" w:name="_Toc430084616"/>
      <w:bookmarkStart w:id="762" w:name="_Toc430782056"/>
      <w:bookmarkStart w:id="763" w:name="_Toc305277845"/>
      <w:bookmarkStart w:id="764" w:name="_Toc432599071"/>
      <w:bookmarkStart w:id="765" w:name="_Toc319240076"/>
      <w:bookmarkStart w:id="766" w:name="_Toc357939709"/>
      <w:bookmarkStart w:id="767" w:name="_Toc359601890"/>
      <w:bookmarkStart w:id="768" w:name="_Toc505362663"/>
      <w:bookmarkStart w:id="769" w:name="_Toc391314108"/>
      <w:bookmarkStart w:id="770" w:name="_Toc529652026"/>
      <w:bookmarkStart w:id="771" w:name="_Toc529780802"/>
      <w:r w:rsidRPr="002B2A7F">
        <w:rPr>
          <w:rFonts w:asciiTheme="minorHAnsi" w:hAnsiTheme="minorHAnsi" w:cs="Arial"/>
        </w:rPr>
        <w:lastRenderedPageBreak/>
        <w:t>Stage 1:  Current households in affordable housing need</w:t>
      </w:r>
      <w:bookmarkEnd w:id="750"/>
      <w:bookmarkEnd w:id="751"/>
      <w:bookmarkEnd w:id="752"/>
      <w:bookmarkEnd w:id="753"/>
      <w:bookmarkEnd w:id="754"/>
      <w:bookmarkEnd w:id="755"/>
      <w:bookmarkEnd w:id="756"/>
      <w:bookmarkEnd w:id="757"/>
    </w:p>
    <w:p w14:paraId="1DABC6F6" w14:textId="77777777" w:rsidR="001F27D2" w:rsidRPr="002B2A7F" w:rsidRDefault="001F27D2" w:rsidP="007D2B69">
      <w:pPr>
        <w:pStyle w:val="Maintext"/>
        <w:numPr>
          <w:ilvl w:val="1"/>
          <w:numId w:val="34"/>
        </w:numPr>
        <w:spacing w:before="0"/>
        <w:rPr>
          <w:rFonts w:asciiTheme="minorHAnsi" w:hAnsiTheme="minorHAnsi" w:cs="Arial"/>
          <w:iCs/>
        </w:rPr>
      </w:pPr>
      <w:r w:rsidRPr="002B2A7F">
        <w:rPr>
          <w:rFonts w:asciiTheme="minorHAnsi" w:hAnsiTheme="minorHAnsi" w:cs="Arial"/>
          <w:color w:val="0B0B0B"/>
          <w:lang w:val="en-US"/>
        </w:rPr>
        <w:t>PPG 2018 suggests</w:t>
      </w:r>
      <w:r w:rsidRPr="002B2A7F">
        <w:rPr>
          <w:rStyle w:val="FootnoteReference"/>
          <w:rFonts w:asciiTheme="minorHAnsi" w:hAnsiTheme="minorHAnsi" w:cs="Arial"/>
          <w:color w:val="0B0B0B"/>
          <w:lang w:val="en-US"/>
        </w:rPr>
        <w:footnoteReference w:id="26"/>
      </w:r>
      <w:r w:rsidRPr="002B2A7F">
        <w:rPr>
          <w:rFonts w:asciiTheme="minorHAnsi" w:hAnsiTheme="minorHAnsi" w:cs="Arial"/>
          <w:color w:val="0B0B0B"/>
          <w:lang w:val="en-US"/>
        </w:rPr>
        <w:t xml:space="preserve"> how current </w:t>
      </w:r>
      <w:r w:rsidRPr="00BC010F">
        <w:rPr>
          <w:rFonts w:asciiTheme="minorHAnsi" w:hAnsiTheme="minorHAnsi" w:cs="Arial"/>
        </w:rPr>
        <w:t>unmet</w:t>
      </w:r>
      <w:r w:rsidRPr="002B2A7F">
        <w:rPr>
          <w:rFonts w:asciiTheme="minorHAnsi" w:hAnsiTheme="minorHAnsi" w:cs="Arial"/>
          <w:color w:val="0B0B0B"/>
          <w:lang w:val="en-US"/>
        </w:rPr>
        <w:t xml:space="preserve"> gross need for affordable housing should be </w:t>
      </w:r>
      <w:r w:rsidRPr="002B2A7F">
        <w:rPr>
          <w:rFonts w:asciiTheme="minorHAnsi" w:hAnsiTheme="minorHAnsi" w:cs="Arial"/>
          <w:iCs/>
        </w:rPr>
        <w:t xml:space="preserve">calculated with reference to past trends and recording current estimates of: </w:t>
      </w:r>
    </w:p>
    <w:p w14:paraId="61FC976B" w14:textId="77777777" w:rsidR="001F27D2" w:rsidRPr="002B2A7F" w:rsidRDefault="001F27D2" w:rsidP="007D2B69">
      <w:pPr>
        <w:pStyle w:val="Maintext"/>
        <w:numPr>
          <w:ilvl w:val="2"/>
          <w:numId w:val="35"/>
        </w:numPr>
        <w:tabs>
          <w:tab w:val="left" w:pos="720"/>
        </w:tabs>
        <w:spacing w:before="0"/>
        <w:jc w:val="left"/>
        <w:rPr>
          <w:rFonts w:asciiTheme="minorHAnsi" w:hAnsiTheme="minorHAnsi" w:cs="Arial"/>
          <w:iCs/>
        </w:rPr>
      </w:pPr>
      <w:r w:rsidRPr="002B2A7F">
        <w:rPr>
          <w:rFonts w:asciiTheme="minorHAnsi" w:hAnsiTheme="minorHAnsi" w:cs="Arial"/>
          <w:color w:val="0B0B0B"/>
          <w:lang w:val="en-US"/>
        </w:rPr>
        <w:t>the number of homeless households;</w:t>
      </w:r>
    </w:p>
    <w:p w14:paraId="3249CBB9" w14:textId="77777777" w:rsidR="001F27D2" w:rsidRPr="002B2A7F" w:rsidRDefault="001F27D2" w:rsidP="007D2B69">
      <w:pPr>
        <w:pStyle w:val="Maintext"/>
        <w:numPr>
          <w:ilvl w:val="2"/>
          <w:numId w:val="35"/>
        </w:numPr>
        <w:tabs>
          <w:tab w:val="left" w:pos="720"/>
        </w:tabs>
        <w:spacing w:before="0"/>
        <w:jc w:val="left"/>
        <w:rPr>
          <w:rFonts w:asciiTheme="minorHAnsi" w:hAnsiTheme="minorHAnsi" w:cs="Arial"/>
          <w:iCs/>
        </w:rPr>
      </w:pPr>
      <w:r w:rsidRPr="002B2A7F">
        <w:rPr>
          <w:rFonts w:asciiTheme="minorHAnsi" w:hAnsiTheme="minorHAnsi" w:cs="Arial"/>
          <w:color w:val="0B0B0B"/>
          <w:lang w:val="en-US"/>
        </w:rPr>
        <w:t>the number of those in priority need who are currently housed in temporary accommodation;</w:t>
      </w:r>
    </w:p>
    <w:p w14:paraId="5419489B" w14:textId="77777777" w:rsidR="001F27D2" w:rsidRPr="002B2A7F" w:rsidRDefault="001F27D2" w:rsidP="007D2B69">
      <w:pPr>
        <w:pStyle w:val="Maintext"/>
        <w:numPr>
          <w:ilvl w:val="2"/>
          <w:numId w:val="35"/>
        </w:numPr>
        <w:tabs>
          <w:tab w:val="left" w:pos="720"/>
        </w:tabs>
        <w:spacing w:before="0"/>
        <w:jc w:val="left"/>
        <w:rPr>
          <w:rFonts w:asciiTheme="minorHAnsi" w:hAnsiTheme="minorHAnsi" w:cs="Arial"/>
          <w:iCs/>
        </w:rPr>
      </w:pPr>
      <w:r w:rsidRPr="002B2A7F">
        <w:rPr>
          <w:rFonts w:asciiTheme="minorHAnsi" w:hAnsiTheme="minorHAnsi" w:cs="Arial"/>
          <w:color w:val="0B0B0B"/>
          <w:lang w:val="en-US"/>
        </w:rPr>
        <w:t xml:space="preserve">the number of households in over-crowded housing; </w:t>
      </w:r>
    </w:p>
    <w:p w14:paraId="69033853" w14:textId="77777777" w:rsidR="001F27D2" w:rsidRPr="002B2A7F" w:rsidRDefault="001F27D2" w:rsidP="007D2B69">
      <w:pPr>
        <w:pStyle w:val="Maintext"/>
        <w:numPr>
          <w:ilvl w:val="2"/>
          <w:numId w:val="35"/>
        </w:numPr>
        <w:tabs>
          <w:tab w:val="left" w:pos="720"/>
        </w:tabs>
        <w:spacing w:before="0"/>
        <w:jc w:val="left"/>
        <w:rPr>
          <w:rFonts w:asciiTheme="minorHAnsi" w:hAnsiTheme="minorHAnsi" w:cs="Arial"/>
          <w:iCs/>
        </w:rPr>
      </w:pPr>
      <w:r w:rsidRPr="002B2A7F">
        <w:rPr>
          <w:rFonts w:asciiTheme="minorHAnsi" w:hAnsiTheme="minorHAnsi" w:cs="Arial"/>
          <w:color w:val="0B0B0B"/>
          <w:lang w:val="en-US"/>
        </w:rPr>
        <w:t>the number of concealed households;</w:t>
      </w:r>
    </w:p>
    <w:p w14:paraId="3B94B613" w14:textId="77777777" w:rsidR="001F27D2" w:rsidRPr="002B2A7F" w:rsidRDefault="001F27D2" w:rsidP="007D2B69">
      <w:pPr>
        <w:pStyle w:val="Maintext"/>
        <w:numPr>
          <w:ilvl w:val="2"/>
          <w:numId w:val="35"/>
        </w:numPr>
        <w:tabs>
          <w:tab w:val="left" w:pos="720"/>
        </w:tabs>
        <w:spacing w:before="0"/>
        <w:jc w:val="left"/>
        <w:rPr>
          <w:rFonts w:asciiTheme="minorHAnsi" w:hAnsiTheme="minorHAnsi" w:cs="Arial"/>
          <w:iCs/>
        </w:rPr>
      </w:pPr>
      <w:r w:rsidRPr="002B2A7F">
        <w:rPr>
          <w:rFonts w:asciiTheme="minorHAnsi" w:hAnsiTheme="minorHAnsi" w:cs="Arial"/>
          <w:color w:val="0B0B0B"/>
          <w:lang w:val="en-US"/>
        </w:rPr>
        <w:t>the number of existing affordable housing tenants in need (i.e. householders currently housed in unsuitable dwellings);</w:t>
      </w:r>
    </w:p>
    <w:p w14:paraId="5319BC49" w14:textId="77777777" w:rsidR="001F27D2" w:rsidRPr="002B2A7F" w:rsidRDefault="001F27D2" w:rsidP="007D2B69">
      <w:pPr>
        <w:pStyle w:val="Maintext"/>
        <w:numPr>
          <w:ilvl w:val="2"/>
          <w:numId w:val="35"/>
        </w:numPr>
        <w:tabs>
          <w:tab w:val="left" w:pos="720"/>
        </w:tabs>
        <w:spacing w:before="0"/>
        <w:jc w:val="left"/>
        <w:rPr>
          <w:rFonts w:asciiTheme="minorHAnsi" w:hAnsiTheme="minorHAnsi" w:cs="Arial"/>
          <w:iCs/>
        </w:rPr>
      </w:pPr>
      <w:r w:rsidRPr="002B2A7F">
        <w:rPr>
          <w:rFonts w:asciiTheme="minorHAnsi" w:hAnsiTheme="minorHAnsi" w:cs="Arial"/>
          <w:color w:val="0B0B0B"/>
          <w:lang w:val="en-US"/>
        </w:rPr>
        <w:t>the number of households from other tenures in need and those that cannot afford their own homes, either to rent or to own if that is their aspiration.</w:t>
      </w:r>
    </w:p>
    <w:p w14:paraId="1D591E01" w14:textId="77777777" w:rsidR="001F27D2" w:rsidRPr="002B2A7F" w:rsidRDefault="001F27D2" w:rsidP="007D2B69">
      <w:pPr>
        <w:pStyle w:val="Maintext"/>
        <w:numPr>
          <w:ilvl w:val="1"/>
          <w:numId w:val="34"/>
        </w:numPr>
        <w:spacing w:before="0"/>
        <w:rPr>
          <w:rFonts w:asciiTheme="minorHAnsi" w:hAnsiTheme="minorHAnsi" w:cs="Arial"/>
          <w:iCs/>
        </w:rPr>
      </w:pPr>
      <w:r w:rsidRPr="002B2A7F">
        <w:rPr>
          <w:rFonts w:asciiTheme="minorHAnsi" w:hAnsiTheme="minorHAnsi" w:cs="Arial"/>
          <w:iCs/>
        </w:rPr>
        <w:t xml:space="preserve">PPG 2018 notes that care should be taken to avoid double-counting and to only include those </w:t>
      </w:r>
      <w:r w:rsidRPr="00BC010F">
        <w:rPr>
          <w:rFonts w:asciiTheme="minorHAnsi" w:hAnsiTheme="minorHAnsi" w:cs="Arial"/>
        </w:rPr>
        <w:t>households</w:t>
      </w:r>
      <w:r w:rsidRPr="002B2A7F">
        <w:rPr>
          <w:rFonts w:asciiTheme="minorHAnsi" w:hAnsiTheme="minorHAnsi" w:cs="Arial"/>
          <w:iCs/>
        </w:rPr>
        <w:t xml:space="preserve"> who cannot afford to access suitable housing in the market.</w:t>
      </w:r>
    </w:p>
    <w:p w14:paraId="7EE0CBE6" w14:textId="37E51230" w:rsidR="001F27D2" w:rsidRPr="002B2A7F" w:rsidRDefault="001F27D2" w:rsidP="007D2B69">
      <w:pPr>
        <w:pStyle w:val="Maintext"/>
        <w:numPr>
          <w:ilvl w:val="1"/>
          <w:numId w:val="34"/>
        </w:numPr>
        <w:spacing w:before="0"/>
        <w:rPr>
          <w:rFonts w:asciiTheme="minorHAnsi" w:hAnsiTheme="minorHAnsi" w:cs="Arial"/>
        </w:rPr>
      </w:pPr>
      <w:r w:rsidRPr="002B2A7F">
        <w:rPr>
          <w:rFonts w:asciiTheme="minorHAnsi" w:hAnsiTheme="minorHAnsi" w:cs="Arial"/>
          <w:iCs/>
        </w:rPr>
        <w:t xml:space="preserve">Using the 2018 </w:t>
      </w:r>
      <w:r w:rsidRPr="00BC010F">
        <w:rPr>
          <w:rFonts w:asciiTheme="minorHAnsi" w:hAnsiTheme="minorHAnsi" w:cs="Arial"/>
        </w:rPr>
        <w:t>household</w:t>
      </w:r>
      <w:r w:rsidRPr="002B2A7F">
        <w:rPr>
          <w:rFonts w:asciiTheme="minorHAnsi" w:hAnsiTheme="minorHAnsi" w:cs="Arial"/>
          <w:iCs/>
        </w:rPr>
        <w:t xml:space="preserve"> survey evidence, a broad and up to date position on the number of households in overall need can be established (Table C3)</w:t>
      </w:r>
      <w:r w:rsidR="009741AD">
        <w:rPr>
          <w:rFonts w:asciiTheme="minorHAnsi" w:hAnsiTheme="minorHAnsi" w:cs="Arial"/>
          <w:iCs/>
        </w:rPr>
        <w:t>.</w:t>
      </w:r>
    </w:p>
    <w:bookmarkEnd w:id="734"/>
    <w:bookmarkEnd w:id="743"/>
    <w:bookmarkEnd w:id="744"/>
    <w:bookmarkEnd w:id="745"/>
    <w:bookmarkEnd w:id="746"/>
    <w:bookmarkEnd w:id="747"/>
    <w:bookmarkEnd w:id="748"/>
    <w:bookmarkEnd w:id="749"/>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p w14:paraId="10FB37F6" w14:textId="77777777" w:rsidR="001F27D2" w:rsidRPr="002B2A7F" w:rsidRDefault="001F27D2" w:rsidP="001F27D2">
      <w:pPr>
        <w:pStyle w:val="Maintext"/>
        <w:numPr>
          <w:ilvl w:val="0"/>
          <w:numId w:val="0"/>
        </w:numPr>
        <w:rPr>
          <w:rFonts w:asciiTheme="minorHAnsi" w:hAnsiTheme="minorHAnsi" w:cs="Arial"/>
          <w:iCs/>
        </w:rPr>
      </w:pPr>
    </w:p>
    <w:p w14:paraId="109E8028" w14:textId="77777777" w:rsidR="001F27D2" w:rsidRPr="002B2A7F" w:rsidRDefault="001F27D2" w:rsidP="001F27D2">
      <w:pPr>
        <w:pStyle w:val="Heading3"/>
        <w:rPr>
          <w:rFonts w:asciiTheme="minorHAnsi" w:hAnsiTheme="minorHAnsi" w:cs="Arial"/>
        </w:rPr>
      </w:pPr>
      <w:r w:rsidRPr="002B2A7F">
        <w:rPr>
          <w:rFonts w:asciiTheme="minorHAnsi" w:hAnsiTheme="minorHAnsi" w:cs="Arial"/>
        </w:rPr>
        <w:t>Homelessness</w:t>
      </w:r>
    </w:p>
    <w:p w14:paraId="2BA74351" w14:textId="578314DB" w:rsidR="001F27D2" w:rsidRPr="002B2A7F" w:rsidRDefault="001F27D2" w:rsidP="007D2B69">
      <w:pPr>
        <w:pStyle w:val="Maintext"/>
        <w:numPr>
          <w:ilvl w:val="1"/>
          <w:numId w:val="34"/>
        </w:numPr>
        <w:spacing w:before="0"/>
      </w:pPr>
      <w:r w:rsidRPr="002B2A7F">
        <w:t xml:space="preserve">Table C3 considers trends in homelessness. Over the five years 2012/13 to 2016/17, an annual average of 29 </w:t>
      </w:r>
      <w:r w:rsidRPr="00BC010F">
        <w:rPr>
          <w:rFonts w:asciiTheme="minorHAnsi" w:hAnsiTheme="minorHAnsi" w:cs="Arial"/>
        </w:rPr>
        <w:t>decisions</w:t>
      </w:r>
      <w:r w:rsidRPr="002B2A7F">
        <w:t xml:space="preserve"> were made across the </w:t>
      </w:r>
      <w:r w:rsidR="009741AD">
        <w:t>D</w:t>
      </w:r>
      <w:r w:rsidRPr="002B2A7F">
        <w:t>istrict.</w:t>
      </w:r>
    </w:p>
    <w:p w14:paraId="4ACE4A86" w14:textId="77777777" w:rsidR="001F27D2" w:rsidRPr="002B2A7F" w:rsidRDefault="001F27D2" w:rsidP="001F27D2">
      <w:pPr>
        <w:pStyle w:val="Maintext"/>
        <w:numPr>
          <w:ilvl w:val="0"/>
          <w:numId w:val="0"/>
        </w:numPr>
        <w:ind w:left="709"/>
        <w:rPr>
          <w:rFonts w:asciiTheme="minorHAnsi" w:hAnsiTheme="minorHAnsi" w:cs="Arial"/>
          <w:iCs/>
        </w:rPr>
      </w:pPr>
    </w:p>
    <w:tbl>
      <w:tblPr>
        <w:tblW w:w="7043" w:type="dxa"/>
        <w:tblInd w:w="720"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082"/>
        <w:gridCol w:w="4961"/>
      </w:tblGrid>
      <w:tr w:rsidR="001F27D2" w:rsidRPr="002B2A7F" w14:paraId="1905247B" w14:textId="77777777" w:rsidTr="001F27D2">
        <w:tc>
          <w:tcPr>
            <w:tcW w:w="7043" w:type="dxa"/>
            <w:gridSpan w:val="2"/>
            <w:shd w:val="clear" w:color="auto" w:fill="009999"/>
            <w:vAlign w:val="bottom"/>
          </w:tcPr>
          <w:p w14:paraId="670DD72F" w14:textId="209FB83B" w:rsidR="001F27D2" w:rsidRPr="002B2A7F" w:rsidRDefault="001F27D2" w:rsidP="001F27D2">
            <w:pPr>
              <w:pStyle w:val="Tableheading1"/>
              <w:rPr>
                <w:rFonts w:asciiTheme="minorHAnsi" w:hAnsiTheme="minorHAnsi"/>
                <w:color w:val="FFFFFF"/>
                <w:lang w:eastAsia="en-GB"/>
              </w:rPr>
            </w:pPr>
            <w:bookmarkStart w:id="772" w:name="_Toc531122985"/>
            <w:bookmarkStart w:id="773" w:name="_Toc532812517"/>
            <w:r w:rsidRPr="002B2A7F">
              <w:rPr>
                <w:rFonts w:asciiTheme="minorHAnsi" w:hAnsiTheme="minorHAnsi"/>
              </w:rPr>
              <w:t>Table C3</w:t>
            </w:r>
            <w:r w:rsidRPr="002B2A7F">
              <w:rPr>
                <w:rFonts w:asciiTheme="minorHAnsi" w:hAnsiTheme="minorHAnsi"/>
              </w:rPr>
              <w:tab/>
              <w:t>Homeless decisions 2012/13 to 2016/17</w:t>
            </w:r>
            <w:bookmarkEnd w:id="772"/>
            <w:bookmarkEnd w:id="773"/>
          </w:p>
        </w:tc>
      </w:tr>
      <w:tr w:rsidR="001F27D2" w:rsidRPr="002B2A7F" w14:paraId="6A8BEE31" w14:textId="77777777" w:rsidTr="001F27D2">
        <w:tc>
          <w:tcPr>
            <w:tcW w:w="2082" w:type="dxa"/>
            <w:shd w:val="clear" w:color="auto" w:fill="009999"/>
            <w:vAlign w:val="bottom"/>
            <w:hideMark/>
          </w:tcPr>
          <w:p w14:paraId="75554691" w14:textId="77777777" w:rsidR="001F27D2" w:rsidRPr="002B2A7F" w:rsidRDefault="001F27D2" w:rsidP="000C2C5C">
            <w:pPr>
              <w:spacing w:before="0" w:after="0"/>
              <w:rPr>
                <w:rFonts w:asciiTheme="minorHAnsi" w:hAnsiTheme="minorHAnsi" w:cs="Calibri"/>
                <w:b/>
                <w:bCs/>
                <w:color w:val="FFFFFF"/>
                <w:sz w:val="22"/>
                <w:szCs w:val="22"/>
                <w:lang w:eastAsia="en-GB"/>
              </w:rPr>
            </w:pPr>
            <w:r w:rsidRPr="002B2A7F">
              <w:rPr>
                <w:rFonts w:asciiTheme="minorHAnsi" w:hAnsiTheme="minorHAnsi" w:cs="Calibri"/>
                <w:b/>
                <w:bCs/>
                <w:color w:val="FFFFFF"/>
                <w:sz w:val="22"/>
                <w:szCs w:val="22"/>
                <w:lang w:eastAsia="en-GB"/>
              </w:rPr>
              <w:t>Year</w:t>
            </w:r>
          </w:p>
        </w:tc>
        <w:tc>
          <w:tcPr>
            <w:tcW w:w="4961" w:type="dxa"/>
            <w:shd w:val="clear" w:color="auto" w:fill="009999"/>
            <w:vAlign w:val="bottom"/>
            <w:hideMark/>
          </w:tcPr>
          <w:p w14:paraId="6381183E" w14:textId="77777777" w:rsidR="001F27D2" w:rsidRPr="002B2A7F" w:rsidRDefault="001F27D2" w:rsidP="000C2C5C">
            <w:pPr>
              <w:spacing w:before="0" w:after="0"/>
              <w:jc w:val="center"/>
              <w:rPr>
                <w:rFonts w:asciiTheme="minorHAnsi" w:hAnsiTheme="minorHAnsi" w:cs="Calibri"/>
                <w:b/>
                <w:bCs/>
                <w:color w:val="FFFFFF"/>
                <w:sz w:val="22"/>
                <w:szCs w:val="22"/>
                <w:lang w:eastAsia="en-GB"/>
              </w:rPr>
            </w:pPr>
            <w:r w:rsidRPr="002B2A7F">
              <w:rPr>
                <w:rFonts w:asciiTheme="minorHAnsi" w:hAnsiTheme="minorHAnsi" w:cs="Calibri"/>
                <w:b/>
                <w:bCs/>
                <w:color w:val="FFFFFF"/>
                <w:sz w:val="22"/>
                <w:szCs w:val="22"/>
                <w:lang w:eastAsia="en-GB"/>
              </w:rPr>
              <w:t>Decisions made</w:t>
            </w:r>
          </w:p>
        </w:tc>
      </w:tr>
      <w:tr w:rsidR="001F27D2" w:rsidRPr="002B2A7F" w14:paraId="3CAAC1AD" w14:textId="77777777" w:rsidTr="001F27D2">
        <w:tc>
          <w:tcPr>
            <w:tcW w:w="2082" w:type="dxa"/>
            <w:shd w:val="clear" w:color="auto" w:fill="auto"/>
            <w:noWrap/>
            <w:vAlign w:val="bottom"/>
            <w:hideMark/>
          </w:tcPr>
          <w:p w14:paraId="153DCEAE" w14:textId="77777777" w:rsidR="001F27D2" w:rsidRPr="002B2A7F" w:rsidRDefault="001F27D2" w:rsidP="000C2C5C">
            <w:pPr>
              <w:spacing w:before="0" w:after="0"/>
              <w:rPr>
                <w:rFonts w:asciiTheme="minorHAnsi" w:hAnsiTheme="minorHAnsi" w:cs="Calibri"/>
                <w:color w:val="000000"/>
                <w:sz w:val="22"/>
                <w:szCs w:val="22"/>
                <w:lang w:eastAsia="en-GB"/>
              </w:rPr>
            </w:pPr>
            <w:r w:rsidRPr="002B2A7F">
              <w:rPr>
                <w:rFonts w:asciiTheme="minorHAnsi" w:hAnsiTheme="minorHAnsi" w:cs="Calibri"/>
                <w:color w:val="000000"/>
                <w:sz w:val="22"/>
                <w:szCs w:val="22"/>
                <w:lang w:eastAsia="en-GB"/>
              </w:rPr>
              <w:t>2012/13</w:t>
            </w:r>
          </w:p>
        </w:tc>
        <w:tc>
          <w:tcPr>
            <w:tcW w:w="4961" w:type="dxa"/>
            <w:shd w:val="clear" w:color="auto" w:fill="auto"/>
            <w:noWrap/>
            <w:vAlign w:val="bottom"/>
          </w:tcPr>
          <w:p w14:paraId="7F2EACDE" w14:textId="77777777" w:rsidR="001F27D2" w:rsidRPr="002B2A7F" w:rsidRDefault="001F27D2" w:rsidP="000C2C5C">
            <w:pPr>
              <w:spacing w:before="0" w:after="0"/>
              <w:jc w:val="center"/>
              <w:rPr>
                <w:rFonts w:asciiTheme="minorHAnsi" w:hAnsiTheme="minorHAnsi" w:cs="Calibri"/>
                <w:color w:val="000000"/>
                <w:sz w:val="22"/>
                <w:szCs w:val="22"/>
              </w:rPr>
            </w:pPr>
            <w:r w:rsidRPr="002B2A7F">
              <w:rPr>
                <w:rFonts w:asciiTheme="minorHAnsi" w:hAnsiTheme="minorHAnsi" w:cs="Calibri"/>
                <w:color w:val="000000"/>
                <w:sz w:val="22"/>
                <w:szCs w:val="22"/>
              </w:rPr>
              <w:t>12</w:t>
            </w:r>
          </w:p>
        </w:tc>
      </w:tr>
      <w:tr w:rsidR="001F27D2" w:rsidRPr="002B2A7F" w14:paraId="18AF9606" w14:textId="77777777" w:rsidTr="001F27D2">
        <w:tc>
          <w:tcPr>
            <w:tcW w:w="2082" w:type="dxa"/>
            <w:shd w:val="clear" w:color="auto" w:fill="auto"/>
            <w:noWrap/>
            <w:vAlign w:val="bottom"/>
          </w:tcPr>
          <w:p w14:paraId="7DD4DB97" w14:textId="77777777" w:rsidR="001F27D2" w:rsidRPr="002B2A7F" w:rsidRDefault="001F27D2" w:rsidP="000C2C5C">
            <w:pPr>
              <w:spacing w:before="0" w:after="0"/>
              <w:rPr>
                <w:rFonts w:asciiTheme="minorHAnsi" w:hAnsiTheme="minorHAnsi" w:cs="Calibri"/>
                <w:color w:val="000000"/>
                <w:sz w:val="22"/>
                <w:szCs w:val="22"/>
                <w:lang w:eastAsia="en-GB"/>
              </w:rPr>
            </w:pPr>
            <w:r w:rsidRPr="002B2A7F">
              <w:rPr>
                <w:rFonts w:asciiTheme="minorHAnsi" w:hAnsiTheme="minorHAnsi" w:cs="Calibri"/>
                <w:color w:val="000000"/>
                <w:sz w:val="22"/>
                <w:szCs w:val="22"/>
                <w:lang w:eastAsia="en-GB"/>
              </w:rPr>
              <w:t>2013/14</w:t>
            </w:r>
          </w:p>
        </w:tc>
        <w:tc>
          <w:tcPr>
            <w:tcW w:w="4961" w:type="dxa"/>
            <w:shd w:val="clear" w:color="auto" w:fill="auto"/>
            <w:noWrap/>
            <w:vAlign w:val="bottom"/>
          </w:tcPr>
          <w:p w14:paraId="69F93693" w14:textId="77777777" w:rsidR="001F27D2" w:rsidRPr="002B2A7F" w:rsidRDefault="001F27D2" w:rsidP="000C2C5C">
            <w:pPr>
              <w:spacing w:before="0" w:after="0"/>
              <w:jc w:val="center"/>
              <w:rPr>
                <w:rFonts w:asciiTheme="minorHAnsi" w:hAnsiTheme="minorHAnsi" w:cs="Calibri"/>
                <w:color w:val="000000"/>
                <w:sz w:val="22"/>
                <w:szCs w:val="22"/>
              </w:rPr>
            </w:pPr>
            <w:r w:rsidRPr="002B2A7F">
              <w:rPr>
                <w:rFonts w:asciiTheme="minorHAnsi" w:hAnsiTheme="minorHAnsi" w:cs="Calibri"/>
                <w:color w:val="000000"/>
                <w:sz w:val="22"/>
                <w:szCs w:val="22"/>
              </w:rPr>
              <w:t>43</w:t>
            </w:r>
          </w:p>
        </w:tc>
      </w:tr>
      <w:tr w:rsidR="001F27D2" w:rsidRPr="002B2A7F" w14:paraId="1FBC6574" w14:textId="77777777" w:rsidTr="001F27D2">
        <w:tc>
          <w:tcPr>
            <w:tcW w:w="2082" w:type="dxa"/>
            <w:shd w:val="clear" w:color="auto" w:fill="auto"/>
            <w:noWrap/>
            <w:vAlign w:val="bottom"/>
          </w:tcPr>
          <w:p w14:paraId="231B17E2" w14:textId="77777777" w:rsidR="001F27D2" w:rsidRPr="002B2A7F" w:rsidRDefault="001F27D2" w:rsidP="000C2C5C">
            <w:pPr>
              <w:spacing w:before="0" w:after="0"/>
              <w:rPr>
                <w:rFonts w:asciiTheme="minorHAnsi" w:hAnsiTheme="minorHAnsi" w:cs="Calibri"/>
                <w:color w:val="000000"/>
                <w:sz w:val="22"/>
                <w:szCs w:val="22"/>
                <w:lang w:eastAsia="en-GB"/>
              </w:rPr>
            </w:pPr>
            <w:r w:rsidRPr="002B2A7F">
              <w:rPr>
                <w:rFonts w:asciiTheme="minorHAnsi" w:hAnsiTheme="minorHAnsi" w:cs="Calibri"/>
                <w:color w:val="000000"/>
                <w:sz w:val="22"/>
                <w:szCs w:val="22"/>
                <w:lang w:eastAsia="en-GB"/>
              </w:rPr>
              <w:t>2014/15</w:t>
            </w:r>
          </w:p>
        </w:tc>
        <w:tc>
          <w:tcPr>
            <w:tcW w:w="4961" w:type="dxa"/>
            <w:shd w:val="clear" w:color="auto" w:fill="auto"/>
            <w:noWrap/>
            <w:vAlign w:val="bottom"/>
          </w:tcPr>
          <w:p w14:paraId="616FF950" w14:textId="77777777" w:rsidR="001F27D2" w:rsidRPr="002B2A7F" w:rsidRDefault="001F27D2" w:rsidP="000C2C5C">
            <w:pPr>
              <w:spacing w:before="0" w:after="0"/>
              <w:jc w:val="center"/>
              <w:rPr>
                <w:rFonts w:asciiTheme="minorHAnsi" w:hAnsiTheme="minorHAnsi" w:cs="Calibri"/>
                <w:color w:val="000000"/>
                <w:sz w:val="22"/>
                <w:szCs w:val="22"/>
              </w:rPr>
            </w:pPr>
            <w:r w:rsidRPr="002B2A7F">
              <w:rPr>
                <w:rFonts w:asciiTheme="minorHAnsi" w:hAnsiTheme="minorHAnsi" w:cs="Calibri"/>
                <w:color w:val="000000"/>
                <w:sz w:val="22"/>
                <w:szCs w:val="22"/>
              </w:rPr>
              <w:t>30</w:t>
            </w:r>
          </w:p>
        </w:tc>
      </w:tr>
      <w:tr w:rsidR="001F27D2" w:rsidRPr="002B2A7F" w14:paraId="58330441" w14:textId="77777777" w:rsidTr="001F27D2">
        <w:tc>
          <w:tcPr>
            <w:tcW w:w="2082" w:type="dxa"/>
            <w:shd w:val="clear" w:color="auto" w:fill="auto"/>
            <w:noWrap/>
            <w:vAlign w:val="bottom"/>
          </w:tcPr>
          <w:p w14:paraId="198CE27E" w14:textId="77777777" w:rsidR="001F27D2" w:rsidRPr="002B2A7F" w:rsidRDefault="001F27D2" w:rsidP="000C2C5C">
            <w:pPr>
              <w:spacing w:before="0" w:after="0"/>
              <w:rPr>
                <w:rFonts w:asciiTheme="minorHAnsi" w:hAnsiTheme="minorHAnsi" w:cs="Calibri"/>
                <w:color w:val="000000"/>
                <w:sz w:val="22"/>
                <w:szCs w:val="22"/>
                <w:lang w:eastAsia="en-GB"/>
              </w:rPr>
            </w:pPr>
            <w:r w:rsidRPr="002B2A7F">
              <w:rPr>
                <w:rFonts w:asciiTheme="minorHAnsi" w:hAnsiTheme="minorHAnsi" w:cs="Calibri"/>
                <w:color w:val="000000"/>
                <w:sz w:val="22"/>
                <w:szCs w:val="22"/>
                <w:lang w:eastAsia="en-GB"/>
              </w:rPr>
              <w:t>2015/16</w:t>
            </w:r>
          </w:p>
        </w:tc>
        <w:tc>
          <w:tcPr>
            <w:tcW w:w="4961" w:type="dxa"/>
            <w:shd w:val="clear" w:color="auto" w:fill="auto"/>
            <w:noWrap/>
            <w:vAlign w:val="bottom"/>
          </w:tcPr>
          <w:p w14:paraId="4CD9BCF6" w14:textId="77777777" w:rsidR="001F27D2" w:rsidRPr="002B2A7F" w:rsidRDefault="001F27D2" w:rsidP="000C2C5C">
            <w:pPr>
              <w:spacing w:before="0" w:after="0"/>
              <w:jc w:val="center"/>
              <w:rPr>
                <w:rFonts w:asciiTheme="minorHAnsi" w:hAnsiTheme="minorHAnsi" w:cs="Calibri"/>
                <w:sz w:val="22"/>
                <w:szCs w:val="22"/>
              </w:rPr>
            </w:pPr>
            <w:r w:rsidRPr="002B2A7F">
              <w:rPr>
                <w:rFonts w:asciiTheme="minorHAnsi" w:hAnsiTheme="minorHAnsi" w:cs="Calibri"/>
                <w:sz w:val="22"/>
                <w:szCs w:val="22"/>
              </w:rPr>
              <w:t>35</w:t>
            </w:r>
          </w:p>
        </w:tc>
      </w:tr>
      <w:tr w:rsidR="001F27D2" w:rsidRPr="002B2A7F" w14:paraId="3889167A" w14:textId="77777777" w:rsidTr="001F27D2">
        <w:tc>
          <w:tcPr>
            <w:tcW w:w="2082" w:type="dxa"/>
            <w:shd w:val="clear" w:color="auto" w:fill="auto"/>
            <w:noWrap/>
            <w:vAlign w:val="bottom"/>
          </w:tcPr>
          <w:p w14:paraId="3837181E" w14:textId="77777777" w:rsidR="001F27D2" w:rsidRPr="002B2A7F" w:rsidRDefault="001F27D2" w:rsidP="000C2C5C">
            <w:pPr>
              <w:spacing w:before="0" w:after="0"/>
              <w:rPr>
                <w:rFonts w:asciiTheme="minorHAnsi" w:hAnsiTheme="minorHAnsi" w:cs="Calibri"/>
                <w:color w:val="000000"/>
                <w:sz w:val="22"/>
                <w:szCs w:val="22"/>
                <w:lang w:eastAsia="en-GB"/>
              </w:rPr>
            </w:pPr>
            <w:r w:rsidRPr="002B2A7F">
              <w:rPr>
                <w:rFonts w:asciiTheme="minorHAnsi" w:hAnsiTheme="minorHAnsi" w:cs="Calibri"/>
                <w:color w:val="000000"/>
                <w:sz w:val="22"/>
                <w:szCs w:val="22"/>
                <w:lang w:eastAsia="en-GB"/>
              </w:rPr>
              <w:t>2016/17</w:t>
            </w:r>
          </w:p>
        </w:tc>
        <w:tc>
          <w:tcPr>
            <w:tcW w:w="4961" w:type="dxa"/>
            <w:shd w:val="clear" w:color="auto" w:fill="auto"/>
            <w:noWrap/>
            <w:vAlign w:val="bottom"/>
          </w:tcPr>
          <w:p w14:paraId="34A4FCF5" w14:textId="77777777" w:rsidR="001F27D2" w:rsidRPr="002B2A7F" w:rsidRDefault="001F27D2" w:rsidP="000C2C5C">
            <w:pPr>
              <w:spacing w:before="0" w:after="0"/>
              <w:jc w:val="center"/>
              <w:rPr>
                <w:rFonts w:asciiTheme="minorHAnsi" w:hAnsiTheme="minorHAnsi" w:cs="Calibri"/>
                <w:sz w:val="22"/>
                <w:szCs w:val="22"/>
              </w:rPr>
            </w:pPr>
            <w:r w:rsidRPr="002B2A7F">
              <w:rPr>
                <w:rFonts w:asciiTheme="minorHAnsi" w:hAnsiTheme="minorHAnsi" w:cs="Calibri"/>
                <w:sz w:val="22"/>
                <w:szCs w:val="22"/>
              </w:rPr>
              <w:t>25</w:t>
            </w:r>
          </w:p>
        </w:tc>
      </w:tr>
      <w:tr w:rsidR="001F27D2" w:rsidRPr="002B2A7F" w14:paraId="5D14EA95" w14:textId="77777777" w:rsidTr="001F27D2">
        <w:tc>
          <w:tcPr>
            <w:tcW w:w="2082" w:type="dxa"/>
            <w:shd w:val="clear" w:color="auto" w:fill="auto"/>
            <w:noWrap/>
            <w:vAlign w:val="bottom"/>
            <w:hideMark/>
          </w:tcPr>
          <w:p w14:paraId="7E300721" w14:textId="77777777" w:rsidR="001F27D2" w:rsidRPr="002B2A7F" w:rsidRDefault="001F27D2" w:rsidP="000C2C5C">
            <w:pPr>
              <w:spacing w:before="0" w:after="0"/>
              <w:rPr>
                <w:rFonts w:asciiTheme="minorHAnsi" w:hAnsiTheme="minorHAnsi" w:cs="Calibri"/>
                <w:color w:val="000000"/>
                <w:sz w:val="22"/>
                <w:szCs w:val="22"/>
                <w:lang w:eastAsia="en-GB"/>
              </w:rPr>
            </w:pPr>
            <w:r w:rsidRPr="002B2A7F">
              <w:rPr>
                <w:rFonts w:asciiTheme="minorHAnsi" w:hAnsiTheme="minorHAnsi" w:cs="Calibri"/>
                <w:color w:val="000000"/>
                <w:sz w:val="22"/>
                <w:szCs w:val="22"/>
                <w:lang w:eastAsia="en-GB"/>
              </w:rPr>
              <w:t>Total</w:t>
            </w:r>
          </w:p>
        </w:tc>
        <w:tc>
          <w:tcPr>
            <w:tcW w:w="4961" w:type="dxa"/>
            <w:shd w:val="clear" w:color="auto" w:fill="auto"/>
            <w:noWrap/>
            <w:vAlign w:val="bottom"/>
          </w:tcPr>
          <w:p w14:paraId="138E81C4" w14:textId="77777777" w:rsidR="001F27D2" w:rsidRPr="002B2A7F" w:rsidRDefault="001F27D2" w:rsidP="000C2C5C">
            <w:pPr>
              <w:spacing w:before="0" w:after="0"/>
              <w:jc w:val="center"/>
              <w:rPr>
                <w:rFonts w:asciiTheme="minorHAnsi" w:hAnsiTheme="minorHAnsi" w:cs="Calibri"/>
                <w:color w:val="000000"/>
                <w:sz w:val="22"/>
                <w:szCs w:val="22"/>
              </w:rPr>
            </w:pPr>
            <w:r w:rsidRPr="002B2A7F">
              <w:rPr>
                <w:rFonts w:asciiTheme="minorHAnsi" w:hAnsiTheme="minorHAnsi" w:cs="Calibri"/>
                <w:color w:val="000000"/>
                <w:sz w:val="22"/>
                <w:szCs w:val="22"/>
              </w:rPr>
              <w:t>145</w:t>
            </w:r>
          </w:p>
        </w:tc>
      </w:tr>
      <w:tr w:rsidR="001F27D2" w:rsidRPr="002B2A7F" w14:paraId="56FA8C36" w14:textId="77777777" w:rsidTr="001F27D2">
        <w:tc>
          <w:tcPr>
            <w:tcW w:w="2082" w:type="dxa"/>
            <w:shd w:val="clear" w:color="auto" w:fill="auto"/>
            <w:noWrap/>
            <w:vAlign w:val="bottom"/>
            <w:hideMark/>
          </w:tcPr>
          <w:p w14:paraId="067840AE" w14:textId="77777777" w:rsidR="001F27D2" w:rsidRPr="002B2A7F" w:rsidRDefault="001F27D2" w:rsidP="000C2C5C">
            <w:pPr>
              <w:spacing w:before="0" w:after="0"/>
              <w:rPr>
                <w:rFonts w:asciiTheme="minorHAnsi" w:hAnsiTheme="minorHAnsi" w:cs="Calibri"/>
                <w:color w:val="000000"/>
                <w:sz w:val="22"/>
                <w:szCs w:val="22"/>
                <w:lang w:eastAsia="en-GB"/>
              </w:rPr>
            </w:pPr>
            <w:r w:rsidRPr="002B2A7F">
              <w:rPr>
                <w:rFonts w:asciiTheme="minorHAnsi" w:hAnsiTheme="minorHAnsi" w:cs="Calibri"/>
                <w:color w:val="000000"/>
                <w:sz w:val="22"/>
                <w:szCs w:val="22"/>
                <w:lang w:eastAsia="en-GB"/>
              </w:rPr>
              <w:t>Annual Average</w:t>
            </w:r>
          </w:p>
        </w:tc>
        <w:tc>
          <w:tcPr>
            <w:tcW w:w="4961" w:type="dxa"/>
            <w:shd w:val="clear" w:color="auto" w:fill="auto"/>
            <w:noWrap/>
            <w:vAlign w:val="bottom"/>
          </w:tcPr>
          <w:p w14:paraId="4E5611ED" w14:textId="77777777" w:rsidR="001F27D2" w:rsidRPr="002B2A7F" w:rsidRDefault="001F27D2" w:rsidP="000C2C5C">
            <w:pPr>
              <w:spacing w:before="0" w:after="0"/>
              <w:jc w:val="center"/>
              <w:rPr>
                <w:rFonts w:asciiTheme="minorHAnsi" w:hAnsiTheme="minorHAnsi" w:cs="Calibri"/>
                <w:color w:val="000000"/>
                <w:sz w:val="22"/>
                <w:szCs w:val="22"/>
              </w:rPr>
            </w:pPr>
            <w:r w:rsidRPr="002B2A7F">
              <w:rPr>
                <w:rFonts w:asciiTheme="minorHAnsi" w:hAnsiTheme="minorHAnsi" w:cs="Calibri"/>
                <w:color w:val="000000"/>
                <w:sz w:val="22"/>
                <w:szCs w:val="22"/>
              </w:rPr>
              <w:t>29</w:t>
            </w:r>
          </w:p>
        </w:tc>
      </w:tr>
    </w:tbl>
    <w:p w14:paraId="64E1C8A9" w14:textId="77777777" w:rsidR="001F27D2" w:rsidRPr="002B2A7F" w:rsidRDefault="001F27D2" w:rsidP="001F27D2">
      <w:pPr>
        <w:ind w:left="709"/>
        <w:rPr>
          <w:rFonts w:asciiTheme="minorHAnsi" w:hAnsiTheme="minorHAnsi" w:cs="Calibri"/>
          <w:sz w:val="20"/>
          <w:szCs w:val="20"/>
        </w:rPr>
      </w:pPr>
      <w:r w:rsidRPr="002B2A7F">
        <w:rPr>
          <w:rFonts w:asciiTheme="minorHAnsi" w:hAnsiTheme="minorHAnsi" w:cs="Calibri"/>
          <w:sz w:val="20"/>
          <w:szCs w:val="20"/>
        </w:rPr>
        <w:t>Source: MHCLG Homelessness Statistics</w:t>
      </w:r>
    </w:p>
    <w:p w14:paraId="44DBDB74" w14:textId="77777777" w:rsidR="001F27D2" w:rsidRPr="002B2A7F" w:rsidRDefault="001F27D2" w:rsidP="001F27D2">
      <w:pPr>
        <w:pStyle w:val="Maintext"/>
        <w:numPr>
          <w:ilvl w:val="0"/>
          <w:numId w:val="0"/>
        </w:numPr>
        <w:ind w:left="709"/>
        <w:rPr>
          <w:rFonts w:asciiTheme="minorHAnsi" w:hAnsiTheme="minorHAnsi" w:cs="Arial"/>
          <w:iCs/>
        </w:rPr>
      </w:pPr>
    </w:p>
    <w:p w14:paraId="417EC5BC" w14:textId="77777777" w:rsidR="001F27D2" w:rsidRPr="002B2A7F" w:rsidRDefault="001F27D2" w:rsidP="001F27D2">
      <w:pPr>
        <w:pStyle w:val="Heading3"/>
        <w:rPr>
          <w:rFonts w:asciiTheme="minorHAnsi" w:hAnsiTheme="minorHAnsi" w:cs="Arial"/>
        </w:rPr>
      </w:pPr>
      <w:bookmarkStart w:id="774" w:name="_Toc318323466"/>
      <w:bookmarkStart w:id="775" w:name="_Toc360192703"/>
      <w:bookmarkStart w:id="776" w:name="_Toc399864458"/>
      <w:r w:rsidRPr="002B2A7F">
        <w:rPr>
          <w:rFonts w:asciiTheme="minorHAnsi" w:hAnsiTheme="minorHAnsi" w:cs="Arial"/>
        </w:rPr>
        <w:t>Overcrowding and concealed households</w:t>
      </w:r>
      <w:bookmarkEnd w:id="774"/>
      <w:bookmarkEnd w:id="775"/>
      <w:bookmarkEnd w:id="776"/>
    </w:p>
    <w:p w14:paraId="377499E9" w14:textId="77777777" w:rsidR="001F27D2" w:rsidRPr="002B2A7F" w:rsidRDefault="001F27D2" w:rsidP="007D2B69">
      <w:pPr>
        <w:pStyle w:val="Maintext"/>
        <w:numPr>
          <w:ilvl w:val="1"/>
          <w:numId w:val="34"/>
        </w:numPr>
        <w:spacing w:before="0"/>
        <w:rPr>
          <w:rFonts w:asciiTheme="minorHAnsi" w:hAnsiTheme="minorHAnsi" w:cs="Arial"/>
        </w:rPr>
      </w:pPr>
      <w:r w:rsidRPr="002B2A7F">
        <w:rPr>
          <w:rFonts w:asciiTheme="minorHAnsi" w:hAnsiTheme="minorHAnsi" w:cs="Arial"/>
        </w:rPr>
        <w:t xml:space="preserve">The extent to which </w:t>
      </w:r>
      <w:r w:rsidRPr="002B2A7F">
        <w:rPr>
          <w:rFonts w:asciiTheme="minorHAnsi" w:hAnsiTheme="minorHAnsi" w:cs="Arial"/>
          <w:iCs/>
        </w:rPr>
        <w:t>households</w:t>
      </w:r>
      <w:r w:rsidRPr="002B2A7F">
        <w:rPr>
          <w:rFonts w:asciiTheme="minorHAnsi" w:hAnsiTheme="minorHAnsi" w:cs="Arial"/>
        </w:rPr>
        <w:t xml:space="preserve"> are overcrowded is measured using the ‘bedroom standard’. This allocates a standard number of bedrooms to each household in accordance with its age/sex/marital status composition. A separate bedroom is allocated </w:t>
      </w:r>
      <w:r w:rsidRPr="002B2A7F">
        <w:rPr>
          <w:rFonts w:asciiTheme="minorHAnsi" w:hAnsiTheme="minorHAnsi" w:cs="Arial"/>
        </w:rPr>
        <w:lastRenderedPageBreak/>
        <w:t xml:space="preserve">to each married couple, any other person aged 21 or over, each pair of adolescents aged 10-20 of the same sex and each pair of children under 10. Any unpaired person aged 10-20 is paired if possible with a child under 10 of the same sex, or, if that is not possible, is given a separate bedroom, as is any unpaired child under 10. This standard is then compared with the actual number of bedrooms (including bedsits) available for the sole use of the household. </w:t>
      </w:r>
    </w:p>
    <w:p w14:paraId="0F41469B" w14:textId="77777777" w:rsidR="001F27D2" w:rsidRPr="002B2A7F" w:rsidRDefault="001F27D2" w:rsidP="007D2B69">
      <w:pPr>
        <w:pStyle w:val="Maintext"/>
        <w:numPr>
          <w:ilvl w:val="1"/>
          <w:numId w:val="34"/>
        </w:numPr>
        <w:spacing w:before="0"/>
        <w:rPr>
          <w:rFonts w:asciiTheme="minorHAnsi" w:hAnsiTheme="minorHAnsi" w:cs="Arial"/>
        </w:rPr>
      </w:pPr>
      <w:r w:rsidRPr="002B2A7F">
        <w:rPr>
          <w:rFonts w:asciiTheme="minorHAnsi" w:hAnsiTheme="minorHAnsi" w:cs="Arial"/>
        </w:rPr>
        <w:t xml:space="preserve">The model takes account of households in need due to overcrowding derived from household survey evidence. </w:t>
      </w:r>
    </w:p>
    <w:p w14:paraId="563E5C4F" w14:textId="77777777" w:rsidR="001F27D2" w:rsidRPr="002B2A7F" w:rsidRDefault="001F27D2" w:rsidP="001F27D2">
      <w:pPr>
        <w:pStyle w:val="Maintext"/>
        <w:numPr>
          <w:ilvl w:val="0"/>
          <w:numId w:val="0"/>
        </w:numPr>
        <w:ind w:left="709"/>
        <w:rPr>
          <w:rFonts w:asciiTheme="minorHAnsi" w:hAnsiTheme="minorHAnsi" w:cs="Arial"/>
          <w:iCs/>
        </w:rPr>
      </w:pP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733"/>
        <w:gridCol w:w="4028"/>
        <w:gridCol w:w="2528"/>
      </w:tblGrid>
      <w:tr w:rsidR="001F27D2" w:rsidRPr="002B2A7F" w14:paraId="27A38CD2" w14:textId="77777777" w:rsidTr="001F27D2">
        <w:trPr>
          <w:trHeight w:val="285"/>
        </w:trPr>
        <w:tc>
          <w:tcPr>
            <w:tcW w:w="5000" w:type="pct"/>
            <w:gridSpan w:val="3"/>
            <w:shd w:val="clear" w:color="auto" w:fill="009999"/>
            <w:vAlign w:val="bottom"/>
          </w:tcPr>
          <w:p w14:paraId="0CBF72CB" w14:textId="3FD4BD53" w:rsidR="001F27D2" w:rsidRPr="002B2A7F" w:rsidRDefault="001F27D2" w:rsidP="001F27D2">
            <w:pPr>
              <w:pStyle w:val="Tableheading1"/>
              <w:rPr>
                <w:rFonts w:asciiTheme="minorHAnsi" w:hAnsiTheme="minorHAnsi"/>
                <w:color w:val="FFFFFF"/>
                <w:lang w:eastAsia="en-GB"/>
              </w:rPr>
            </w:pPr>
            <w:bookmarkStart w:id="777" w:name="_Toc399871696"/>
            <w:bookmarkStart w:id="778" w:name="_Toc467784984"/>
            <w:bookmarkStart w:id="779" w:name="_Toc505362723"/>
            <w:bookmarkStart w:id="780" w:name="_Toc517303777"/>
            <w:bookmarkStart w:id="781" w:name="_Toc529652141"/>
            <w:bookmarkStart w:id="782" w:name="_Toc529739493"/>
            <w:bookmarkStart w:id="783" w:name="_Toc531122986"/>
            <w:bookmarkStart w:id="784" w:name="_Toc532812518"/>
            <w:r w:rsidRPr="002B2A7F">
              <w:rPr>
                <w:rFonts w:asciiTheme="minorHAnsi" w:hAnsiTheme="minorHAnsi"/>
              </w:rPr>
              <w:t>Table C4</w:t>
            </w:r>
            <w:r w:rsidRPr="002B2A7F">
              <w:rPr>
                <w:rFonts w:asciiTheme="minorHAnsi" w:hAnsiTheme="minorHAnsi"/>
              </w:rPr>
              <w:tab/>
              <w:t xml:space="preserve">Summary of current housing need across </w:t>
            </w:r>
            <w:bookmarkEnd w:id="777"/>
            <w:bookmarkEnd w:id="778"/>
            <w:bookmarkEnd w:id="779"/>
            <w:bookmarkEnd w:id="780"/>
            <w:bookmarkEnd w:id="781"/>
            <w:bookmarkEnd w:id="782"/>
            <w:r w:rsidRPr="002B2A7F">
              <w:rPr>
                <w:rFonts w:asciiTheme="minorHAnsi" w:hAnsiTheme="minorHAnsi"/>
              </w:rPr>
              <w:t>Eden District</w:t>
            </w:r>
            <w:bookmarkEnd w:id="783"/>
            <w:bookmarkEnd w:id="784"/>
          </w:p>
        </w:tc>
      </w:tr>
      <w:tr w:rsidR="001F27D2" w:rsidRPr="002B2A7F" w14:paraId="22D5A6F2" w14:textId="77777777" w:rsidTr="001F27D2">
        <w:trPr>
          <w:trHeight w:val="285"/>
        </w:trPr>
        <w:tc>
          <w:tcPr>
            <w:tcW w:w="1471" w:type="pct"/>
            <w:shd w:val="clear" w:color="auto" w:fill="009999"/>
            <w:vAlign w:val="bottom"/>
            <w:hideMark/>
          </w:tcPr>
          <w:p w14:paraId="485E1B2C" w14:textId="77777777" w:rsidR="001F27D2" w:rsidRPr="002B2A7F" w:rsidRDefault="001F27D2" w:rsidP="000C2C5C">
            <w:pPr>
              <w:spacing w:before="20" w:after="20"/>
              <w:rPr>
                <w:rFonts w:asciiTheme="minorHAnsi" w:hAnsiTheme="minorHAnsi" w:cs="Calibri"/>
                <w:b/>
                <w:bCs/>
                <w:color w:val="FFFFFF"/>
                <w:sz w:val="22"/>
                <w:szCs w:val="22"/>
                <w:lang w:eastAsia="en-GB"/>
              </w:rPr>
            </w:pPr>
            <w:r w:rsidRPr="002B2A7F">
              <w:rPr>
                <w:rFonts w:asciiTheme="minorHAnsi" w:hAnsiTheme="minorHAnsi" w:cs="Calibri"/>
                <w:b/>
                <w:bCs/>
                <w:color w:val="FFFFFF"/>
                <w:sz w:val="22"/>
                <w:szCs w:val="22"/>
                <w:lang w:eastAsia="en-GB"/>
              </w:rPr>
              <w:t>Category</w:t>
            </w:r>
          </w:p>
        </w:tc>
        <w:tc>
          <w:tcPr>
            <w:tcW w:w="2168" w:type="pct"/>
            <w:shd w:val="clear" w:color="auto" w:fill="009999"/>
            <w:vAlign w:val="bottom"/>
            <w:hideMark/>
          </w:tcPr>
          <w:p w14:paraId="5D453A61" w14:textId="77777777" w:rsidR="001F27D2" w:rsidRPr="002B2A7F" w:rsidRDefault="001F27D2" w:rsidP="000C2C5C">
            <w:pPr>
              <w:spacing w:before="20" w:after="20"/>
              <w:rPr>
                <w:rFonts w:asciiTheme="minorHAnsi" w:hAnsiTheme="minorHAnsi" w:cs="Calibri"/>
                <w:b/>
                <w:bCs/>
                <w:color w:val="FFFFFF"/>
                <w:sz w:val="22"/>
                <w:szCs w:val="22"/>
                <w:lang w:eastAsia="en-GB"/>
              </w:rPr>
            </w:pPr>
            <w:r w:rsidRPr="002B2A7F">
              <w:rPr>
                <w:rFonts w:asciiTheme="minorHAnsi" w:hAnsiTheme="minorHAnsi" w:cs="Calibri"/>
                <w:b/>
                <w:bCs/>
                <w:color w:val="FFFFFF"/>
                <w:sz w:val="22"/>
                <w:szCs w:val="22"/>
                <w:lang w:eastAsia="en-GB"/>
              </w:rPr>
              <w:t>Factor</w:t>
            </w:r>
          </w:p>
        </w:tc>
        <w:tc>
          <w:tcPr>
            <w:tcW w:w="1361" w:type="pct"/>
            <w:shd w:val="clear" w:color="auto" w:fill="009999"/>
            <w:noWrap/>
            <w:vAlign w:val="bottom"/>
            <w:hideMark/>
          </w:tcPr>
          <w:p w14:paraId="43DD7B72" w14:textId="77777777" w:rsidR="001F27D2" w:rsidRPr="002B2A7F" w:rsidRDefault="001F27D2" w:rsidP="000C2C5C">
            <w:pPr>
              <w:spacing w:before="20" w:after="20"/>
              <w:jc w:val="center"/>
              <w:rPr>
                <w:rFonts w:asciiTheme="minorHAnsi" w:hAnsiTheme="minorHAnsi" w:cs="Calibri"/>
                <w:b/>
                <w:bCs/>
                <w:color w:val="FFFFFF"/>
                <w:sz w:val="22"/>
                <w:szCs w:val="22"/>
                <w:lang w:eastAsia="en-GB"/>
              </w:rPr>
            </w:pPr>
            <w:r w:rsidRPr="002B2A7F">
              <w:rPr>
                <w:rFonts w:asciiTheme="minorHAnsi" w:hAnsiTheme="minorHAnsi" w:cs="Calibri"/>
                <w:b/>
                <w:bCs/>
                <w:color w:val="FFFFFF"/>
                <w:sz w:val="22"/>
                <w:szCs w:val="22"/>
                <w:lang w:eastAsia="en-GB"/>
              </w:rPr>
              <w:t>Eden District</w:t>
            </w:r>
          </w:p>
        </w:tc>
      </w:tr>
      <w:tr w:rsidR="001F27D2" w:rsidRPr="002B2A7F" w14:paraId="04EB1F71" w14:textId="77777777" w:rsidTr="001F27D2">
        <w:trPr>
          <w:trHeight w:val="510"/>
        </w:trPr>
        <w:tc>
          <w:tcPr>
            <w:tcW w:w="1471" w:type="pct"/>
            <w:vMerge w:val="restart"/>
            <w:shd w:val="clear" w:color="auto" w:fill="auto"/>
            <w:hideMark/>
          </w:tcPr>
          <w:p w14:paraId="79726648" w14:textId="77777777" w:rsidR="001F27D2" w:rsidRPr="002B2A7F" w:rsidRDefault="001F27D2" w:rsidP="000C2C5C">
            <w:pPr>
              <w:spacing w:before="20" w:after="20"/>
              <w:rPr>
                <w:rFonts w:asciiTheme="minorHAnsi" w:hAnsiTheme="minorHAnsi" w:cs="Calibri"/>
                <w:color w:val="000000"/>
                <w:sz w:val="22"/>
                <w:szCs w:val="22"/>
                <w:highlight w:val="red"/>
                <w:lang w:eastAsia="en-GB"/>
              </w:rPr>
            </w:pPr>
            <w:r w:rsidRPr="002B2A7F">
              <w:rPr>
                <w:rFonts w:asciiTheme="minorHAnsi" w:hAnsiTheme="minorHAnsi" w:cs="Calibri"/>
                <w:color w:val="000000"/>
                <w:sz w:val="22"/>
                <w:szCs w:val="22"/>
                <w:lang w:eastAsia="en-GB"/>
              </w:rPr>
              <w:t>Homeless households or with insecure tenure</w:t>
            </w:r>
          </w:p>
        </w:tc>
        <w:tc>
          <w:tcPr>
            <w:tcW w:w="2168" w:type="pct"/>
            <w:shd w:val="clear" w:color="auto" w:fill="auto"/>
            <w:hideMark/>
          </w:tcPr>
          <w:p w14:paraId="34CAC63A" w14:textId="77777777" w:rsidR="001F27D2" w:rsidRPr="002B2A7F" w:rsidRDefault="001F27D2" w:rsidP="000C2C5C">
            <w:pPr>
              <w:spacing w:before="20" w:after="20"/>
              <w:rPr>
                <w:rFonts w:asciiTheme="minorHAnsi" w:hAnsiTheme="minorHAnsi" w:cs="Calibri"/>
                <w:color w:val="000000"/>
                <w:sz w:val="22"/>
                <w:szCs w:val="22"/>
                <w:highlight w:val="red"/>
                <w:lang w:eastAsia="en-GB"/>
              </w:rPr>
            </w:pPr>
            <w:r w:rsidRPr="002B2A7F">
              <w:rPr>
                <w:rFonts w:asciiTheme="minorHAnsi" w:hAnsiTheme="minorHAnsi" w:cs="Calibri"/>
                <w:color w:val="000000"/>
                <w:sz w:val="22"/>
                <w:szCs w:val="22"/>
                <w:lang w:eastAsia="en-GB"/>
              </w:rPr>
              <w:t>N1 Under notice, real threat of notice or lease coming to an end</w:t>
            </w:r>
          </w:p>
        </w:tc>
        <w:tc>
          <w:tcPr>
            <w:tcW w:w="1361" w:type="pct"/>
            <w:shd w:val="clear" w:color="auto" w:fill="auto"/>
            <w:vAlign w:val="center"/>
          </w:tcPr>
          <w:p w14:paraId="62237277" w14:textId="77777777" w:rsidR="001F27D2" w:rsidRPr="002B2A7F" w:rsidRDefault="001F27D2" w:rsidP="000C2C5C">
            <w:pPr>
              <w:spacing w:before="20" w:after="20"/>
              <w:jc w:val="center"/>
              <w:rPr>
                <w:rFonts w:asciiTheme="minorHAnsi" w:hAnsiTheme="minorHAnsi" w:cs="Calibri"/>
                <w:color w:val="000000"/>
                <w:sz w:val="22"/>
                <w:szCs w:val="22"/>
                <w:highlight w:val="red"/>
              </w:rPr>
            </w:pPr>
            <w:r w:rsidRPr="002B2A7F">
              <w:rPr>
                <w:rFonts w:asciiTheme="minorHAnsi" w:hAnsiTheme="minorHAnsi" w:cs="Calibri"/>
                <w:color w:val="000000"/>
                <w:sz w:val="22"/>
                <w:szCs w:val="22"/>
                <w:lang w:eastAsia="en-GB"/>
              </w:rPr>
              <w:t>181</w:t>
            </w:r>
          </w:p>
        </w:tc>
      </w:tr>
      <w:tr w:rsidR="001F27D2" w:rsidRPr="002B2A7F" w14:paraId="4A0186D5" w14:textId="77777777" w:rsidTr="001F27D2">
        <w:trPr>
          <w:trHeight w:val="510"/>
        </w:trPr>
        <w:tc>
          <w:tcPr>
            <w:tcW w:w="1471" w:type="pct"/>
            <w:vMerge/>
            <w:vAlign w:val="center"/>
            <w:hideMark/>
          </w:tcPr>
          <w:p w14:paraId="4B21EE38" w14:textId="77777777" w:rsidR="001F27D2" w:rsidRPr="002B2A7F" w:rsidRDefault="001F27D2" w:rsidP="000C2C5C">
            <w:pPr>
              <w:spacing w:before="20" w:after="20"/>
              <w:rPr>
                <w:rFonts w:asciiTheme="minorHAnsi" w:hAnsiTheme="minorHAnsi" w:cs="Calibri"/>
                <w:color w:val="000000"/>
                <w:sz w:val="22"/>
                <w:szCs w:val="22"/>
                <w:highlight w:val="red"/>
                <w:lang w:eastAsia="en-GB"/>
              </w:rPr>
            </w:pPr>
          </w:p>
        </w:tc>
        <w:tc>
          <w:tcPr>
            <w:tcW w:w="2168" w:type="pct"/>
            <w:shd w:val="clear" w:color="auto" w:fill="auto"/>
            <w:hideMark/>
          </w:tcPr>
          <w:p w14:paraId="6FBCAEB6" w14:textId="77777777" w:rsidR="001F27D2" w:rsidRPr="002B2A7F" w:rsidRDefault="001F27D2" w:rsidP="000C2C5C">
            <w:pPr>
              <w:spacing w:before="20" w:after="20"/>
              <w:rPr>
                <w:rFonts w:asciiTheme="minorHAnsi" w:hAnsiTheme="minorHAnsi" w:cs="Calibri"/>
                <w:color w:val="000000"/>
                <w:sz w:val="22"/>
                <w:szCs w:val="22"/>
                <w:highlight w:val="red"/>
                <w:lang w:eastAsia="en-GB"/>
              </w:rPr>
            </w:pPr>
            <w:r w:rsidRPr="002B2A7F">
              <w:rPr>
                <w:rFonts w:asciiTheme="minorHAnsi" w:hAnsiTheme="minorHAnsi" w:cs="Calibri"/>
                <w:color w:val="000000"/>
                <w:sz w:val="22"/>
                <w:szCs w:val="22"/>
                <w:lang w:eastAsia="en-GB"/>
              </w:rPr>
              <w:t>N2 Too expensive, and in receipt of housing benefit or in arrears due to expense</w:t>
            </w:r>
          </w:p>
        </w:tc>
        <w:tc>
          <w:tcPr>
            <w:tcW w:w="1361" w:type="pct"/>
            <w:shd w:val="clear" w:color="auto" w:fill="auto"/>
            <w:vAlign w:val="center"/>
          </w:tcPr>
          <w:p w14:paraId="34876A30" w14:textId="77777777" w:rsidR="001F27D2" w:rsidRPr="002B2A7F" w:rsidRDefault="001F27D2" w:rsidP="000C2C5C">
            <w:pPr>
              <w:spacing w:before="20" w:after="20"/>
              <w:jc w:val="center"/>
              <w:rPr>
                <w:rFonts w:asciiTheme="minorHAnsi" w:hAnsiTheme="minorHAnsi" w:cs="Calibri"/>
                <w:color w:val="000000"/>
                <w:sz w:val="22"/>
                <w:szCs w:val="22"/>
              </w:rPr>
            </w:pPr>
            <w:r w:rsidRPr="002B2A7F">
              <w:rPr>
                <w:rFonts w:asciiTheme="minorHAnsi" w:hAnsiTheme="minorHAnsi" w:cs="Calibri"/>
                <w:color w:val="000000"/>
                <w:sz w:val="22"/>
                <w:szCs w:val="22"/>
              </w:rPr>
              <w:t>534</w:t>
            </w:r>
          </w:p>
        </w:tc>
      </w:tr>
      <w:tr w:rsidR="001F27D2" w:rsidRPr="002B2A7F" w14:paraId="65C7DCED" w14:textId="77777777" w:rsidTr="001F27D2">
        <w:trPr>
          <w:trHeight w:val="510"/>
        </w:trPr>
        <w:tc>
          <w:tcPr>
            <w:tcW w:w="1471" w:type="pct"/>
            <w:vMerge w:val="restart"/>
            <w:shd w:val="clear" w:color="auto" w:fill="auto"/>
            <w:hideMark/>
          </w:tcPr>
          <w:p w14:paraId="379E7996" w14:textId="77777777" w:rsidR="001F27D2" w:rsidRPr="002B2A7F" w:rsidRDefault="001F27D2" w:rsidP="000C2C5C">
            <w:pPr>
              <w:spacing w:before="20" w:after="20"/>
              <w:rPr>
                <w:rFonts w:asciiTheme="minorHAnsi" w:hAnsiTheme="minorHAnsi" w:cs="Calibri"/>
                <w:color w:val="000000"/>
                <w:sz w:val="22"/>
                <w:szCs w:val="22"/>
                <w:highlight w:val="red"/>
                <w:lang w:eastAsia="en-GB"/>
              </w:rPr>
            </w:pPr>
            <w:r w:rsidRPr="002B2A7F">
              <w:rPr>
                <w:rFonts w:asciiTheme="minorHAnsi" w:hAnsiTheme="minorHAnsi" w:cs="Calibri"/>
                <w:color w:val="000000"/>
                <w:sz w:val="22"/>
                <w:szCs w:val="22"/>
                <w:lang w:eastAsia="en-GB"/>
              </w:rPr>
              <w:t>Mismatch of housing need and dwellings</w:t>
            </w:r>
          </w:p>
        </w:tc>
        <w:tc>
          <w:tcPr>
            <w:tcW w:w="2168" w:type="pct"/>
            <w:shd w:val="clear" w:color="auto" w:fill="auto"/>
            <w:hideMark/>
          </w:tcPr>
          <w:p w14:paraId="55AB5206" w14:textId="77777777" w:rsidR="001F27D2" w:rsidRPr="002B2A7F" w:rsidRDefault="001F27D2" w:rsidP="000C2C5C">
            <w:pPr>
              <w:spacing w:before="20" w:after="20"/>
              <w:rPr>
                <w:rFonts w:asciiTheme="minorHAnsi" w:hAnsiTheme="minorHAnsi" w:cs="Calibri"/>
                <w:color w:val="000000"/>
                <w:sz w:val="22"/>
                <w:szCs w:val="22"/>
                <w:highlight w:val="red"/>
                <w:lang w:eastAsia="en-GB"/>
              </w:rPr>
            </w:pPr>
            <w:r w:rsidRPr="002B2A7F">
              <w:rPr>
                <w:rFonts w:asciiTheme="minorHAnsi" w:hAnsiTheme="minorHAnsi" w:cs="Calibri"/>
                <w:color w:val="000000"/>
                <w:sz w:val="22"/>
                <w:szCs w:val="22"/>
                <w:lang w:eastAsia="en-GB"/>
              </w:rPr>
              <w:t>N3 Overcrowded according to the 'bedroom standard' model</w:t>
            </w:r>
          </w:p>
        </w:tc>
        <w:tc>
          <w:tcPr>
            <w:tcW w:w="1361" w:type="pct"/>
            <w:shd w:val="clear" w:color="auto" w:fill="auto"/>
            <w:vAlign w:val="center"/>
          </w:tcPr>
          <w:p w14:paraId="2876848D" w14:textId="77777777" w:rsidR="001F27D2" w:rsidRPr="002B2A7F" w:rsidRDefault="001F27D2" w:rsidP="000C2C5C">
            <w:pPr>
              <w:spacing w:before="20" w:after="20"/>
              <w:jc w:val="center"/>
              <w:rPr>
                <w:rFonts w:asciiTheme="minorHAnsi" w:hAnsiTheme="minorHAnsi" w:cs="Calibri"/>
                <w:color w:val="000000"/>
                <w:sz w:val="22"/>
                <w:szCs w:val="22"/>
              </w:rPr>
            </w:pPr>
            <w:r w:rsidRPr="002B2A7F">
              <w:rPr>
                <w:rFonts w:asciiTheme="minorHAnsi" w:hAnsiTheme="minorHAnsi" w:cs="Calibri"/>
                <w:color w:val="000000"/>
                <w:sz w:val="22"/>
                <w:szCs w:val="22"/>
                <w:lang w:eastAsia="en-GB"/>
              </w:rPr>
              <w:t>619</w:t>
            </w:r>
          </w:p>
        </w:tc>
      </w:tr>
      <w:tr w:rsidR="001F27D2" w:rsidRPr="002B2A7F" w14:paraId="4FB25376" w14:textId="77777777" w:rsidTr="001F27D2">
        <w:trPr>
          <w:trHeight w:val="285"/>
        </w:trPr>
        <w:tc>
          <w:tcPr>
            <w:tcW w:w="1471" w:type="pct"/>
            <w:vMerge/>
            <w:vAlign w:val="center"/>
            <w:hideMark/>
          </w:tcPr>
          <w:p w14:paraId="3F7369C8" w14:textId="77777777" w:rsidR="001F27D2" w:rsidRPr="002B2A7F" w:rsidRDefault="001F27D2" w:rsidP="000C2C5C">
            <w:pPr>
              <w:spacing w:before="20" w:after="20"/>
              <w:rPr>
                <w:rFonts w:asciiTheme="minorHAnsi" w:hAnsiTheme="minorHAnsi" w:cs="Calibri"/>
                <w:color w:val="000000"/>
                <w:sz w:val="22"/>
                <w:szCs w:val="22"/>
                <w:highlight w:val="red"/>
                <w:lang w:eastAsia="en-GB"/>
              </w:rPr>
            </w:pPr>
          </w:p>
        </w:tc>
        <w:tc>
          <w:tcPr>
            <w:tcW w:w="2168" w:type="pct"/>
            <w:shd w:val="clear" w:color="auto" w:fill="auto"/>
            <w:hideMark/>
          </w:tcPr>
          <w:p w14:paraId="49ADF6E5" w14:textId="77777777" w:rsidR="001F27D2" w:rsidRPr="002B2A7F" w:rsidRDefault="001F27D2" w:rsidP="000C2C5C">
            <w:pPr>
              <w:spacing w:before="20" w:after="20"/>
              <w:rPr>
                <w:rFonts w:asciiTheme="minorHAnsi" w:hAnsiTheme="minorHAnsi" w:cs="Calibri"/>
                <w:color w:val="000000"/>
                <w:sz w:val="22"/>
                <w:szCs w:val="22"/>
                <w:highlight w:val="red"/>
                <w:lang w:eastAsia="en-GB"/>
              </w:rPr>
            </w:pPr>
            <w:r w:rsidRPr="002B2A7F">
              <w:rPr>
                <w:rFonts w:asciiTheme="minorHAnsi" w:hAnsiTheme="minorHAnsi" w:cs="Calibri"/>
                <w:color w:val="000000"/>
                <w:sz w:val="22"/>
                <w:szCs w:val="22"/>
                <w:lang w:eastAsia="en-GB"/>
              </w:rPr>
              <w:t>N4 Too difficult to maintain</w:t>
            </w:r>
          </w:p>
        </w:tc>
        <w:tc>
          <w:tcPr>
            <w:tcW w:w="1361" w:type="pct"/>
            <w:shd w:val="clear" w:color="auto" w:fill="auto"/>
            <w:vAlign w:val="center"/>
          </w:tcPr>
          <w:p w14:paraId="31E595D8" w14:textId="77777777" w:rsidR="001F27D2" w:rsidRPr="002B2A7F" w:rsidRDefault="001F27D2" w:rsidP="000C2C5C">
            <w:pPr>
              <w:spacing w:before="20" w:after="20"/>
              <w:jc w:val="center"/>
              <w:rPr>
                <w:rFonts w:asciiTheme="minorHAnsi" w:hAnsiTheme="minorHAnsi" w:cs="Calibri"/>
                <w:color w:val="000000"/>
                <w:sz w:val="22"/>
                <w:szCs w:val="22"/>
              </w:rPr>
            </w:pPr>
            <w:r w:rsidRPr="002B2A7F">
              <w:rPr>
                <w:rFonts w:asciiTheme="minorHAnsi" w:hAnsiTheme="minorHAnsi" w:cs="Calibri"/>
                <w:color w:val="000000"/>
                <w:sz w:val="22"/>
                <w:szCs w:val="22"/>
                <w:lang w:eastAsia="en-GB"/>
              </w:rPr>
              <w:t>1,222</w:t>
            </w:r>
          </w:p>
        </w:tc>
      </w:tr>
      <w:tr w:rsidR="001F27D2" w:rsidRPr="002B2A7F" w14:paraId="273C626A" w14:textId="77777777" w:rsidTr="001F27D2">
        <w:trPr>
          <w:trHeight w:val="765"/>
        </w:trPr>
        <w:tc>
          <w:tcPr>
            <w:tcW w:w="1471" w:type="pct"/>
            <w:vMerge/>
            <w:vAlign w:val="center"/>
            <w:hideMark/>
          </w:tcPr>
          <w:p w14:paraId="0738C776" w14:textId="77777777" w:rsidR="001F27D2" w:rsidRPr="002B2A7F" w:rsidRDefault="001F27D2" w:rsidP="000C2C5C">
            <w:pPr>
              <w:spacing w:before="20" w:after="20"/>
              <w:rPr>
                <w:rFonts w:asciiTheme="minorHAnsi" w:hAnsiTheme="minorHAnsi" w:cs="Calibri"/>
                <w:color w:val="000000"/>
                <w:sz w:val="22"/>
                <w:szCs w:val="22"/>
                <w:highlight w:val="red"/>
                <w:lang w:eastAsia="en-GB"/>
              </w:rPr>
            </w:pPr>
          </w:p>
        </w:tc>
        <w:tc>
          <w:tcPr>
            <w:tcW w:w="2168" w:type="pct"/>
            <w:shd w:val="clear" w:color="auto" w:fill="auto"/>
            <w:hideMark/>
          </w:tcPr>
          <w:p w14:paraId="2848BB6E" w14:textId="77777777" w:rsidR="001F27D2" w:rsidRPr="002B2A7F" w:rsidRDefault="001F27D2" w:rsidP="000C2C5C">
            <w:pPr>
              <w:spacing w:before="20" w:after="20"/>
              <w:rPr>
                <w:rFonts w:asciiTheme="minorHAnsi" w:hAnsiTheme="minorHAnsi" w:cs="Calibri"/>
                <w:color w:val="000000"/>
                <w:sz w:val="22"/>
                <w:szCs w:val="22"/>
                <w:highlight w:val="red"/>
                <w:lang w:eastAsia="en-GB"/>
              </w:rPr>
            </w:pPr>
            <w:r w:rsidRPr="002B2A7F">
              <w:rPr>
                <w:rFonts w:asciiTheme="minorHAnsi" w:hAnsiTheme="minorHAnsi" w:cs="Calibri"/>
                <w:color w:val="000000"/>
                <w:sz w:val="22"/>
                <w:szCs w:val="22"/>
                <w:lang w:eastAsia="en-GB"/>
              </w:rPr>
              <w:t>N5 Couples, people with children and single adults over 25 sharing a kitchen, bathroom or WC with another household</w:t>
            </w:r>
          </w:p>
        </w:tc>
        <w:tc>
          <w:tcPr>
            <w:tcW w:w="1361" w:type="pct"/>
            <w:shd w:val="clear" w:color="auto" w:fill="auto"/>
            <w:vAlign w:val="center"/>
          </w:tcPr>
          <w:p w14:paraId="094B4255" w14:textId="77777777" w:rsidR="001F27D2" w:rsidRPr="002B2A7F" w:rsidRDefault="001F27D2" w:rsidP="000C2C5C">
            <w:pPr>
              <w:spacing w:before="20" w:after="20"/>
              <w:jc w:val="center"/>
              <w:rPr>
                <w:rFonts w:asciiTheme="minorHAnsi" w:hAnsiTheme="minorHAnsi" w:cs="Calibri"/>
                <w:color w:val="000000"/>
                <w:sz w:val="22"/>
                <w:szCs w:val="22"/>
              </w:rPr>
            </w:pPr>
            <w:r w:rsidRPr="002B2A7F">
              <w:rPr>
                <w:rFonts w:asciiTheme="minorHAnsi" w:hAnsiTheme="minorHAnsi" w:cs="Calibri"/>
                <w:color w:val="000000"/>
                <w:sz w:val="22"/>
                <w:szCs w:val="22"/>
              </w:rPr>
              <w:t>0</w:t>
            </w:r>
          </w:p>
        </w:tc>
      </w:tr>
      <w:tr w:rsidR="001F27D2" w:rsidRPr="002B2A7F" w14:paraId="39B892E1" w14:textId="77777777" w:rsidTr="001F27D2">
        <w:trPr>
          <w:trHeight w:val="765"/>
        </w:trPr>
        <w:tc>
          <w:tcPr>
            <w:tcW w:w="1471" w:type="pct"/>
            <w:vMerge/>
            <w:vAlign w:val="center"/>
            <w:hideMark/>
          </w:tcPr>
          <w:p w14:paraId="52984470" w14:textId="77777777" w:rsidR="001F27D2" w:rsidRPr="002B2A7F" w:rsidRDefault="001F27D2" w:rsidP="000C2C5C">
            <w:pPr>
              <w:spacing w:before="20" w:after="20"/>
              <w:rPr>
                <w:rFonts w:asciiTheme="minorHAnsi" w:hAnsiTheme="minorHAnsi" w:cs="Calibri"/>
                <w:color w:val="000000"/>
                <w:sz w:val="22"/>
                <w:szCs w:val="22"/>
                <w:highlight w:val="red"/>
                <w:lang w:eastAsia="en-GB"/>
              </w:rPr>
            </w:pPr>
          </w:p>
        </w:tc>
        <w:tc>
          <w:tcPr>
            <w:tcW w:w="2168" w:type="pct"/>
            <w:shd w:val="clear" w:color="auto" w:fill="auto"/>
            <w:hideMark/>
          </w:tcPr>
          <w:p w14:paraId="368664EA" w14:textId="77777777" w:rsidR="001F27D2" w:rsidRPr="002B2A7F" w:rsidRDefault="001F27D2" w:rsidP="000C2C5C">
            <w:pPr>
              <w:spacing w:before="20" w:after="20"/>
              <w:rPr>
                <w:rFonts w:asciiTheme="minorHAnsi" w:hAnsiTheme="minorHAnsi" w:cs="Calibri"/>
                <w:color w:val="000000"/>
                <w:sz w:val="22"/>
                <w:szCs w:val="22"/>
                <w:highlight w:val="red"/>
                <w:lang w:eastAsia="en-GB"/>
              </w:rPr>
            </w:pPr>
            <w:r w:rsidRPr="002B2A7F">
              <w:rPr>
                <w:rFonts w:asciiTheme="minorHAnsi" w:hAnsiTheme="minorHAnsi" w:cs="Calibri"/>
                <w:color w:val="000000"/>
                <w:sz w:val="22"/>
                <w:szCs w:val="22"/>
                <w:lang w:eastAsia="en-GB"/>
              </w:rPr>
              <w:t>N6 Household containing people with mobility impairment or other special needs living in unsuitable accommodation</w:t>
            </w:r>
          </w:p>
        </w:tc>
        <w:tc>
          <w:tcPr>
            <w:tcW w:w="1361" w:type="pct"/>
            <w:shd w:val="clear" w:color="auto" w:fill="auto"/>
            <w:vAlign w:val="center"/>
          </w:tcPr>
          <w:p w14:paraId="5CDA31E2" w14:textId="77777777" w:rsidR="001F27D2" w:rsidRPr="002B2A7F" w:rsidRDefault="001F27D2" w:rsidP="000C2C5C">
            <w:pPr>
              <w:spacing w:before="20" w:after="20"/>
              <w:jc w:val="center"/>
              <w:rPr>
                <w:rFonts w:asciiTheme="minorHAnsi" w:hAnsiTheme="minorHAnsi" w:cs="Calibri"/>
                <w:color w:val="000000"/>
                <w:sz w:val="22"/>
                <w:szCs w:val="22"/>
              </w:rPr>
            </w:pPr>
            <w:r w:rsidRPr="002B2A7F">
              <w:rPr>
                <w:rFonts w:asciiTheme="minorHAnsi" w:hAnsiTheme="minorHAnsi" w:cs="Calibri"/>
                <w:color w:val="000000"/>
                <w:sz w:val="22"/>
                <w:szCs w:val="22"/>
              </w:rPr>
              <w:t>572</w:t>
            </w:r>
          </w:p>
        </w:tc>
      </w:tr>
      <w:tr w:rsidR="001F27D2" w:rsidRPr="002B2A7F" w14:paraId="7CF528F4" w14:textId="77777777" w:rsidTr="001F27D2">
        <w:trPr>
          <w:trHeight w:val="765"/>
        </w:trPr>
        <w:tc>
          <w:tcPr>
            <w:tcW w:w="1471" w:type="pct"/>
            <w:vMerge w:val="restart"/>
            <w:shd w:val="clear" w:color="auto" w:fill="auto"/>
            <w:hideMark/>
          </w:tcPr>
          <w:p w14:paraId="78E78B2A" w14:textId="77777777" w:rsidR="001F27D2" w:rsidRPr="002B2A7F" w:rsidRDefault="001F27D2" w:rsidP="000C2C5C">
            <w:pPr>
              <w:spacing w:before="20" w:after="20"/>
              <w:rPr>
                <w:rFonts w:asciiTheme="minorHAnsi" w:hAnsiTheme="minorHAnsi" w:cs="Calibri"/>
                <w:color w:val="000000"/>
                <w:sz w:val="22"/>
                <w:szCs w:val="22"/>
                <w:highlight w:val="red"/>
                <w:lang w:eastAsia="en-GB"/>
              </w:rPr>
            </w:pPr>
            <w:r w:rsidRPr="002B2A7F">
              <w:rPr>
                <w:rFonts w:asciiTheme="minorHAnsi" w:hAnsiTheme="minorHAnsi" w:cs="Calibri"/>
                <w:color w:val="000000"/>
                <w:sz w:val="22"/>
                <w:szCs w:val="22"/>
                <w:lang w:eastAsia="en-GB"/>
              </w:rPr>
              <w:t>Dwelling amenities and condition</w:t>
            </w:r>
          </w:p>
        </w:tc>
        <w:tc>
          <w:tcPr>
            <w:tcW w:w="2168" w:type="pct"/>
            <w:shd w:val="clear" w:color="auto" w:fill="auto"/>
            <w:hideMark/>
          </w:tcPr>
          <w:p w14:paraId="65D2CAC2" w14:textId="77777777" w:rsidR="001F27D2" w:rsidRPr="002B2A7F" w:rsidRDefault="001F27D2" w:rsidP="000C2C5C">
            <w:pPr>
              <w:spacing w:before="20" w:after="20"/>
              <w:rPr>
                <w:rFonts w:asciiTheme="minorHAnsi" w:hAnsiTheme="minorHAnsi" w:cs="Calibri"/>
                <w:color w:val="000000"/>
                <w:sz w:val="22"/>
                <w:szCs w:val="22"/>
                <w:highlight w:val="red"/>
                <w:lang w:eastAsia="en-GB"/>
              </w:rPr>
            </w:pPr>
            <w:r w:rsidRPr="002B2A7F">
              <w:rPr>
                <w:rFonts w:asciiTheme="minorHAnsi" w:hAnsiTheme="minorHAnsi" w:cs="Calibri"/>
                <w:color w:val="000000"/>
                <w:sz w:val="22"/>
                <w:szCs w:val="22"/>
                <w:lang w:eastAsia="en-GB"/>
              </w:rPr>
              <w:t>N7 Lacks a bathroom, kitchen or inside WC and household does not have resource to make fit</w:t>
            </w:r>
          </w:p>
        </w:tc>
        <w:tc>
          <w:tcPr>
            <w:tcW w:w="1361" w:type="pct"/>
            <w:shd w:val="clear" w:color="auto" w:fill="auto"/>
            <w:vAlign w:val="center"/>
          </w:tcPr>
          <w:p w14:paraId="62B96218" w14:textId="77777777" w:rsidR="001F27D2" w:rsidRPr="002B2A7F" w:rsidRDefault="001F27D2" w:rsidP="000C2C5C">
            <w:pPr>
              <w:spacing w:before="20" w:after="20"/>
              <w:jc w:val="center"/>
              <w:rPr>
                <w:rFonts w:asciiTheme="minorHAnsi" w:hAnsiTheme="minorHAnsi" w:cs="Calibri"/>
                <w:color w:val="000000"/>
                <w:sz w:val="22"/>
                <w:szCs w:val="22"/>
              </w:rPr>
            </w:pPr>
            <w:r w:rsidRPr="002B2A7F">
              <w:rPr>
                <w:rFonts w:asciiTheme="minorHAnsi" w:hAnsiTheme="minorHAnsi" w:cs="Calibri"/>
                <w:color w:val="000000"/>
                <w:sz w:val="22"/>
                <w:szCs w:val="22"/>
              </w:rPr>
              <w:t>41</w:t>
            </w:r>
          </w:p>
        </w:tc>
      </w:tr>
      <w:tr w:rsidR="001F27D2" w:rsidRPr="002B2A7F" w14:paraId="3C365B2F" w14:textId="77777777" w:rsidTr="001F27D2">
        <w:trPr>
          <w:trHeight w:val="765"/>
        </w:trPr>
        <w:tc>
          <w:tcPr>
            <w:tcW w:w="1471" w:type="pct"/>
            <w:vMerge/>
            <w:vAlign w:val="center"/>
            <w:hideMark/>
          </w:tcPr>
          <w:p w14:paraId="64310A9B" w14:textId="77777777" w:rsidR="001F27D2" w:rsidRPr="002B2A7F" w:rsidRDefault="001F27D2" w:rsidP="000C2C5C">
            <w:pPr>
              <w:spacing w:before="20" w:after="20"/>
              <w:rPr>
                <w:rFonts w:asciiTheme="minorHAnsi" w:hAnsiTheme="minorHAnsi" w:cs="Calibri"/>
                <w:color w:val="000000"/>
                <w:sz w:val="22"/>
                <w:szCs w:val="22"/>
                <w:highlight w:val="red"/>
                <w:lang w:eastAsia="en-GB"/>
              </w:rPr>
            </w:pPr>
          </w:p>
        </w:tc>
        <w:tc>
          <w:tcPr>
            <w:tcW w:w="2168" w:type="pct"/>
            <w:shd w:val="clear" w:color="auto" w:fill="auto"/>
            <w:hideMark/>
          </w:tcPr>
          <w:p w14:paraId="4870C0CA" w14:textId="77777777" w:rsidR="001F27D2" w:rsidRPr="002B2A7F" w:rsidRDefault="001F27D2" w:rsidP="000C2C5C">
            <w:pPr>
              <w:spacing w:before="20" w:after="20"/>
              <w:rPr>
                <w:rFonts w:asciiTheme="minorHAnsi" w:hAnsiTheme="minorHAnsi" w:cs="Calibri"/>
                <w:color w:val="000000"/>
                <w:sz w:val="22"/>
                <w:szCs w:val="22"/>
                <w:highlight w:val="red"/>
                <w:lang w:eastAsia="en-GB"/>
              </w:rPr>
            </w:pPr>
            <w:r w:rsidRPr="002B2A7F">
              <w:rPr>
                <w:rFonts w:asciiTheme="minorHAnsi" w:hAnsiTheme="minorHAnsi" w:cs="Calibri"/>
                <w:color w:val="000000"/>
                <w:sz w:val="22"/>
                <w:szCs w:val="22"/>
                <w:lang w:eastAsia="en-GB"/>
              </w:rPr>
              <w:t>N8 Subject to major disrepair or unfitness and household does not have resource to make fit</w:t>
            </w:r>
          </w:p>
        </w:tc>
        <w:tc>
          <w:tcPr>
            <w:tcW w:w="1361" w:type="pct"/>
            <w:shd w:val="clear" w:color="auto" w:fill="auto"/>
            <w:vAlign w:val="center"/>
          </w:tcPr>
          <w:p w14:paraId="28A0CF1D" w14:textId="77777777" w:rsidR="001F27D2" w:rsidRPr="002B2A7F" w:rsidRDefault="001F27D2" w:rsidP="000C2C5C">
            <w:pPr>
              <w:spacing w:before="20" w:after="20"/>
              <w:jc w:val="center"/>
              <w:rPr>
                <w:rFonts w:asciiTheme="minorHAnsi" w:hAnsiTheme="minorHAnsi" w:cs="Calibri"/>
                <w:color w:val="000000"/>
                <w:sz w:val="22"/>
                <w:szCs w:val="22"/>
              </w:rPr>
            </w:pPr>
            <w:r w:rsidRPr="002B2A7F">
              <w:rPr>
                <w:rFonts w:asciiTheme="minorHAnsi" w:hAnsiTheme="minorHAnsi" w:cs="Calibri"/>
                <w:color w:val="000000"/>
                <w:sz w:val="22"/>
                <w:szCs w:val="22"/>
              </w:rPr>
              <w:t>170</w:t>
            </w:r>
          </w:p>
        </w:tc>
      </w:tr>
      <w:tr w:rsidR="001F27D2" w:rsidRPr="002B2A7F" w14:paraId="021447E5" w14:textId="77777777" w:rsidTr="001F27D2">
        <w:trPr>
          <w:trHeight w:val="1020"/>
        </w:trPr>
        <w:tc>
          <w:tcPr>
            <w:tcW w:w="1471" w:type="pct"/>
            <w:shd w:val="clear" w:color="auto" w:fill="auto"/>
            <w:hideMark/>
          </w:tcPr>
          <w:p w14:paraId="0C54F723" w14:textId="77777777" w:rsidR="001F27D2" w:rsidRPr="002B2A7F" w:rsidRDefault="001F27D2" w:rsidP="000C2C5C">
            <w:pPr>
              <w:spacing w:before="20" w:after="20"/>
              <w:rPr>
                <w:rFonts w:asciiTheme="minorHAnsi" w:hAnsiTheme="minorHAnsi" w:cs="Calibri"/>
                <w:color w:val="000000"/>
                <w:sz w:val="22"/>
                <w:szCs w:val="22"/>
                <w:highlight w:val="red"/>
                <w:lang w:eastAsia="en-GB"/>
              </w:rPr>
            </w:pPr>
            <w:r w:rsidRPr="002B2A7F">
              <w:rPr>
                <w:rFonts w:asciiTheme="minorHAnsi" w:hAnsiTheme="minorHAnsi" w:cs="Calibri"/>
                <w:color w:val="000000"/>
                <w:sz w:val="22"/>
                <w:szCs w:val="22"/>
                <w:lang w:eastAsia="en-GB"/>
              </w:rPr>
              <w:t>Social needs</w:t>
            </w:r>
          </w:p>
        </w:tc>
        <w:tc>
          <w:tcPr>
            <w:tcW w:w="2168" w:type="pct"/>
            <w:shd w:val="clear" w:color="auto" w:fill="auto"/>
            <w:hideMark/>
          </w:tcPr>
          <w:p w14:paraId="3299C41F" w14:textId="77777777" w:rsidR="001F27D2" w:rsidRPr="002B2A7F" w:rsidRDefault="001F27D2" w:rsidP="000C2C5C">
            <w:pPr>
              <w:spacing w:before="20" w:after="20"/>
              <w:rPr>
                <w:rFonts w:asciiTheme="minorHAnsi" w:hAnsiTheme="minorHAnsi" w:cs="Calibri"/>
                <w:color w:val="000000"/>
                <w:sz w:val="22"/>
                <w:szCs w:val="22"/>
                <w:highlight w:val="red"/>
                <w:lang w:eastAsia="en-GB"/>
              </w:rPr>
            </w:pPr>
            <w:r w:rsidRPr="002B2A7F">
              <w:rPr>
                <w:rFonts w:asciiTheme="minorHAnsi" w:hAnsiTheme="minorHAnsi" w:cs="Calibri"/>
                <w:color w:val="000000"/>
                <w:sz w:val="22"/>
                <w:szCs w:val="22"/>
                <w:lang w:eastAsia="en-GB"/>
              </w:rPr>
              <w:t>N9 Harassment or threats of harassment from neighbours or others living in the vicinity which cannot be resolved except through a move</w:t>
            </w:r>
          </w:p>
        </w:tc>
        <w:tc>
          <w:tcPr>
            <w:tcW w:w="1361" w:type="pct"/>
            <w:shd w:val="clear" w:color="auto" w:fill="auto"/>
            <w:vAlign w:val="center"/>
          </w:tcPr>
          <w:p w14:paraId="50059AE6" w14:textId="77777777" w:rsidR="001F27D2" w:rsidRPr="002B2A7F" w:rsidRDefault="001F27D2" w:rsidP="000C2C5C">
            <w:pPr>
              <w:spacing w:before="20" w:after="20"/>
              <w:jc w:val="center"/>
              <w:rPr>
                <w:rFonts w:asciiTheme="minorHAnsi" w:hAnsiTheme="minorHAnsi" w:cs="Calibri"/>
                <w:color w:val="000000"/>
                <w:sz w:val="22"/>
                <w:szCs w:val="22"/>
              </w:rPr>
            </w:pPr>
            <w:r w:rsidRPr="002B2A7F">
              <w:rPr>
                <w:rFonts w:asciiTheme="minorHAnsi" w:hAnsiTheme="minorHAnsi" w:cs="Calibri"/>
                <w:color w:val="000000"/>
                <w:sz w:val="22"/>
                <w:szCs w:val="22"/>
              </w:rPr>
              <w:t>279</w:t>
            </w:r>
          </w:p>
        </w:tc>
      </w:tr>
      <w:tr w:rsidR="001F27D2" w:rsidRPr="002B2A7F" w14:paraId="435B57BE" w14:textId="77777777" w:rsidTr="001F27D2">
        <w:trPr>
          <w:trHeight w:val="285"/>
        </w:trPr>
        <w:tc>
          <w:tcPr>
            <w:tcW w:w="3639" w:type="pct"/>
            <w:gridSpan w:val="2"/>
            <w:shd w:val="clear" w:color="auto" w:fill="auto"/>
            <w:noWrap/>
            <w:vAlign w:val="bottom"/>
            <w:hideMark/>
          </w:tcPr>
          <w:p w14:paraId="5F16C39A" w14:textId="77777777" w:rsidR="001F27D2" w:rsidRPr="002B2A7F" w:rsidRDefault="001F27D2" w:rsidP="000C2C5C">
            <w:pPr>
              <w:spacing w:before="20" w:after="20"/>
              <w:rPr>
                <w:rFonts w:asciiTheme="minorHAnsi" w:hAnsiTheme="minorHAnsi" w:cs="Calibri"/>
                <w:b/>
                <w:bCs/>
                <w:color w:val="000000"/>
                <w:sz w:val="22"/>
                <w:szCs w:val="22"/>
                <w:highlight w:val="red"/>
                <w:lang w:eastAsia="en-GB"/>
              </w:rPr>
            </w:pPr>
            <w:r w:rsidRPr="002B2A7F">
              <w:rPr>
                <w:rFonts w:asciiTheme="minorHAnsi" w:hAnsiTheme="minorHAnsi" w:cs="Calibri"/>
                <w:b/>
                <w:bCs/>
                <w:color w:val="000000"/>
                <w:sz w:val="22"/>
                <w:szCs w:val="22"/>
                <w:lang w:eastAsia="en-GB"/>
              </w:rPr>
              <w:t>Total no. households in need (with one or more housing needs)</w:t>
            </w:r>
          </w:p>
        </w:tc>
        <w:tc>
          <w:tcPr>
            <w:tcW w:w="1361" w:type="pct"/>
            <w:shd w:val="clear" w:color="auto" w:fill="auto"/>
            <w:vAlign w:val="center"/>
          </w:tcPr>
          <w:p w14:paraId="075AD99F" w14:textId="77777777" w:rsidR="001F27D2" w:rsidRPr="002B2A7F" w:rsidRDefault="001F27D2" w:rsidP="000C2C5C">
            <w:pPr>
              <w:spacing w:before="20" w:after="20"/>
              <w:jc w:val="center"/>
              <w:rPr>
                <w:rFonts w:asciiTheme="minorHAnsi" w:hAnsiTheme="minorHAnsi" w:cs="Calibri"/>
                <w:b/>
                <w:bCs/>
                <w:color w:val="000000"/>
                <w:sz w:val="22"/>
                <w:szCs w:val="22"/>
                <w:lang w:eastAsia="en-GB"/>
              </w:rPr>
            </w:pPr>
            <w:r w:rsidRPr="002B2A7F">
              <w:rPr>
                <w:rFonts w:asciiTheme="minorHAnsi" w:hAnsiTheme="minorHAnsi" w:cs="Calibri"/>
                <w:b/>
                <w:bCs/>
                <w:color w:val="000000"/>
                <w:sz w:val="22"/>
                <w:szCs w:val="22"/>
                <w:lang w:eastAsia="en-GB"/>
              </w:rPr>
              <w:t>2,639</w:t>
            </w:r>
          </w:p>
        </w:tc>
      </w:tr>
      <w:tr w:rsidR="001F27D2" w:rsidRPr="002B2A7F" w14:paraId="2369E4A1" w14:textId="77777777" w:rsidTr="001F27D2">
        <w:trPr>
          <w:trHeight w:val="285"/>
        </w:trPr>
        <w:tc>
          <w:tcPr>
            <w:tcW w:w="3639" w:type="pct"/>
            <w:gridSpan w:val="2"/>
            <w:shd w:val="clear" w:color="auto" w:fill="auto"/>
            <w:noWrap/>
            <w:vAlign w:val="bottom"/>
            <w:hideMark/>
          </w:tcPr>
          <w:p w14:paraId="2241E998" w14:textId="77777777" w:rsidR="001F27D2" w:rsidRPr="002B2A7F" w:rsidRDefault="001F27D2" w:rsidP="000C2C5C">
            <w:pPr>
              <w:spacing w:before="20" w:after="20"/>
              <w:rPr>
                <w:rFonts w:asciiTheme="minorHAnsi" w:hAnsiTheme="minorHAnsi" w:cs="Calibri"/>
                <w:color w:val="000000"/>
                <w:sz w:val="22"/>
                <w:szCs w:val="22"/>
                <w:highlight w:val="red"/>
                <w:lang w:eastAsia="en-GB"/>
              </w:rPr>
            </w:pPr>
            <w:r w:rsidRPr="002B2A7F">
              <w:rPr>
                <w:rFonts w:asciiTheme="minorHAnsi" w:hAnsiTheme="minorHAnsi" w:cs="Calibri"/>
                <w:color w:val="000000"/>
                <w:sz w:val="22"/>
                <w:szCs w:val="22"/>
                <w:lang w:eastAsia="en-GB"/>
              </w:rPr>
              <w:t>Total Households</w:t>
            </w:r>
          </w:p>
        </w:tc>
        <w:tc>
          <w:tcPr>
            <w:tcW w:w="1361" w:type="pct"/>
            <w:shd w:val="clear" w:color="auto" w:fill="auto"/>
            <w:vAlign w:val="center"/>
          </w:tcPr>
          <w:p w14:paraId="55AB3054" w14:textId="77777777" w:rsidR="001F27D2" w:rsidRPr="002B2A7F" w:rsidRDefault="001F27D2" w:rsidP="000C2C5C">
            <w:pPr>
              <w:spacing w:before="20" w:after="20"/>
              <w:jc w:val="center"/>
              <w:rPr>
                <w:rFonts w:asciiTheme="minorHAnsi" w:hAnsiTheme="minorHAnsi" w:cs="Calibri"/>
                <w:color w:val="000000"/>
                <w:sz w:val="22"/>
                <w:szCs w:val="22"/>
                <w:lang w:eastAsia="en-GB"/>
              </w:rPr>
            </w:pPr>
            <w:r w:rsidRPr="002B2A7F">
              <w:rPr>
                <w:rFonts w:asciiTheme="minorHAnsi" w:hAnsiTheme="minorHAnsi" w:cs="Calibri"/>
                <w:color w:val="000000"/>
                <w:sz w:val="22"/>
                <w:szCs w:val="22"/>
                <w:lang w:eastAsia="en-GB"/>
              </w:rPr>
              <w:t>23,763</w:t>
            </w:r>
          </w:p>
        </w:tc>
      </w:tr>
      <w:tr w:rsidR="001F27D2" w:rsidRPr="002B2A7F" w14:paraId="298490F0" w14:textId="77777777" w:rsidTr="001F27D2">
        <w:trPr>
          <w:trHeight w:val="285"/>
        </w:trPr>
        <w:tc>
          <w:tcPr>
            <w:tcW w:w="3639" w:type="pct"/>
            <w:gridSpan w:val="2"/>
            <w:shd w:val="clear" w:color="auto" w:fill="auto"/>
            <w:noWrap/>
            <w:vAlign w:val="bottom"/>
            <w:hideMark/>
          </w:tcPr>
          <w:p w14:paraId="3074AD5C" w14:textId="77777777" w:rsidR="001F27D2" w:rsidRPr="002B2A7F" w:rsidRDefault="001F27D2" w:rsidP="000C2C5C">
            <w:pPr>
              <w:spacing w:before="20" w:after="20"/>
              <w:rPr>
                <w:rFonts w:asciiTheme="minorHAnsi" w:hAnsiTheme="minorHAnsi" w:cs="Calibri"/>
                <w:b/>
                <w:bCs/>
                <w:color w:val="000000"/>
                <w:sz w:val="22"/>
                <w:szCs w:val="22"/>
                <w:highlight w:val="red"/>
                <w:lang w:eastAsia="en-GB"/>
              </w:rPr>
            </w:pPr>
            <w:r w:rsidRPr="002B2A7F">
              <w:rPr>
                <w:rFonts w:asciiTheme="minorHAnsi" w:hAnsiTheme="minorHAnsi" w:cs="Calibri"/>
                <w:b/>
                <w:bCs/>
                <w:color w:val="000000"/>
                <w:sz w:val="22"/>
                <w:szCs w:val="22"/>
                <w:lang w:eastAsia="en-GB"/>
              </w:rPr>
              <w:t>% households in need</w:t>
            </w:r>
          </w:p>
        </w:tc>
        <w:tc>
          <w:tcPr>
            <w:tcW w:w="1361" w:type="pct"/>
            <w:shd w:val="clear" w:color="auto" w:fill="auto"/>
            <w:vAlign w:val="center"/>
          </w:tcPr>
          <w:p w14:paraId="072B7718" w14:textId="77777777" w:rsidR="001F27D2" w:rsidRPr="002B2A7F" w:rsidRDefault="001F27D2" w:rsidP="000C2C5C">
            <w:pPr>
              <w:spacing w:before="20" w:after="20"/>
              <w:jc w:val="center"/>
              <w:rPr>
                <w:rFonts w:asciiTheme="minorHAnsi" w:hAnsiTheme="minorHAnsi" w:cs="Calibri"/>
                <w:b/>
                <w:bCs/>
                <w:color w:val="000000"/>
                <w:sz w:val="22"/>
                <w:szCs w:val="22"/>
                <w:highlight w:val="red"/>
                <w:lang w:eastAsia="en-GB"/>
              </w:rPr>
            </w:pPr>
            <w:r w:rsidRPr="002B2A7F">
              <w:rPr>
                <w:rFonts w:asciiTheme="minorHAnsi" w:hAnsiTheme="minorHAnsi" w:cs="Calibri"/>
                <w:b/>
                <w:bCs/>
                <w:color w:val="000000"/>
                <w:sz w:val="22"/>
                <w:szCs w:val="22"/>
                <w:lang w:eastAsia="en-GB"/>
              </w:rPr>
              <w:t>11.1%</w:t>
            </w:r>
          </w:p>
        </w:tc>
      </w:tr>
    </w:tbl>
    <w:p w14:paraId="5DB90A06" w14:textId="77777777" w:rsidR="001F27D2" w:rsidRPr="002B2A7F" w:rsidRDefault="001F27D2" w:rsidP="001F27D2">
      <w:pPr>
        <w:rPr>
          <w:rFonts w:asciiTheme="minorHAnsi" w:hAnsiTheme="minorHAnsi" w:cs="Calibri"/>
          <w:iCs/>
          <w:sz w:val="20"/>
          <w:szCs w:val="20"/>
        </w:rPr>
      </w:pPr>
      <w:r w:rsidRPr="002B2A7F">
        <w:rPr>
          <w:rFonts w:asciiTheme="minorHAnsi" w:hAnsiTheme="minorHAnsi" w:cs="Calibri"/>
          <w:b/>
          <w:iCs/>
          <w:sz w:val="20"/>
          <w:szCs w:val="20"/>
        </w:rPr>
        <w:t xml:space="preserve">Note: </w:t>
      </w:r>
      <w:r w:rsidRPr="002B2A7F">
        <w:rPr>
          <w:rFonts w:asciiTheme="minorHAnsi" w:hAnsiTheme="minorHAnsi" w:cs="Calibri"/>
          <w:iCs/>
          <w:sz w:val="20"/>
          <w:szCs w:val="20"/>
        </w:rPr>
        <w:t>A household may have more than one housing need.</w:t>
      </w:r>
    </w:p>
    <w:p w14:paraId="1EC262EC" w14:textId="77777777" w:rsidR="001F27D2" w:rsidRPr="002B2A7F" w:rsidRDefault="001F27D2" w:rsidP="001F27D2">
      <w:pPr>
        <w:rPr>
          <w:rFonts w:asciiTheme="minorHAnsi" w:hAnsiTheme="minorHAnsi" w:cs="Calibri"/>
          <w:b/>
          <w:iCs/>
          <w:sz w:val="20"/>
          <w:szCs w:val="20"/>
        </w:rPr>
      </w:pPr>
      <w:r w:rsidRPr="002B2A7F">
        <w:rPr>
          <w:rFonts w:asciiTheme="minorHAnsi" w:hAnsiTheme="minorHAnsi" w:cs="Calibri"/>
          <w:iCs/>
          <w:sz w:val="20"/>
          <w:szCs w:val="20"/>
        </w:rPr>
        <w:t xml:space="preserve">Source: 2018 Household Survey </w:t>
      </w:r>
    </w:p>
    <w:p w14:paraId="2259A9F0" w14:textId="77777777" w:rsidR="001F27D2" w:rsidRPr="002B2A7F" w:rsidRDefault="001F27D2" w:rsidP="001F27D2">
      <w:pPr>
        <w:rPr>
          <w:rFonts w:asciiTheme="minorHAnsi" w:hAnsiTheme="minorHAnsi" w:cs="Calibri"/>
          <w:highlight w:val="red"/>
        </w:rPr>
      </w:pPr>
    </w:p>
    <w:p w14:paraId="64D92A7C" w14:textId="77777777" w:rsidR="001F27D2" w:rsidRPr="002B2A7F" w:rsidRDefault="001F27D2" w:rsidP="001F27D2">
      <w:pPr>
        <w:pStyle w:val="tableheading"/>
        <w:rPr>
          <w:rFonts w:asciiTheme="minorHAnsi" w:hAnsiTheme="minorHAnsi" w:cs="Calibri"/>
          <w:color w:val="009999"/>
          <w:highlight w:val="red"/>
        </w:rPr>
        <w:sectPr w:rsidR="001F27D2" w:rsidRPr="002B2A7F" w:rsidSect="00BA2B77">
          <w:headerReference w:type="default" r:id="rId76"/>
          <w:footerReference w:type="default" r:id="rId77"/>
          <w:pgSz w:w="11907" w:h="16840" w:code="9"/>
          <w:pgMar w:top="1304" w:right="1304" w:bottom="1559" w:left="1304" w:header="720" w:footer="567" w:gutter="0"/>
          <w:cols w:space="708"/>
          <w:noEndnote/>
          <w:docGrid w:linePitch="326"/>
        </w:sectPr>
      </w:pPr>
    </w:p>
    <w:tbl>
      <w:tblPr>
        <w:tblW w:w="14085" w:type="dxa"/>
        <w:tblInd w:w="108"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6317"/>
        <w:gridCol w:w="1248"/>
        <w:gridCol w:w="1417"/>
        <w:gridCol w:w="1017"/>
        <w:gridCol w:w="1251"/>
        <w:gridCol w:w="993"/>
        <w:gridCol w:w="850"/>
        <w:gridCol w:w="992"/>
      </w:tblGrid>
      <w:tr w:rsidR="000C2C5C" w:rsidRPr="002B2A7F" w14:paraId="4ECD2D5F" w14:textId="77777777" w:rsidTr="000C2C5C">
        <w:trPr>
          <w:trHeight w:val="320"/>
        </w:trPr>
        <w:tc>
          <w:tcPr>
            <w:tcW w:w="14085" w:type="dxa"/>
            <w:gridSpan w:val="8"/>
            <w:shd w:val="clear" w:color="000000" w:fill="009193"/>
            <w:noWrap/>
            <w:vAlign w:val="bottom"/>
          </w:tcPr>
          <w:p w14:paraId="116E4802" w14:textId="4966215E" w:rsidR="000C2C5C" w:rsidRPr="002B2A7F" w:rsidRDefault="000C2C5C" w:rsidP="000C2C5C">
            <w:pPr>
              <w:pStyle w:val="Tableheading1"/>
              <w:rPr>
                <w:color w:val="FFFFFF"/>
              </w:rPr>
            </w:pPr>
            <w:bookmarkStart w:id="785" w:name="_Toc505362724"/>
            <w:bookmarkStart w:id="786" w:name="_Toc529652142"/>
            <w:bookmarkStart w:id="787" w:name="_Toc529739494"/>
            <w:bookmarkStart w:id="788" w:name="_Toc531122987"/>
            <w:bookmarkStart w:id="789" w:name="_Toc532812519"/>
            <w:r w:rsidRPr="002B2A7F">
              <w:lastRenderedPageBreak/>
              <w:t>Table C5</w:t>
            </w:r>
            <w:r w:rsidRPr="002B2A7F">
              <w:tab/>
              <w:t xml:space="preserve">Summary of current need by </w:t>
            </w:r>
            <w:bookmarkEnd w:id="785"/>
            <w:bookmarkEnd w:id="786"/>
            <w:bookmarkEnd w:id="787"/>
            <w:r w:rsidRPr="002B2A7F">
              <w:t>housing market area</w:t>
            </w:r>
            <w:bookmarkEnd w:id="788"/>
            <w:bookmarkEnd w:id="789"/>
          </w:p>
        </w:tc>
      </w:tr>
      <w:tr w:rsidR="000C2C5C" w:rsidRPr="000C2C5C" w14:paraId="4A078C88" w14:textId="77777777" w:rsidTr="000C2C5C">
        <w:tc>
          <w:tcPr>
            <w:tcW w:w="6317" w:type="dxa"/>
            <w:vMerge w:val="restart"/>
            <w:shd w:val="clear" w:color="000000" w:fill="009193"/>
            <w:noWrap/>
            <w:vAlign w:val="bottom"/>
            <w:hideMark/>
          </w:tcPr>
          <w:p w14:paraId="7D207034" w14:textId="42A0AF1C" w:rsidR="000C2C5C" w:rsidRPr="000C2C5C" w:rsidRDefault="000C2C5C" w:rsidP="000C2C5C">
            <w:pPr>
              <w:spacing w:beforeLines="20" w:before="48" w:afterLines="20" w:after="48"/>
              <w:rPr>
                <w:rFonts w:cs="Calibri"/>
                <w:b/>
                <w:bCs/>
                <w:color w:val="FFFFFF"/>
                <w:sz w:val="22"/>
                <w:szCs w:val="22"/>
              </w:rPr>
            </w:pPr>
            <w:r w:rsidRPr="000C2C5C">
              <w:rPr>
                <w:rFonts w:cs="Calibri"/>
                <w:b/>
                <w:bCs/>
                <w:color w:val="FFFFFF"/>
                <w:sz w:val="22"/>
                <w:szCs w:val="22"/>
              </w:rPr>
              <w:t>Housing need factor</w:t>
            </w:r>
            <w:r w:rsidRPr="000C2C5C">
              <w:rPr>
                <w:rFonts w:cs="Calibri"/>
                <w:color w:val="FFFFFF"/>
                <w:sz w:val="22"/>
                <w:szCs w:val="22"/>
              </w:rPr>
              <w:t> </w:t>
            </w:r>
          </w:p>
        </w:tc>
        <w:tc>
          <w:tcPr>
            <w:tcW w:w="6776" w:type="dxa"/>
            <w:gridSpan w:val="6"/>
            <w:shd w:val="clear" w:color="000000" w:fill="009193"/>
            <w:noWrap/>
            <w:vAlign w:val="bottom"/>
            <w:hideMark/>
          </w:tcPr>
          <w:p w14:paraId="16159D1C" w14:textId="77777777" w:rsidR="000C2C5C" w:rsidRPr="000C2C5C" w:rsidRDefault="000C2C5C" w:rsidP="000C2C5C">
            <w:pPr>
              <w:spacing w:beforeLines="20" w:before="48" w:afterLines="20" w:after="48"/>
              <w:rPr>
                <w:rFonts w:cs="Calibri"/>
                <w:b/>
                <w:bCs/>
                <w:color w:val="FFFFFF"/>
                <w:sz w:val="22"/>
                <w:szCs w:val="22"/>
              </w:rPr>
            </w:pPr>
            <w:r w:rsidRPr="000C2C5C">
              <w:rPr>
                <w:rFonts w:cs="Calibri"/>
                <w:b/>
                <w:bCs/>
                <w:color w:val="FFFFFF"/>
                <w:sz w:val="22"/>
                <w:szCs w:val="22"/>
              </w:rPr>
              <w:t>Housing Market Area (number in need)</w:t>
            </w:r>
          </w:p>
        </w:tc>
        <w:tc>
          <w:tcPr>
            <w:tcW w:w="992" w:type="dxa"/>
            <w:vMerge w:val="restart"/>
            <w:shd w:val="clear" w:color="000000" w:fill="009193"/>
            <w:vAlign w:val="bottom"/>
          </w:tcPr>
          <w:p w14:paraId="607D8296" w14:textId="0BE88C86" w:rsidR="000C2C5C" w:rsidRPr="000C2C5C" w:rsidRDefault="000C2C5C" w:rsidP="000C2C5C">
            <w:pPr>
              <w:spacing w:beforeLines="20" w:before="48" w:afterLines="20" w:after="48"/>
              <w:jc w:val="center"/>
              <w:rPr>
                <w:rFonts w:cs="Calibri"/>
                <w:b/>
                <w:bCs/>
                <w:color w:val="FFFFFF"/>
                <w:sz w:val="22"/>
                <w:szCs w:val="22"/>
              </w:rPr>
            </w:pPr>
            <w:r w:rsidRPr="000C2C5C">
              <w:rPr>
                <w:rFonts w:cs="Calibri"/>
                <w:b/>
                <w:color w:val="FFFFFF"/>
                <w:sz w:val="22"/>
                <w:szCs w:val="22"/>
              </w:rPr>
              <w:t>Total</w:t>
            </w:r>
          </w:p>
        </w:tc>
      </w:tr>
      <w:tr w:rsidR="000C2C5C" w:rsidRPr="000C2C5C" w14:paraId="2C638AA9" w14:textId="77777777" w:rsidTr="000C2C5C">
        <w:tc>
          <w:tcPr>
            <w:tcW w:w="6317" w:type="dxa"/>
            <w:vMerge/>
            <w:shd w:val="clear" w:color="000000" w:fill="009193"/>
            <w:noWrap/>
            <w:vAlign w:val="bottom"/>
            <w:hideMark/>
          </w:tcPr>
          <w:p w14:paraId="1EA727A8" w14:textId="438945B0" w:rsidR="000C2C5C" w:rsidRPr="000C2C5C" w:rsidRDefault="000C2C5C" w:rsidP="000C2C5C">
            <w:pPr>
              <w:spacing w:beforeLines="20" w:before="48" w:afterLines="20" w:after="48"/>
              <w:rPr>
                <w:rFonts w:cs="Calibri"/>
                <w:color w:val="FFFFFF"/>
                <w:sz w:val="22"/>
                <w:szCs w:val="22"/>
              </w:rPr>
            </w:pPr>
          </w:p>
        </w:tc>
        <w:tc>
          <w:tcPr>
            <w:tcW w:w="1248" w:type="dxa"/>
            <w:shd w:val="clear" w:color="000000" w:fill="009193"/>
            <w:vAlign w:val="bottom"/>
            <w:hideMark/>
          </w:tcPr>
          <w:p w14:paraId="0DA9213D" w14:textId="77777777" w:rsidR="000C2C5C" w:rsidRPr="000C2C5C" w:rsidRDefault="000C2C5C" w:rsidP="000C2C5C">
            <w:pPr>
              <w:spacing w:beforeLines="20" w:before="48" w:afterLines="20" w:after="48"/>
              <w:jc w:val="center"/>
              <w:rPr>
                <w:rFonts w:cs="Calibri"/>
                <w:color w:val="FFFFFF"/>
                <w:sz w:val="22"/>
                <w:szCs w:val="22"/>
              </w:rPr>
            </w:pPr>
            <w:r w:rsidRPr="000C2C5C">
              <w:rPr>
                <w:rFonts w:cs="Calibri"/>
                <w:color w:val="FFFFFF"/>
                <w:sz w:val="22"/>
                <w:szCs w:val="22"/>
              </w:rPr>
              <w:t>HMA1A Penrith Urban</w:t>
            </w:r>
          </w:p>
        </w:tc>
        <w:tc>
          <w:tcPr>
            <w:tcW w:w="1417" w:type="dxa"/>
            <w:shd w:val="clear" w:color="000000" w:fill="009193"/>
            <w:vAlign w:val="bottom"/>
            <w:hideMark/>
          </w:tcPr>
          <w:p w14:paraId="2C6CE665" w14:textId="77777777" w:rsidR="000C2C5C" w:rsidRPr="000C2C5C" w:rsidRDefault="000C2C5C" w:rsidP="000C2C5C">
            <w:pPr>
              <w:spacing w:beforeLines="20" w:before="48" w:afterLines="20" w:after="48"/>
              <w:jc w:val="center"/>
              <w:rPr>
                <w:rFonts w:cs="Calibri"/>
                <w:color w:val="FFFFFF"/>
                <w:sz w:val="22"/>
                <w:szCs w:val="22"/>
              </w:rPr>
            </w:pPr>
            <w:r w:rsidRPr="000C2C5C">
              <w:rPr>
                <w:rFonts w:cs="Calibri"/>
                <w:color w:val="FFFFFF"/>
                <w:sz w:val="22"/>
                <w:szCs w:val="22"/>
              </w:rPr>
              <w:t>HMA1B Penrith Rural</w:t>
            </w:r>
          </w:p>
        </w:tc>
        <w:tc>
          <w:tcPr>
            <w:tcW w:w="1017" w:type="dxa"/>
            <w:shd w:val="clear" w:color="000000" w:fill="009193"/>
            <w:vAlign w:val="bottom"/>
            <w:hideMark/>
          </w:tcPr>
          <w:p w14:paraId="68CF843C" w14:textId="77777777" w:rsidR="000C2C5C" w:rsidRPr="000C2C5C" w:rsidRDefault="000C2C5C" w:rsidP="000C2C5C">
            <w:pPr>
              <w:spacing w:beforeLines="20" w:before="48" w:afterLines="20" w:after="48"/>
              <w:jc w:val="center"/>
              <w:rPr>
                <w:rFonts w:cs="Calibri"/>
                <w:color w:val="FFFFFF"/>
                <w:sz w:val="22"/>
                <w:szCs w:val="22"/>
              </w:rPr>
            </w:pPr>
            <w:r w:rsidRPr="000C2C5C">
              <w:rPr>
                <w:rFonts w:cs="Calibri"/>
                <w:color w:val="FFFFFF"/>
                <w:sz w:val="22"/>
                <w:szCs w:val="22"/>
              </w:rPr>
              <w:t>HMA2 Appleby</w:t>
            </w:r>
          </w:p>
        </w:tc>
        <w:tc>
          <w:tcPr>
            <w:tcW w:w="1251" w:type="dxa"/>
            <w:shd w:val="clear" w:color="000000" w:fill="009193"/>
            <w:vAlign w:val="bottom"/>
            <w:hideMark/>
          </w:tcPr>
          <w:p w14:paraId="7C10DFF0" w14:textId="77777777" w:rsidR="000C2C5C" w:rsidRPr="000C2C5C" w:rsidRDefault="000C2C5C" w:rsidP="000C2C5C">
            <w:pPr>
              <w:spacing w:beforeLines="20" w:before="48" w:afterLines="20" w:after="48"/>
              <w:jc w:val="center"/>
              <w:rPr>
                <w:rFonts w:cs="Calibri"/>
                <w:color w:val="FFFFFF"/>
                <w:sz w:val="22"/>
                <w:szCs w:val="22"/>
              </w:rPr>
            </w:pPr>
            <w:r w:rsidRPr="000C2C5C">
              <w:rPr>
                <w:rFonts w:cs="Calibri"/>
                <w:color w:val="FFFFFF"/>
                <w:sz w:val="22"/>
                <w:szCs w:val="22"/>
              </w:rPr>
              <w:t>HMA3 Kirkby Stephen</w:t>
            </w:r>
          </w:p>
        </w:tc>
        <w:tc>
          <w:tcPr>
            <w:tcW w:w="993" w:type="dxa"/>
            <w:shd w:val="clear" w:color="000000" w:fill="009193"/>
            <w:vAlign w:val="bottom"/>
            <w:hideMark/>
          </w:tcPr>
          <w:p w14:paraId="2E6BFAD7" w14:textId="77777777" w:rsidR="000C2C5C" w:rsidRPr="000C2C5C" w:rsidRDefault="000C2C5C" w:rsidP="000C2C5C">
            <w:pPr>
              <w:spacing w:beforeLines="20" w:before="48" w:afterLines="20" w:after="48"/>
              <w:jc w:val="center"/>
              <w:rPr>
                <w:rFonts w:cs="Calibri"/>
                <w:color w:val="FFFFFF"/>
                <w:sz w:val="22"/>
                <w:szCs w:val="22"/>
              </w:rPr>
            </w:pPr>
            <w:r w:rsidRPr="000C2C5C">
              <w:rPr>
                <w:rFonts w:cs="Calibri"/>
                <w:color w:val="FFFFFF"/>
                <w:sz w:val="22"/>
                <w:szCs w:val="22"/>
              </w:rPr>
              <w:t>HMA4 Alston</w:t>
            </w:r>
          </w:p>
        </w:tc>
        <w:tc>
          <w:tcPr>
            <w:tcW w:w="850" w:type="dxa"/>
            <w:shd w:val="clear" w:color="000000" w:fill="009193"/>
            <w:vAlign w:val="bottom"/>
            <w:hideMark/>
          </w:tcPr>
          <w:p w14:paraId="7F82DF4C" w14:textId="77777777" w:rsidR="000C2C5C" w:rsidRPr="000C2C5C" w:rsidRDefault="000C2C5C" w:rsidP="000C2C5C">
            <w:pPr>
              <w:spacing w:beforeLines="20" w:before="48" w:afterLines="20" w:after="48"/>
              <w:jc w:val="center"/>
              <w:rPr>
                <w:rFonts w:cs="Calibri"/>
                <w:color w:val="FFFFFF"/>
                <w:sz w:val="22"/>
                <w:szCs w:val="22"/>
              </w:rPr>
            </w:pPr>
            <w:r w:rsidRPr="000C2C5C">
              <w:rPr>
                <w:rFonts w:cs="Calibri"/>
                <w:color w:val="FFFFFF"/>
                <w:sz w:val="22"/>
                <w:szCs w:val="22"/>
              </w:rPr>
              <w:t>HMA5 West of M6</w:t>
            </w:r>
          </w:p>
        </w:tc>
        <w:tc>
          <w:tcPr>
            <w:tcW w:w="992" w:type="dxa"/>
            <w:vMerge/>
            <w:shd w:val="clear" w:color="000000" w:fill="009193"/>
            <w:vAlign w:val="bottom"/>
            <w:hideMark/>
          </w:tcPr>
          <w:p w14:paraId="5ABD549A" w14:textId="2481355A" w:rsidR="000C2C5C" w:rsidRPr="000C2C5C" w:rsidRDefault="000C2C5C" w:rsidP="000C2C5C">
            <w:pPr>
              <w:spacing w:beforeLines="20" w:before="48" w:afterLines="20" w:after="48"/>
              <w:jc w:val="center"/>
              <w:rPr>
                <w:rFonts w:cs="Calibri"/>
                <w:color w:val="FFFFFF"/>
                <w:sz w:val="22"/>
                <w:szCs w:val="22"/>
              </w:rPr>
            </w:pPr>
          </w:p>
        </w:tc>
      </w:tr>
      <w:tr w:rsidR="001F27D2" w:rsidRPr="000C2C5C" w14:paraId="044D8940" w14:textId="77777777" w:rsidTr="000C2C5C">
        <w:tc>
          <w:tcPr>
            <w:tcW w:w="6317" w:type="dxa"/>
            <w:shd w:val="clear" w:color="auto" w:fill="auto"/>
            <w:vAlign w:val="bottom"/>
            <w:hideMark/>
          </w:tcPr>
          <w:p w14:paraId="01CB52C2" w14:textId="77777777" w:rsidR="001F27D2" w:rsidRPr="000C2C5C" w:rsidRDefault="001F27D2" w:rsidP="000C2C5C">
            <w:pPr>
              <w:spacing w:beforeLines="20" w:before="48" w:afterLines="20" w:after="48"/>
              <w:rPr>
                <w:rFonts w:cs="Calibri"/>
                <w:color w:val="000000"/>
                <w:sz w:val="22"/>
                <w:szCs w:val="22"/>
              </w:rPr>
            </w:pPr>
            <w:r w:rsidRPr="000C2C5C">
              <w:rPr>
                <w:rFonts w:cs="Calibri"/>
                <w:color w:val="000000"/>
                <w:sz w:val="22"/>
                <w:szCs w:val="22"/>
              </w:rPr>
              <w:t>N1 Under notice, real threat of notice or lease coming to an end</w:t>
            </w:r>
          </w:p>
        </w:tc>
        <w:tc>
          <w:tcPr>
            <w:tcW w:w="1248" w:type="dxa"/>
            <w:shd w:val="clear" w:color="auto" w:fill="auto"/>
            <w:noWrap/>
            <w:vAlign w:val="center"/>
            <w:hideMark/>
          </w:tcPr>
          <w:p w14:paraId="70329C63"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132</w:t>
            </w:r>
          </w:p>
        </w:tc>
        <w:tc>
          <w:tcPr>
            <w:tcW w:w="1417" w:type="dxa"/>
            <w:shd w:val="clear" w:color="auto" w:fill="auto"/>
            <w:noWrap/>
            <w:vAlign w:val="center"/>
            <w:hideMark/>
          </w:tcPr>
          <w:p w14:paraId="60A67FD8"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20</w:t>
            </w:r>
          </w:p>
        </w:tc>
        <w:tc>
          <w:tcPr>
            <w:tcW w:w="1017" w:type="dxa"/>
            <w:shd w:val="clear" w:color="auto" w:fill="auto"/>
            <w:noWrap/>
            <w:vAlign w:val="center"/>
            <w:hideMark/>
          </w:tcPr>
          <w:p w14:paraId="6E837861"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0</w:t>
            </w:r>
          </w:p>
        </w:tc>
        <w:tc>
          <w:tcPr>
            <w:tcW w:w="1251" w:type="dxa"/>
            <w:shd w:val="clear" w:color="auto" w:fill="auto"/>
            <w:noWrap/>
            <w:vAlign w:val="center"/>
            <w:hideMark/>
          </w:tcPr>
          <w:p w14:paraId="44AE0531"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0</w:t>
            </w:r>
          </w:p>
        </w:tc>
        <w:tc>
          <w:tcPr>
            <w:tcW w:w="993" w:type="dxa"/>
            <w:shd w:val="clear" w:color="auto" w:fill="auto"/>
            <w:noWrap/>
            <w:vAlign w:val="center"/>
            <w:hideMark/>
          </w:tcPr>
          <w:p w14:paraId="630A0EA0"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15</w:t>
            </w:r>
          </w:p>
        </w:tc>
        <w:tc>
          <w:tcPr>
            <w:tcW w:w="850" w:type="dxa"/>
            <w:shd w:val="clear" w:color="auto" w:fill="auto"/>
            <w:noWrap/>
            <w:vAlign w:val="center"/>
            <w:hideMark/>
          </w:tcPr>
          <w:p w14:paraId="13E00A90"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15</w:t>
            </w:r>
          </w:p>
        </w:tc>
        <w:tc>
          <w:tcPr>
            <w:tcW w:w="992" w:type="dxa"/>
            <w:shd w:val="clear" w:color="auto" w:fill="auto"/>
            <w:noWrap/>
            <w:vAlign w:val="center"/>
            <w:hideMark/>
          </w:tcPr>
          <w:p w14:paraId="1501E226"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182</w:t>
            </w:r>
          </w:p>
        </w:tc>
      </w:tr>
      <w:tr w:rsidR="001F27D2" w:rsidRPr="000C2C5C" w14:paraId="62D18186" w14:textId="77777777" w:rsidTr="000C2C5C">
        <w:tc>
          <w:tcPr>
            <w:tcW w:w="6317" w:type="dxa"/>
            <w:shd w:val="clear" w:color="auto" w:fill="auto"/>
            <w:vAlign w:val="bottom"/>
            <w:hideMark/>
          </w:tcPr>
          <w:p w14:paraId="2D970DA1" w14:textId="77777777" w:rsidR="001F27D2" w:rsidRPr="000C2C5C" w:rsidRDefault="001F27D2" w:rsidP="000C2C5C">
            <w:pPr>
              <w:spacing w:beforeLines="20" w:before="48" w:afterLines="20" w:after="48"/>
              <w:rPr>
                <w:rFonts w:cs="Calibri"/>
                <w:color w:val="000000"/>
                <w:sz w:val="22"/>
                <w:szCs w:val="22"/>
              </w:rPr>
            </w:pPr>
            <w:r w:rsidRPr="000C2C5C">
              <w:rPr>
                <w:rFonts w:cs="Calibri"/>
                <w:color w:val="000000"/>
                <w:sz w:val="22"/>
                <w:szCs w:val="22"/>
              </w:rPr>
              <w:t>N2 Too expensive, and in receipt of housing benefit or in arrears due to expense</w:t>
            </w:r>
          </w:p>
        </w:tc>
        <w:tc>
          <w:tcPr>
            <w:tcW w:w="1248" w:type="dxa"/>
            <w:shd w:val="clear" w:color="auto" w:fill="auto"/>
            <w:noWrap/>
            <w:vAlign w:val="center"/>
            <w:hideMark/>
          </w:tcPr>
          <w:p w14:paraId="16F2A7DE"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206</w:t>
            </w:r>
          </w:p>
        </w:tc>
        <w:tc>
          <w:tcPr>
            <w:tcW w:w="1417" w:type="dxa"/>
            <w:shd w:val="clear" w:color="auto" w:fill="auto"/>
            <w:noWrap/>
            <w:vAlign w:val="center"/>
            <w:hideMark/>
          </w:tcPr>
          <w:p w14:paraId="761EA2F9"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129</w:t>
            </w:r>
          </w:p>
        </w:tc>
        <w:tc>
          <w:tcPr>
            <w:tcW w:w="1017" w:type="dxa"/>
            <w:shd w:val="clear" w:color="auto" w:fill="auto"/>
            <w:noWrap/>
            <w:vAlign w:val="center"/>
            <w:hideMark/>
          </w:tcPr>
          <w:p w14:paraId="105F148F"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84</w:t>
            </w:r>
          </w:p>
        </w:tc>
        <w:tc>
          <w:tcPr>
            <w:tcW w:w="1251" w:type="dxa"/>
            <w:shd w:val="clear" w:color="auto" w:fill="auto"/>
            <w:noWrap/>
            <w:vAlign w:val="center"/>
            <w:hideMark/>
          </w:tcPr>
          <w:p w14:paraId="2AA46D38"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27</w:t>
            </w:r>
          </w:p>
        </w:tc>
        <w:tc>
          <w:tcPr>
            <w:tcW w:w="993" w:type="dxa"/>
            <w:shd w:val="clear" w:color="auto" w:fill="auto"/>
            <w:noWrap/>
            <w:vAlign w:val="center"/>
            <w:hideMark/>
          </w:tcPr>
          <w:p w14:paraId="00FECAD3"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64</w:t>
            </w:r>
          </w:p>
        </w:tc>
        <w:tc>
          <w:tcPr>
            <w:tcW w:w="850" w:type="dxa"/>
            <w:shd w:val="clear" w:color="auto" w:fill="auto"/>
            <w:noWrap/>
            <w:vAlign w:val="center"/>
            <w:hideMark/>
          </w:tcPr>
          <w:p w14:paraId="49B7AD16"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24</w:t>
            </w:r>
          </w:p>
        </w:tc>
        <w:tc>
          <w:tcPr>
            <w:tcW w:w="992" w:type="dxa"/>
            <w:shd w:val="clear" w:color="auto" w:fill="auto"/>
            <w:noWrap/>
            <w:vAlign w:val="center"/>
            <w:hideMark/>
          </w:tcPr>
          <w:p w14:paraId="2677F3D2"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534</w:t>
            </w:r>
          </w:p>
        </w:tc>
      </w:tr>
      <w:tr w:rsidR="001F27D2" w:rsidRPr="000C2C5C" w14:paraId="0818180A" w14:textId="77777777" w:rsidTr="000C2C5C">
        <w:tc>
          <w:tcPr>
            <w:tcW w:w="6317" w:type="dxa"/>
            <w:shd w:val="clear" w:color="auto" w:fill="auto"/>
            <w:vAlign w:val="bottom"/>
            <w:hideMark/>
          </w:tcPr>
          <w:p w14:paraId="1A62E166" w14:textId="77777777" w:rsidR="001F27D2" w:rsidRPr="000C2C5C" w:rsidRDefault="001F27D2" w:rsidP="000C2C5C">
            <w:pPr>
              <w:spacing w:beforeLines="20" w:before="48" w:afterLines="20" w:after="48"/>
              <w:rPr>
                <w:rFonts w:cs="Calibri"/>
                <w:color w:val="000000"/>
                <w:sz w:val="22"/>
                <w:szCs w:val="22"/>
              </w:rPr>
            </w:pPr>
            <w:r w:rsidRPr="000C2C5C">
              <w:rPr>
                <w:rFonts w:cs="Calibri"/>
                <w:color w:val="000000"/>
                <w:sz w:val="22"/>
                <w:szCs w:val="22"/>
              </w:rPr>
              <w:t>N3 Overcrowded according to the 'bedroom standard' model</w:t>
            </w:r>
          </w:p>
        </w:tc>
        <w:tc>
          <w:tcPr>
            <w:tcW w:w="1248" w:type="dxa"/>
            <w:shd w:val="clear" w:color="auto" w:fill="auto"/>
            <w:noWrap/>
            <w:vAlign w:val="center"/>
            <w:hideMark/>
          </w:tcPr>
          <w:p w14:paraId="5E6DD939"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188</w:t>
            </w:r>
          </w:p>
        </w:tc>
        <w:tc>
          <w:tcPr>
            <w:tcW w:w="1417" w:type="dxa"/>
            <w:shd w:val="clear" w:color="auto" w:fill="auto"/>
            <w:noWrap/>
            <w:vAlign w:val="center"/>
            <w:hideMark/>
          </w:tcPr>
          <w:p w14:paraId="37335160"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116</w:t>
            </w:r>
          </w:p>
        </w:tc>
        <w:tc>
          <w:tcPr>
            <w:tcW w:w="1017" w:type="dxa"/>
            <w:shd w:val="clear" w:color="auto" w:fill="auto"/>
            <w:noWrap/>
            <w:vAlign w:val="center"/>
            <w:hideMark/>
          </w:tcPr>
          <w:p w14:paraId="46C59868"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118</w:t>
            </w:r>
          </w:p>
        </w:tc>
        <w:tc>
          <w:tcPr>
            <w:tcW w:w="1251" w:type="dxa"/>
            <w:shd w:val="clear" w:color="auto" w:fill="auto"/>
            <w:noWrap/>
            <w:vAlign w:val="center"/>
            <w:hideMark/>
          </w:tcPr>
          <w:p w14:paraId="2574A107"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113</w:t>
            </w:r>
          </w:p>
        </w:tc>
        <w:tc>
          <w:tcPr>
            <w:tcW w:w="993" w:type="dxa"/>
            <w:shd w:val="clear" w:color="auto" w:fill="auto"/>
            <w:noWrap/>
            <w:vAlign w:val="center"/>
            <w:hideMark/>
          </w:tcPr>
          <w:p w14:paraId="06525BD1"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26</w:t>
            </w:r>
          </w:p>
        </w:tc>
        <w:tc>
          <w:tcPr>
            <w:tcW w:w="850" w:type="dxa"/>
            <w:shd w:val="clear" w:color="auto" w:fill="auto"/>
            <w:noWrap/>
            <w:vAlign w:val="center"/>
            <w:hideMark/>
          </w:tcPr>
          <w:p w14:paraId="20992556"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67</w:t>
            </w:r>
          </w:p>
        </w:tc>
        <w:tc>
          <w:tcPr>
            <w:tcW w:w="992" w:type="dxa"/>
            <w:shd w:val="clear" w:color="auto" w:fill="auto"/>
            <w:noWrap/>
            <w:vAlign w:val="center"/>
            <w:hideMark/>
          </w:tcPr>
          <w:p w14:paraId="2E3A27DD"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628</w:t>
            </w:r>
          </w:p>
        </w:tc>
      </w:tr>
      <w:tr w:rsidR="001F27D2" w:rsidRPr="000C2C5C" w14:paraId="361044F1" w14:textId="77777777" w:rsidTr="000C2C5C">
        <w:tc>
          <w:tcPr>
            <w:tcW w:w="6317" w:type="dxa"/>
            <w:shd w:val="clear" w:color="auto" w:fill="auto"/>
            <w:vAlign w:val="bottom"/>
            <w:hideMark/>
          </w:tcPr>
          <w:p w14:paraId="1F5EE770" w14:textId="77777777" w:rsidR="001F27D2" w:rsidRPr="000C2C5C" w:rsidRDefault="001F27D2" w:rsidP="000C2C5C">
            <w:pPr>
              <w:spacing w:beforeLines="20" w:before="48" w:afterLines="20" w:after="48"/>
              <w:rPr>
                <w:rFonts w:cs="Calibri"/>
                <w:color w:val="000000"/>
                <w:sz w:val="22"/>
                <w:szCs w:val="22"/>
              </w:rPr>
            </w:pPr>
            <w:r w:rsidRPr="000C2C5C">
              <w:rPr>
                <w:rFonts w:cs="Calibri"/>
                <w:color w:val="000000"/>
                <w:sz w:val="22"/>
                <w:szCs w:val="22"/>
              </w:rPr>
              <w:t>N4 Too difficult to maintain</w:t>
            </w:r>
          </w:p>
        </w:tc>
        <w:tc>
          <w:tcPr>
            <w:tcW w:w="1248" w:type="dxa"/>
            <w:shd w:val="clear" w:color="auto" w:fill="auto"/>
            <w:noWrap/>
            <w:vAlign w:val="center"/>
            <w:hideMark/>
          </w:tcPr>
          <w:p w14:paraId="16E1892F"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374</w:t>
            </w:r>
          </w:p>
        </w:tc>
        <w:tc>
          <w:tcPr>
            <w:tcW w:w="1417" w:type="dxa"/>
            <w:shd w:val="clear" w:color="auto" w:fill="auto"/>
            <w:noWrap/>
            <w:vAlign w:val="center"/>
            <w:hideMark/>
          </w:tcPr>
          <w:p w14:paraId="65588D37"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355</w:t>
            </w:r>
          </w:p>
        </w:tc>
        <w:tc>
          <w:tcPr>
            <w:tcW w:w="1017" w:type="dxa"/>
            <w:shd w:val="clear" w:color="auto" w:fill="auto"/>
            <w:noWrap/>
            <w:vAlign w:val="center"/>
            <w:hideMark/>
          </w:tcPr>
          <w:p w14:paraId="112E5937"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212</w:t>
            </w:r>
          </w:p>
        </w:tc>
        <w:tc>
          <w:tcPr>
            <w:tcW w:w="1251" w:type="dxa"/>
            <w:shd w:val="clear" w:color="auto" w:fill="auto"/>
            <w:noWrap/>
            <w:vAlign w:val="center"/>
            <w:hideMark/>
          </w:tcPr>
          <w:p w14:paraId="3A214B7A"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137</w:t>
            </w:r>
          </w:p>
        </w:tc>
        <w:tc>
          <w:tcPr>
            <w:tcW w:w="993" w:type="dxa"/>
            <w:shd w:val="clear" w:color="auto" w:fill="auto"/>
            <w:noWrap/>
            <w:vAlign w:val="center"/>
            <w:hideMark/>
          </w:tcPr>
          <w:p w14:paraId="2A595F83"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79</w:t>
            </w:r>
          </w:p>
        </w:tc>
        <w:tc>
          <w:tcPr>
            <w:tcW w:w="850" w:type="dxa"/>
            <w:shd w:val="clear" w:color="auto" w:fill="auto"/>
            <w:noWrap/>
            <w:vAlign w:val="center"/>
            <w:hideMark/>
          </w:tcPr>
          <w:p w14:paraId="41B1F669"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65</w:t>
            </w:r>
          </w:p>
        </w:tc>
        <w:tc>
          <w:tcPr>
            <w:tcW w:w="992" w:type="dxa"/>
            <w:shd w:val="clear" w:color="auto" w:fill="auto"/>
            <w:noWrap/>
            <w:vAlign w:val="center"/>
            <w:hideMark/>
          </w:tcPr>
          <w:p w14:paraId="63470178"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1222</w:t>
            </w:r>
          </w:p>
        </w:tc>
      </w:tr>
      <w:tr w:rsidR="001F27D2" w:rsidRPr="000C2C5C" w14:paraId="68FA866C" w14:textId="77777777" w:rsidTr="000C2C5C">
        <w:tc>
          <w:tcPr>
            <w:tcW w:w="6317" w:type="dxa"/>
            <w:shd w:val="clear" w:color="auto" w:fill="auto"/>
            <w:vAlign w:val="bottom"/>
            <w:hideMark/>
          </w:tcPr>
          <w:p w14:paraId="29319E0E" w14:textId="77777777" w:rsidR="001F27D2" w:rsidRPr="000C2C5C" w:rsidRDefault="001F27D2" w:rsidP="000C2C5C">
            <w:pPr>
              <w:spacing w:beforeLines="20" w:before="48" w:afterLines="20" w:after="48"/>
              <w:rPr>
                <w:rFonts w:cs="Calibri"/>
                <w:color w:val="000000"/>
                <w:sz w:val="22"/>
                <w:szCs w:val="22"/>
              </w:rPr>
            </w:pPr>
            <w:r w:rsidRPr="000C2C5C">
              <w:rPr>
                <w:rFonts w:cs="Calibri"/>
                <w:color w:val="000000"/>
                <w:sz w:val="22"/>
                <w:szCs w:val="22"/>
              </w:rPr>
              <w:t>N5 Couples, people with children and single adults over 25 sharing a kitchen, bathroom or WC with another household</w:t>
            </w:r>
          </w:p>
        </w:tc>
        <w:tc>
          <w:tcPr>
            <w:tcW w:w="1248" w:type="dxa"/>
            <w:shd w:val="clear" w:color="auto" w:fill="auto"/>
            <w:noWrap/>
            <w:vAlign w:val="center"/>
            <w:hideMark/>
          </w:tcPr>
          <w:p w14:paraId="6F894404" w14:textId="07C1747E" w:rsidR="001F27D2" w:rsidRPr="000C2C5C" w:rsidRDefault="001F27D2" w:rsidP="000C2C5C">
            <w:pPr>
              <w:spacing w:beforeLines="20" w:before="48" w:afterLines="20" w:after="48"/>
              <w:jc w:val="center"/>
              <w:rPr>
                <w:rFonts w:cs="Calibri"/>
                <w:color w:val="000000"/>
                <w:sz w:val="22"/>
                <w:szCs w:val="22"/>
              </w:rPr>
            </w:pPr>
          </w:p>
        </w:tc>
        <w:tc>
          <w:tcPr>
            <w:tcW w:w="1417" w:type="dxa"/>
            <w:shd w:val="clear" w:color="auto" w:fill="auto"/>
            <w:noWrap/>
            <w:vAlign w:val="center"/>
            <w:hideMark/>
          </w:tcPr>
          <w:p w14:paraId="000351DB" w14:textId="239EACF7" w:rsidR="001F27D2" w:rsidRPr="000C2C5C" w:rsidRDefault="001F27D2" w:rsidP="000C2C5C">
            <w:pPr>
              <w:spacing w:beforeLines="20" w:before="48" w:afterLines="20" w:after="48"/>
              <w:jc w:val="center"/>
              <w:rPr>
                <w:rFonts w:cs="Calibri"/>
                <w:color w:val="000000"/>
                <w:sz w:val="22"/>
                <w:szCs w:val="22"/>
              </w:rPr>
            </w:pPr>
          </w:p>
        </w:tc>
        <w:tc>
          <w:tcPr>
            <w:tcW w:w="1017" w:type="dxa"/>
            <w:shd w:val="clear" w:color="auto" w:fill="auto"/>
            <w:noWrap/>
            <w:vAlign w:val="center"/>
            <w:hideMark/>
          </w:tcPr>
          <w:p w14:paraId="1A67F08A" w14:textId="195E3322" w:rsidR="001F27D2" w:rsidRPr="000C2C5C" w:rsidRDefault="001F27D2" w:rsidP="000C2C5C">
            <w:pPr>
              <w:spacing w:beforeLines="20" w:before="48" w:afterLines="20" w:after="48"/>
              <w:jc w:val="center"/>
              <w:rPr>
                <w:rFonts w:cs="Calibri"/>
                <w:color w:val="000000"/>
                <w:sz w:val="22"/>
                <w:szCs w:val="22"/>
              </w:rPr>
            </w:pPr>
          </w:p>
        </w:tc>
        <w:tc>
          <w:tcPr>
            <w:tcW w:w="1251" w:type="dxa"/>
            <w:shd w:val="clear" w:color="auto" w:fill="auto"/>
            <w:noWrap/>
            <w:vAlign w:val="center"/>
            <w:hideMark/>
          </w:tcPr>
          <w:p w14:paraId="20839788" w14:textId="4DDC6A0E" w:rsidR="001F27D2" w:rsidRPr="000C2C5C" w:rsidRDefault="001F27D2" w:rsidP="000C2C5C">
            <w:pPr>
              <w:spacing w:beforeLines="20" w:before="48" w:afterLines="20" w:after="48"/>
              <w:jc w:val="center"/>
              <w:rPr>
                <w:rFonts w:cs="Calibri"/>
                <w:color w:val="000000"/>
                <w:sz w:val="22"/>
                <w:szCs w:val="22"/>
              </w:rPr>
            </w:pPr>
          </w:p>
        </w:tc>
        <w:tc>
          <w:tcPr>
            <w:tcW w:w="993" w:type="dxa"/>
            <w:shd w:val="clear" w:color="auto" w:fill="auto"/>
            <w:noWrap/>
            <w:vAlign w:val="center"/>
            <w:hideMark/>
          </w:tcPr>
          <w:p w14:paraId="735902F3" w14:textId="1BDD7899" w:rsidR="001F27D2" w:rsidRPr="000C2C5C" w:rsidRDefault="001F27D2" w:rsidP="000C2C5C">
            <w:pPr>
              <w:spacing w:beforeLines="20" w:before="48" w:afterLines="20" w:after="48"/>
              <w:jc w:val="center"/>
              <w:rPr>
                <w:rFonts w:cs="Calibri"/>
                <w:color w:val="000000"/>
                <w:sz w:val="22"/>
                <w:szCs w:val="22"/>
              </w:rPr>
            </w:pPr>
          </w:p>
        </w:tc>
        <w:tc>
          <w:tcPr>
            <w:tcW w:w="850" w:type="dxa"/>
            <w:shd w:val="clear" w:color="auto" w:fill="auto"/>
            <w:noWrap/>
            <w:vAlign w:val="center"/>
            <w:hideMark/>
          </w:tcPr>
          <w:p w14:paraId="38D311DC" w14:textId="1A68536F" w:rsidR="001F27D2" w:rsidRPr="000C2C5C" w:rsidRDefault="001F27D2" w:rsidP="000C2C5C">
            <w:pPr>
              <w:spacing w:beforeLines="20" w:before="48" w:afterLines="20" w:after="48"/>
              <w:jc w:val="center"/>
              <w:rPr>
                <w:rFonts w:cs="Calibri"/>
                <w:color w:val="000000"/>
                <w:sz w:val="22"/>
                <w:szCs w:val="22"/>
              </w:rPr>
            </w:pPr>
          </w:p>
        </w:tc>
        <w:tc>
          <w:tcPr>
            <w:tcW w:w="992" w:type="dxa"/>
            <w:shd w:val="clear" w:color="auto" w:fill="auto"/>
            <w:noWrap/>
            <w:vAlign w:val="center"/>
            <w:hideMark/>
          </w:tcPr>
          <w:p w14:paraId="1461049C"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0</w:t>
            </w:r>
          </w:p>
        </w:tc>
      </w:tr>
      <w:tr w:rsidR="001F27D2" w:rsidRPr="000C2C5C" w14:paraId="5AD86079" w14:textId="77777777" w:rsidTr="000C2C5C">
        <w:tc>
          <w:tcPr>
            <w:tcW w:w="6317" w:type="dxa"/>
            <w:shd w:val="clear" w:color="auto" w:fill="auto"/>
            <w:vAlign w:val="bottom"/>
            <w:hideMark/>
          </w:tcPr>
          <w:p w14:paraId="6E03CE73" w14:textId="77777777" w:rsidR="001F27D2" w:rsidRPr="000C2C5C" w:rsidRDefault="001F27D2" w:rsidP="000C2C5C">
            <w:pPr>
              <w:spacing w:beforeLines="20" w:before="48" w:afterLines="20" w:after="48"/>
              <w:rPr>
                <w:rFonts w:cs="Calibri"/>
                <w:color w:val="000000"/>
                <w:sz w:val="22"/>
                <w:szCs w:val="22"/>
              </w:rPr>
            </w:pPr>
            <w:r w:rsidRPr="000C2C5C">
              <w:rPr>
                <w:rFonts w:cs="Calibri"/>
                <w:color w:val="000000"/>
                <w:sz w:val="22"/>
                <w:szCs w:val="22"/>
              </w:rPr>
              <w:t>N6 Household containing people with mobility impairment or other special needs living in unsuitable accommodation</w:t>
            </w:r>
          </w:p>
        </w:tc>
        <w:tc>
          <w:tcPr>
            <w:tcW w:w="1248" w:type="dxa"/>
            <w:shd w:val="clear" w:color="auto" w:fill="auto"/>
            <w:noWrap/>
            <w:vAlign w:val="center"/>
            <w:hideMark/>
          </w:tcPr>
          <w:p w14:paraId="2313FD3A"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109</w:t>
            </w:r>
          </w:p>
        </w:tc>
        <w:tc>
          <w:tcPr>
            <w:tcW w:w="1417" w:type="dxa"/>
            <w:shd w:val="clear" w:color="auto" w:fill="auto"/>
            <w:noWrap/>
            <w:vAlign w:val="center"/>
            <w:hideMark/>
          </w:tcPr>
          <w:p w14:paraId="50E65FD4"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153</w:t>
            </w:r>
          </w:p>
        </w:tc>
        <w:tc>
          <w:tcPr>
            <w:tcW w:w="1017" w:type="dxa"/>
            <w:shd w:val="clear" w:color="auto" w:fill="auto"/>
            <w:noWrap/>
            <w:vAlign w:val="center"/>
            <w:hideMark/>
          </w:tcPr>
          <w:p w14:paraId="30F725FA"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126</w:t>
            </w:r>
          </w:p>
        </w:tc>
        <w:tc>
          <w:tcPr>
            <w:tcW w:w="1251" w:type="dxa"/>
            <w:shd w:val="clear" w:color="auto" w:fill="auto"/>
            <w:noWrap/>
            <w:vAlign w:val="center"/>
            <w:hideMark/>
          </w:tcPr>
          <w:p w14:paraId="1478B91F"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73</w:t>
            </w:r>
          </w:p>
        </w:tc>
        <w:tc>
          <w:tcPr>
            <w:tcW w:w="993" w:type="dxa"/>
            <w:shd w:val="clear" w:color="auto" w:fill="auto"/>
            <w:noWrap/>
            <w:vAlign w:val="center"/>
            <w:hideMark/>
          </w:tcPr>
          <w:p w14:paraId="766290CE"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86</w:t>
            </w:r>
          </w:p>
        </w:tc>
        <w:tc>
          <w:tcPr>
            <w:tcW w:w="850" w:type="dxa"/>
            <w:shd w:val="clear" w:color="auto" w:fill="auto"/>
            <w:noWrap/>
            <w:vAlign w:val="center"/>
            <w:hideMark/>
          </w:tcPr>
          <w:p w14:paraId="3E5A3808"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26</w:t>
            </w:r>
          </w:p>
        </w:tc>
        <w:tc>
          <w:tcPr>
            <w:tcW w:w="992" w:type="dxa"/>
            <w:shd w:val="clear" w:color="auto" w:fill="auto"/>
            <w:noWrap/>
            <w:vAlign w:val="center"/>
            <w:hideMark/>
          </w:tcPr>
          <w:p w14:paraId="262454DD"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573</w:t>
            </w:r>
          </w:p>
        </w:tc>
      </w:tr>
      <w:tr w:rsidR="001F27D2" w:rsidRPr="000C2C5C" w14:paraId="74608513" w14:textId="77777777" w:rsidTr="000C2C5C">
        <w:tc>
          <w:tcPr>
            <w:tcW w:w="6317" w:type="dxa"/>
            <w:shd w:val="clear" w:color="auto" w:fill="auto"/>
            <w:vAlign w:val="bottom"/>
            <w:hideMark/>
          </w:tcPr>
          <w:p w14:paraId="39F9F905" w14:textId="77777777" w:rsidR="001F27D2" w:rsidRPr="000C2C5C" w:rsidRDefault="001F27D2" w:rsidP="000C2C5C">
            <w:pPr>
              <w:spacing w:beforeLines="20" w:before="48" w:afterLines="20" w:after="48"/>
              <w:rPr>
                <w:rFonts w:cs="Calibri"/>
                <w:color w:val="000000"/>
                <w:sz w:val="22"/>
                <w:szCs w:val="22"/>
              </w:rPr>
            </w:pPr>
            <w:r w:rsidRPr="000C2C5C">
              <w:rPr>
                <w:rFonts w:cs="Calibri"/>
                <w:color w:val="000000"/>
                <w:sz w:val="22"/>
                <w:szCs w:val="22"/>
              </w:rPr>
              <w:t>N7 Lacks a bathroom, kitchen or inside WC and household does not have resource to make fit</w:t>
            </w:r>
          </w:p>
        </w:tc>
        <w:tc>
          <w:tcPr>
            <w:tcW w:w="1248" w:type="dxa"/>
            <w:shd w:val="clear" w:color="auto" w:fill="auto"/>
            <w:noWrap/>
            <w:vAlign w:val="center"/>
            <w:hideMark/>
          </w:tcPr>
          <w:p w14:paraId="45D30058"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0</w:t>
            </w:r>
          </w:p>
        </w:tc>
        <w:tc>
          <w:tcPr>
            <w:tcW w:w="1417" w:type="dxa"/>
            <w:shd w:val="clear" w:color="auto" w:fill="auto"/>
            <w:noWrap/>
            <w:vAlign w:val="center"/>
            <w:hideMark/>
          </w:tcPr>
          <w:p w14:paraId="4AC10D67"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0</w:t>
            </w:r>
          </w:p>
        </w:tc>
        <w:tc>
          <w:tcPr>
            <w:tcW w:w="1017" w:type="dxa"/>
            <w:shd w:val="clear" w:color="auto" w:fill="auto"/>
            <w:noWrap/>
            <w:vAlign w:val="center"/>
            <w:hideMark/>
          </w:tcPr>
          <w:p w14:paraId="6B2C15A9"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19</w:t>
            </w:r>
          </w:p>
        </w:tc>
        <w:tc>
          <w:tcPr>
            <w:tcW w:w="1251" w:type="dxa"/>
            <w:shd w:val="clear" w:color="auto" w:fill="auto"/>
            <w:noWrap/>
            <w:vAlign w:val="center"/>
            <w:hideMark/>
          </w:tcPr>
          <w:p w14:paraId="1547EE28"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0</w:t>
            </w:r>
          </w:p>
        </w:tc>
        <w:tc>
          <w:tcPr>
            <w:tcW w:w="993" w:type="dxa"/>
            <w:shd w:val="clear" w:color="auto" w:fill="auto"/>
            <w:noWrap/>
            <w:vAlign w:val="center"/>
            <w:hideMark/>
          </w:tcPr>
          <w:p w14:paraId="03882E74"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7</w:t>
            </w:r>
          </w:p>
        </w:tc>
        <w:tc>
          <w:tcPr>
            <w:tcW w:w="850" w:type="dxa"/>
            <w:shd w:val="clear" w:color="auto" w:fill="auto"/>
            <w:noWrap/>
            <w:vAlign w:val="center"/>
            <w:hideMark/>
          </w:tcPr>
          <w:p w14:paraId="1A6ADB47"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15</w:t>
            </w:r>
          </w:p>
        </w:tc>
        <w:tc>
          <w:tcPr>
            <w:tcW w:w="992" w:type="dxa"/>
            <w:shd w:val="clear" w:color="auto" w:fill="auto"/>
            <w:noWrap/>
            <w:vAlign w:val="center"/>
            <w:hideMark/>
          </w:tcPr>
          <w:p w14:paraId="106B030B"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41</w:t>
            </w:r>
          </w:p>
        </w:tc>
      </w:tr>
      <w:tr w:rsidR="001F27D2" w:rsidRPr="000C2C5C" w14:paraId="351C6B6B" w14:textId="77777777" w:rsidTr="000C2C5C">
        <w:tc>
          <w:tcPr>
            <w:tcW w:w="6317" w:type="dxa"/>
            <w:shd w:val="clear" w:color="auto" w:fill="auto"/>
            <w:vAlign w:val="bottom"/>
            <w:hideMark/>
          </w:tcPr>
          <w:p w14:paraId="35DE2011" w14:textId="77777777" w:rsidR="001F27D2" w:rsidRPr="000C2C5C" w:rsidRDefault="001F27D2" w:rsidP="000C2C5C">
            <w:pPr>
              <w:spacing w:beforeLines="20" w:before="48" w:afterLines="20" w:after="48"/>
              <w:rPr>
                <w:rFonts w:cs="Calibri"/>
                <w:color w:val="000000"/>
                <w:sz w:val="22"/>
                <w:szCs w:val="22"/>
              </w:rPr>
            </w:pPr>
            <w:r w:rsidRPr="000C2C5C">
              <w:rPr>
                <w:rFonts w:cs="Calibri"/>
                <w:color w:val="000000"/>
                <w:sz w:val="22"/>
                <w:szCs w:val="22"/>
              </w:rPr>
              <w:t>N8 Subject to major disrepair or unfitness and household does not have resource to make fit</w:t>
            </w:r>
          </w:p>
        </w:tc>
        <w:tc>
          <w:tcPr>
            <w:tcW w:w="1248" w:type="dxa"/>
            <w:shd w:val="clear" w:color="auto" w:fill="auto"/>
            <w:noWrap/>
            <w:vAlign w:val="center"/>
            <w:hideMark/>
          </w:tcPr>
          <w:p w14:paraId="2580F0E3"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0</w:t>
            </w:r>
          </w:p>
        </w:tc>
        <w:tc>
          <w:tcPr>
            <w:tcW w:w="1417" w:type="dxa"/>
            <w:shd w:val="clear" w:color="auto" w:fill="auto"/>
            <w:noWrap/>
            <w:vAlign w:val="center"/>
            <w:hideMark/>
          </w:tcPr>
          <w:p w14:paraId="5EA5FD98"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148</w:t>
            </w:r>
          </w:p>
        </w:tc>
        <w:tc>
          <w:tcPr>
            <w:tcW w:w="1017" w:type="dxa"/>
            <w:shd w:val="clear" w:color="auto" w:fill="auto"/>
            <w:noWrap/>
            <w:vAlign w:val="center"/>
            <w:hideMark/>
          </w:tcPr>
          <w:p w14:paraId="20FE94DA"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0</w:t>
            </w:r>
          </w:p>
        </w:tc>
        <w:tc>
          <w:tcPr>
            <w:tcW w:w="1251" w:type="dxa"/>
            <w:shd w:val="clear" w:color="auto" w:fill="auto"/>
            <w:noWrap/>
            <w:vAlign w:val="center"/>
            <w:hideMark/>
          </w:tcPr>
          <w:p w14:paraId="61A1207F"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0</w:t>
            </w:r>
          </w:p>
        </w:tc>
        <w:tc>
          <w:tcPr>
            <w:tcW w:w="993" w:type="dxa"/>
            <w:shd w:val="clear" w:color="auto" w:fill="auto"/>
            <w:noWrap/>
            <w:vAlign w:val="center"/>
            <w:hideMark/>
          </w:tcPr>
          <w:p w14:paraId="7D6895E7"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11</w:t>
            </w:r>
          </w:p>
        </w:tc>
        <w:tc>
          <w:tcPr>
            <w:tcW w:w="850" w:type="dxa"/>
            <w:shd w:val="clear" w:color="auto" w:fill="auto"/>
            <w:noWrap/>
            <w:vAlign w:val="center"/>
            <w:hideMark/>
          </w:tcPr>
          <w:p w14:paraId="304BC318"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11</w:t>
            </w:r>
          </w:p>
        </w:tc>
        <w:tc>
          <w:tcPr>
            <w:tcW w:w="992" w:type="dxa"/>
            <w:shd w:val="clear" w:color="auto" w:fill="auto"/>
            <w:noWrap/>
            <w:vAlign w:val="center"/>
            <w:hideMark/>
          </w:tcPr>
          <w:p w14:paraId="65883314"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170</w:t>
            </w:r>
          </w:p>
        </w:tc>
      </w:tr>
      <w:tr w:rsidR="001F27D2" w:rsidRPr="000C2C5C" w14:paraId="625C7454" w14:textId="77777777" w:rsidTr="000C2C5C">
        <w:tc>
          <w:tcPr>
            <w:tcW w:w="6317" w:type="dxa"/>
            <w:shd w:val="clear" w:color="auto" w:fill="auto"/>
            <w:vAlign w:val="bottom"/>
            <w:hideMark/>
          </w:tcPr>
          <w:p w14:paraId="1E51C9F4" w14:textId="77777777" w:rsidR="001F27D2" w:rsidRPr="000C2C5C" w:rsidRDefault="001F27D2" w:rsidP="000C2C5C">
            <w:pPr>
              <w:spacing w:beforeLines="20" w:before="48" w:afterLines="20" w:after="48"/>
              <w:rPr>
                <w:rFonts w:cs="Calibri"/>
                <w:color w:val="000000"/>
                <w:sz w:val="22"/>
                <w:szCs w:val="22"/>
              </w:rPr>
            </w:pPr>
            <w:r w:rsidRPr="000C2C5C">
              <w:rPr>
                <w:rFonts w:cs="Calibri"/>
                <w:color w:val="000000"/>
                <w:sz w:val="22"/>
                <w:szCs w:val="22"/>
              </w:rPr>
              <w:t>N9 Harassment or threats of harassment from neighbours or others living in the vicinity which cannot be resolved except through a move</w:t>
            </w:r>
          </w:p>
        </w:tc>
        <w:tc>
          <w:tcPr>
            <w:tcW w:w="1248" w:type="dxa"/>
            <w:shd w:val="clear" w:color="auto" w:fill="auto"/>
            <w:noWrap/>
            <w:vAlign w:val="center"/>
            <w:hideMark/>
          </w:tcPr>
          <w:p w14:paraId="42BD6690"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159</w:t>
            </w:r>
          </w:p>
        </w:tc>
        <w:tc>
          <w:tcPr>
            <w:tcW w:w="1417" w:type="dxa"/>
            <w:shd w:val="clear" w:color="auto" w:fill="auto"/>
            <w:noWrap/>
            <w:vAlign w:val="center"/>
            <w:hideMark/>
          </w:tcPr>
          <w:p w14:paraId="771482BE"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59</w:t>
            </w:r>
          </w:p>
        </w:tc>
        <w:tc>
          <w:tcPr>
            <w:tcW w:w="1017" w:type="dxa"/>
            <w:shd w:val="clear" w:color="auto" w:fill="auto"/>
            <w:noWrap/>
            <w:vAlign w:val="center"/>
            <w:hideMark/>
          </w:tcPr>
          <w:p w14:paraId="68E8AA75"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0</w:t>
            </w:r>
          </w:p>
        </w:tc>
        <w:tc>
          <w:tcPr>
            <w:tcW w:w="1251" w:type="dxa"/>
            <w:shd w:val="clear" w:color="auto" w:fill="auto"/>
            <w:noWrap/>
            <w:vAlign w:val="center"/>
            <w:hideMark/>
          </w:tcPr>
          <w:p w14:paraId="40E03906"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41</w:t>
            </w:r>
          </w:p>
        </w:tc>
        <w:tc>
          <w:tcPr>
            <w:tcW w:w="993" w:type="dxa"/>
            <w:shd w:val="clear" w:color="auto" w:fill="auto"/>
            <w:noWrap/>
            <w:vAlign w:val="center"/>
            <w:hideMark/>
          </w:tcPr>
          <w:p w14:paraId="74F871F2"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4</w:t>
            </w:r>
          </w:p>
        </w:tc>
        <w:tc>
          <w:tcPr>
            <w:tcW w:w="850" w:type="dxa"/>
            <w:shd w:val="clear" w:color="auto" w:fill="auto"/>
            <w:noWrap/>
            <w:vAlign w:val="center"/>
            <w:hideMark/>
          </w:tcPr>
          <w:p w14:paraId="7A3837CA"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16</w:t>
            </w:r>
          </w:p>
        </w:tc>
        <w:tc>
          <w:tcPr>
            <w:tcW w:w="992" w:type="dxa"/>
            <w:shd w:val="clear" w:color="auto" w:fill="auto"/>
            <w:noWrap/>
            <w:vAlign w:val="center"/>
            <w:hideMark/>
          </w:tcPr>
          <w:p w14:paraId="59C1295B"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279</w:t>
            </w:r>
          </w:p>
        </w:tc>
      </w:tr>
      <w:tr w:rsidR="001F27D2" w:rsidRPr="000C2C5C" w14:paraId="5BF32EEE" w14:textId="77777777" w:rsidTr="000C2C5C">
        <w:tc>
          <w:tcPr>
            <w:tcW w:w="6317" w:type="dxa"/>
            <w:shd w:val="clear" w:color="auto" w:fill="auto"/>
            <w:vAlign w:val="bottom"/>
            <w:hideMark/>
          </w:tcPr>
          <w:p w14:paraId="0FE7A66A" w14:textId="77777777" w:rsidR="001F27D2" w:rsidRPr="000C2C5C" w:rsidRDefault="001F27D2" w:rsidP="000C2C5C">
            <w:pPr>
              <w:spacing w:beforeLines="20" w:before="48" w:afterLines="20" w:after="48"/>
              <w:rPr>
                <w:rFonts w:cs="Calibri"/>
                <w:color w:val="000000"/>
                <w:sz w:val="22"/>
                <w:szCs w:val="22"/>
              </w:rPr>
            </w:pPr>
            <w:r w:rsidRPr="000C2C5C">
              <w:rPr>
                <w:rFonts w:cs="Calibri"/>
                <w:color w:val="000000"/>
                <w:sz w:val="22"/>
                <w:szCs w:val="22"/>
              </w:rPr>
              <w:t>Total with one or more needs</w:t>
            </w:r>
          </w:p>
        </w:tc>
        <w:tc>
          <w:tcPr>
            <w:tcW w:w="1248" w:type="dxa"/>
            <w:shd w:val="clear" w:color="auto" w:fill="auto"/>
            <w:noWrap/>
            <w:vAlign w:val="center"/>
            <w:hideMark/>
          </w:tcPr>
          <w:p w14:paraId="44E7F990"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886</w:t>
            </w:r>
          </w:p>
        </w:tc>
        <w:tc>
          <w:tcPr>
            <w:tcW w:w="1417" w:type="dxa"/>
            <w:shd w:val="clear" w:color="auto" w:fill="auto"/>
            <w:noWrap/>
            <w:vAlign w:val="center"/>
            <w:hideMark/>
          </w:tcPr>
          <w:p w14:paraId="125DE6FA"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604</w:t>
            </w:r>
          </w:p>
        </w:tc>
        <w:tc>
          <w:tcPr>
            <w:tcW w:w="1017" w:type="dxa"/>
            <w:shd w:val="clear" w:color="auto" w:fill="auto"/>
            <w:noWrap/>
            <w:vAlign w:val="center"/>
            <w:hideMark/>
          </w:tcPr>
          <w:p w14:paraId="3772BA3F"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405</w:t>
            </w:r>
          </w:p>
        </w:tc>
        <w:tc>
          <w:tcPr>
            <w:tcW w:w="1251" w:type="dxa"/>
            <w:shd w:val="clear" w:color="auto" w:fill="auto"/>
            <w:noWrap/>
            <w:vAlign w:val="center"/>
            <w:hideMark/>
          </w:tcPr>
          <w:p w14:paraId="475FC9EB"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347</w:t>
            </w:r>
          </w:p>
        </w:tc>
        <w:tc>
          <w:tcPr>
            <w:tcW w:w="993" w:type="dxa"/>
            <w:shd w:val="clear" w:color="auto" w:fill="auto"/>
            <w:noWrap/>
            <w:vAlign w:val="center"/>
            <w:hideMark/>
          </w:tcPr>
          <w:p w14:paraId="40D21DB4"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196</w:t>
            </w:r>
          </w:p>
        </w:tc>
        <w:tc>
          <w:tcPr>
            <w:tcW w:w="850" w:type="dxa"/>
            <w:shd w:val="clear" w:color="auto" w:fill="auto"/>
            <w:noWrap/>
            <w:vAlign w:val="center"/>
            <w:hideMark/>
          </w:tcPr>
          <w:p w14:paraId="57CA5A5B"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193</w:t>
            </w:r>
          </w:p>
        </w:tc>
        <w:tc>
          <w:tcPr>
            <w:tcW w:w="992" w:type="dxa"/>
            <w:shd w:val="clear" w:color="auto" w:fill="auto"/>
            <w:noWrap/>
            <w:vAlign w:val="center"/>
            <w:hideMark/>
          </w:tcPr>
          <w:p w14:paraId="08F93858" w14:textId="77777777" w:rsidR="001F27D2" w:rsidRPr="000C2C5C" w:rsidRDefault="001F27D2" w:rsidP="000C2C5C">
            <w:pPr>
              <w:spacing w:beforeLines="20" w:before="48" w:afterLines="20" w:after="48"/>
              <w:jc w:val="center"/>
              <w:rPr>
                <w:rFonts w:cs="Calibri"/>
                <w:color w:val="000000"/>
                <w:sz w:val="22"/>
                <w:szCs w:val="22"/>
              </w:rPr>
            </w:pPr>
            <w:r w:rsidRPr="000C2C5C">
              <w:rPr>
                <w:rFonts w:cs="Calibri"/>
                <w:color w:val="000000"/>
                <w:sz w:val="22"/>
                <w:szCs w:val="22"/>
              </w:rPr>
              <w:t>2629</w:t>
            </w:r>
          </w:p>
        </w:tc>
      </w:tr>
    </w:tbl>
    <w:p w14:paraId="1B5C4BB0" w14:textId="77777777" w:rsidR="001F27D2" w:rsidRPr="002B2A7F" w:rsidRDefault="001F27D2" w:rsidP="001F27D2">
      <w:pPr>
        <w:rPr>
          <w:rFonts w:asciiTheme="minorHAnsi" w:hAnsiTheme="minorHAnsi" w:cs="Calibri"/>
          <w:iCs/>
          <w:sz w:val="20"/>
          <w:szCs w:val="20"/>
        </w:rPr>
      </w:pPr>
      <w:r w:rsidRPr="002B2A7F">
        <w:rPr>
          <w:rFonts w:asciiTheme="minorHAnsi" w:hAnsiTheme="minorHAnsi" w:cs="Calibri"/>
          <w:b/>
          <w:iCs/>
          <w:sz w:val="20"/>
          <w:szCs w:val="20"/>
        </w:rPr>
        <w:t xml:space="preserve">Note: </w:t>
      </w:r>
      <w:r w:rsidRPr="002B2A7F">
        <w:rPr>
          <w:rFonts w:asciiTheme="minorHAnsi" w:hAnsiTheme="minorHAnsi" w:cs="Calibri"/>
          <w:iCs/>
          <w:sz w:val="20"/>
          <w:szCs w:val="20"/>
        </w:rPr>
        <w:t>A household may have more than one housing need.</w:t>
      </w:r>
    </w:p>
    <w:p w14:paraId="3ED04FA4" w14:textId="77777777" w:rsidR="001F27D2" w:rsidRPr="002B2A7F" w:rsidRDefault="001F27D2" w:rsidP="001F27D2">
      <w:pPr>
        <w:pStyle w:val="Heading3"/>
        <w:ind w:left="0"/>
        <w:rPr>
          <w:rFonts w:asciiTheme="minorHAnsi" w:hAnsiTheme="minorHAnsi" w:cs="Calibri"/>
          <w:color w:val="auto"/>
        </w:rPr>
      </w:pPr>
      <w:r w:rsidRPr="002B2A7F">
        <w:rPr>
          <w:rFonts w:asciiTheme="minorHAnsi" w:hAnsiTheme="minorHAnsi" w:cs="Calibri"/>
          <w:iCs/>
          <w:color w:val="auto"/>
          <w:sz w:val="20"/>
          <w:szCs w:val="20"/>
        </w:rPr>
        <w:t>Source: 2018 Household Survey</w:t>
      </w:r>
    </w:p>
    <w:p w14:paraId="588C22F7" w14:textId="77777777" w:rsidR="001F27D2" w:rsidRPr="002B2A7F" w:rsidRDefault="001F27D2" w:rsidP="001F27D2">
      <w:pPr>
        <w:pStyle w:val="Heading3"/>
        <w:rPr>
          <w:rFonts w:asciiTheme="minorHAnsi" w:hAnsiTheme="minorHAnsi" w:cs="Calibri"/>
        </w:rPr>
        <w:sectPr w:rsidR="001F27D2" w:rsidRPr="002B2A7F" w:rsidSect="00BA2B77">
          <w:headerReference w:type="default" r:id="rId78"/>
          <w:footerReference w:type="default" r:id="rId79"/>
          <w:pgSz w:w="16840" w:h="11907" w:orient="landscape" w:code="9"/>
          <w:pgMar w:top="1304" w:right="1304" w:bottom="1304" w:left="1559" w:header="720" w:footer="567" w:gutter="0"/>
          <w:cols w:space="708"/>
          <w:noEndnote/>
          <w:docGrid w:linePitch="326"/>
        </w:sectPr>
      </w:pPr>
    </w:p>
    <w:p w14:paraId="13263626" w14:textId="77777777" w:rsidR="001F27D2" w:rsidRPr="002B2A7F" w:rsidRDefault="001F27D2" w:rsidP="001F27D2">
      <w:pPr>
        <w:pStyle w:val="Heading2"/>
        <w:rPr>
          <w:rFonts w:asciiTheme="minorHAnsi" w:hAnsiTheme="minorHAnsi"/>
        </w:rPr>
      </w:pPr>
      <w:bookmarkStart w:id="790" w:name="_Toc529780803"/>
      <w:bookmarkStart w:id="791" w:name="_Toc531122922"/>
      <w:bookmarkStart w:id="792" w:name="_Toc532812452"/>
      <w:r w:rsidRPr="002B2A7F">
        <w:rPr>
          <w:rFonts w:asciiTheme="minorHAnsi" w:hAnsiTheme="minorHAnsi"/>
        </w:rPr>
        <w:lastRenderedPageBreak/>
        <w:t>Total current housing need summary</w:t>
      </w:r>
      <w:bookmarkEnd w:id="790"/>
      <w:bookmarkEnd w:id="791"/>
      <w:bookmarkEnd w:id="792"/>
    </w:p>
    <w:p w14:paraId="3BF8102B" w14:textId="2B19FE57" w:rsidR="001F27D2" w:rsidRPr="002B2A7F" w:rsidRDefault="001F27D2" w:rsidP="007D2B69">
      <w:pPr>
        <w:pStyle w:val="Maintext"/>
        <w:numPr>
          <w:ilvl w:val="1"/>
          <w:numId w:val="34"/>
        </w:numPr>
        <w:spacing w:before="0"/>
        <w:rPr>
          <w:rFonts w:asciiTheme="minorHAnsi" w:hAnsiTheme="minorHAnsi" w:cs="Calibri"/>
        </w:rPr>
      </w:pPr>
      <w:r w:rsidRPr="002B2A7F">
        <w:rPr>
          <w:rFonts w:asciiTheme="minorHAnsi" w:hAnsiTheme="minorHAnsi" w:cs="Calibri"/>
        </w:rPr>
        <w:t xml:space="preserve">Having established the scale of need in Step 1.1, total current housing need from existing households across the </w:t>
      </w:r>
      <w:r w:rsidR="009741AD">
        <w:rPr>
          <w:rFonts w:asciiTheme="minorHAnsi" w:hAnsiTheme="minorHAnsi" w:cs="Calibri"/>
        </w:rPr>
        <w:t>D</w:t>
      </w:r>
      <w:r w:rsidRPr="002B2A7F">
        <w:rPr>
          <w:rFonts w:asciiTheme="minorHAnsi" w:hAnsiTheme="minorHAnsi" w:cs="Calibri"/>
        </w:rPr>
        <w:t xml:space="preserve">istrict and who cannot afford open market is 2,629. </w:t>
      </w:r>
    </w:p>
    <w:p w14:paraId="36911C96" w14:textId="1F3F0AF3" w:rsidR="001F27D2" w:rsidRPr="002B2A7F" w:rsidRDefault="001F27D2" w:rsidP="007D2B69">
      <w:pPr>
        <w:pStyle w:val="Maintext"/>
        <w:numPr>
          <w:ilvl w:val="1"/>
          <w:numId w:val="34"/>
        </w:numPr>
        <w:spacing w:before="0"/>
        <w:rPr>
          <w:rFonts w:asciiTheme="minorHAnsi" w:hAnsiTheme="minorHAnsi" w:cs="Calibri"/>
        </w:rPr>
      </w:pPr>
      <w:r w:rsidRPr="002B2A7F">
        <w:rPr>
          <w:rFonts w:asciiTheme="minorHAnsi" w:hAnsiTheme="minorHAnsi" w:cs="Calibri"/>
        </w:rPr>
        <w:t xml:space="preserve">Step 1.2 then considers the extent to which households can afford open market prices or rents, tested against median prices at the housing market area level (Table C6). This analysis has been based on </w:t>
      </w:r>
      <w:r w:rsidRPr="00BC010F">
        <w:rPr>
          <w:rFonts w:asciiTheme="minorHAnsi" w:hAnsiTheme="minorHAnsi" w:cs="Arial"/>
        </w:rPr>
        <w:t>median</w:t>
      </w:r>
      <w:r w:rsidRPr="002B2A7F">
        <w:rPr>
          <w:rFonts w:asciiTheme="minorHAnsi" w:hAnsiTheme="minorHAnsi" w:cs="Calibri"/>
        </w:rPr>
        <w:t xml:space="preserve"> prices for 2017 derived from Land Registry </w:t>
      </w:r>
      <w:r w:rsidRPr="002B2A7F">
        <w:rPr>
          <w:rFonts w:asciiTheme="minorHAnsi" w:hAnsiTheme="minorHAnsi" w:cs="Arial"/>
        </w:rPr>
        <w:t>address</w:t>
      </w:r>
      <w:r w:rsidRPr="002B2A7F">
        <w:rPr>
          <w:rFonts w:asciiTheme="minorHAnsi" w:hAnsiTheme="minorHAnsi" w:cs="Calibri"/>
        </w:rPr>
        <w:t xml:space="preserve">-level data and private sector rents from lettings reported by Zoopla during 2017 (Table C6). </w:t>
      </w:r>
    </w:p>
    <w:p w14:paraId="78026D99" w14:textId="77777777" w:rsidR="001F27D2" w:rsidRPr="002B2A7F" w:rsidRDefault="001F27D2" w:rsidP="001F27D2">
      <w:pPr>
        <w:pStyle w:val="Maintext"/>
        <w:numPr>
          <w:ilvl w:val="0"/>
          <w:numId w:val="0"/>
        </w:numPr>
        <w:ind w:left="993" w:hanging="709"/>
        <w:rPr>
          <w:rFonts w:asciiTheme="minorHAnsi" w:hAnsiTheme="minorHAnsi" w:cs="Calibri"/>
          <w:highlight w:val="red"/>
        </w:rPr>
      </w:pP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3145"/>
        <w:gridCol w:w="3035"/>
        <w:gridCol w:w="3000"/>
      </w:tblGrid>
      <w:tr w:rsidR="001F27D2" w:rsidRPr="002B2A7F" w14:paraId="2031A7F3" w14:textId="77777777" w:rsidTr="001F27D2">
        <w:trPr>
          <w:trHeight w:val="300"/>
        </w:trPr>
        <w:tc>
          <w:tcPr>
            <w:tcW w:w="5000" w:type="pct"/>
            <w:gridSpan w:val="3"/>
            <w:shd w:val="clear" w:color="auto" w:fill="009999"/>
            <w:noWrap/>
            <w:vAlign w:val="bottom"/>
          </w:tcPr>
          <w:p w14:paraId="10336EE3" w14:textId="77777777" w:rsidR="001F27D2" w:rsidRPr="002B2A7F" w:rsidRDefault="001F27D2" w:rsidP="001F27D2">
            <w:pPr>
              <w:pStyle w:val="Tableheading1"/>
              <w:rPr>
                <w:rFonts w:asciiTheme="minorHAnsi" w:hAnsiTheme="minorHAnsi"/>
              </w:rPr>
            </w:pPr>
            <w:bookmarkStart w:id="793" w:name="_Toc517303780"/>
            <w:bookmarkStart w:id="794" w:name="_Toc529652143"/>
            <w:bookmarkStart w:id="795" w:name="_Toc529739495"/>
            <w:bookmarkStart w:id="796" w:name="_Toc531122988"/>
            <w:bookmarkStart w:id="797" w:name="_Toc532812520"/>
            <w:r w:rsidRPr="002B2A7F">
              <w:rPr>
                <w:rFonts w:asciiTheme="minorHAnsi" w:hAnsiTheme="minorHAnsi"/>
              </w:rPr>
              <w:t>Table C6</w:t>
            </w:r>
            <w:r w:rsidRPr="002B2A7F">
              <w:rPr>
                <w:rFonts w:asciiTheme="minorHAnsi" w:hAnsiTheme="minorHAnsi"/>
              </w:rPr>
              <w:tab/>
              <w:t xml:space="preserve">Median house prices and private rent levels by </w:t>
            </w:r>
            <w:bookmarkEnd w:id="793"/>
            <w:bookmarkEnd w:id="794"/>
            <w:bookmarkEnd w:id="795"/>
            <w:r w:rsidRPr="002B2A7F">
              <w:rPr>
                <w:rFonts w:asciiTheme="minorHAnsi" w:hAnsiTheme="minorHAnsi"/>
              </w:rPr>
              <w:t>Housing Market Area (2017 data)</w:t>
            </w:r>
            <w:bookmarkEnd w:id="796"/>
            <w:bookmarkEnd w:id="797"/>
          </w:p>
        </w:tc>
      </w:tr>
      <w:tr w:rsidR="001F27D2" w:rsidRPr="000C2C5C" w14:paraId="223BF9EF" w14:textId="77777777" w:rsidTr="001F27D2">
        <w:trPr>
          <w:trHeight w:val="300"/>
        </w:trPr>
        <w:tc>
          <w:tcPr>
            <w:tcW w:w="1713" w:type="pct"/>
            <w:shd w:val="clear" w:color="auto" w:fill="009999"/>
            <w:noWrap/>
            <w:vAlign w:val="bottom"/>
            <w:hideMark/>
          </w:tcPr>
          <w:p w14:paraId="2C04D292" w14:textId="77777777" w:rsidR="001F27D2" w:rsidRPr="000C2C5C" w:rsidRDefault="001F27D2" w:rsidP="000C2C5C">
            <w:pPr>
              <w:spacing w:before="0" w:after="0"/>
              <w:rPr>
                <w:rFonts w:cs="Calibri"/>
                <w:b/>
                <w:bCs/>
                <w:color w:val="FFFFFF"/>
                <w:sz w:val="22"/>
                <w:szCs w:val="22"/>
                <w:lang w:eastAsia="en-GB"/>
              </w:rPr>
            </w:pPr>
            <w:r w:rsidRPr="000C2C5C">
              <w:rPr>
                <w:rFonts w:cs="Calibri"/>
                <w:b/>
                <w:bCs/>
                <w:color w:val="FFFFFF"/>
                <w:sz w:val="22"/>
                <w:szCs w:val="22"/>
                <w:lang w:eastAsia="en-GB"/>
              </w:rPr>
              <w:t>Housing Market Area</w:t>
            </w:r>
          </w:p>
        </w:tc>
        <w:tc>
          <w:tcPr>
            <w:tcW w:w="1653" w:type="pct"/>
            <w:shd w:val="clear" w:color="auto" w:fill="009999"/>
            <w:noWrap/>
            <w:vAlign w:val="bottom"/>
            <w:hideMark/>
          </w:tcPr>
          <w:p w14:paraId="500EF4D8" w14:textId="77777777" w:rsidR="001F27D2" w:rsidRPr="000C2C5C" w:rsidRDefault="001F27D2" w:rsidP="000C2C5C">
            <w:pPr>
              <w:spacing w:before="0" w:after="0"/>
              <w:jc w:val="center"/>
              <w:rPr>
                <w:rFonts w:cs="Calibri"/>
                <w:b/>
                <w:bCs/>
                <w:color w:val="FFFFFF"/>
                <w:sz w:val="22"/>
                <w:szCs w:val="22"/>
                <w:lang w:eastAsia="en-GB"/>
              </w:rPr>
            </w:pPr>
            <w:r w:rsidRPr="000C2C5C">
              <w:rPr>
                <w:rFonts w:cs="Calibri"/>
                <w:b/>
                <w:bCs/>
                <w:color w:val="FFFFFF"/>
                <w:sz w:val="22"/>
                <w:szCs w:val="22"/>
                <w:lang w:eastAsia="en-GB"/>
              </w:rPr>
              <w:t>Median price (£)</w:t>
            </w:r>
          </w:p>
        </w:tc>
        <w:tc>
          <w:tcPr>
            <w:tcW w:w="1634" w:type="pct"/>
            <w:shd w:val="clear" w:color="auto" w:fill="009999"/>
          </w:tcPr>
          <w:p w14:paraId="68D3D915" w14:textId="77777777" w:rsidR="001F27D2" w:rsidRPr="000C2C5C" w:rsidRDefault="001F27D2" w:rsidP="000C2C5C">
            <w:pPr>
              <w:spacing w:before="0" w:after="0"/>
              <w:jc w:val="center"/>
              <w:rPr>
                <w:rFonts w:cs="Calibri"/>
                <w:b/>
                <w:bCs/>
                <w:color w:val="FFFFFF"/>
                <w:sz w:val="22"/>
                <w:szCs w:val="22"/>
                <w:lang w:eastAsia="en-GB"/>
              </w:rPr>
            </w:pPr>
            <w:r w:rsidRPr="000C2C5C">
              <w:rPr>
                <w:rFonts w:cs="Calibri"/>
                <w:b/>
                <w:bCs/>
                <w:color w:val="FFFFFF"/>
                <w:sz w:val="22"/>
                <w:szCs w:val="22"/>
                <w:lang w:eastAsia="en-GB"/>
              </w:rPr>
              <w:t>Lower Quartile Private Rent (Per calendar month)</w:t>
            </w:r>
          </w:p>
        </w:tc>
      </w:tr>
      <w:tr w:rsidR="001F27D2" w:rsidRPr="000C2C5C" w14:paraId="22D0910A" w14:textId="77777777" w:rsidTr="001F27D2">
        <w:trPr>
          <w:trHeight w:val="285"/>
        </w:trPr>
        <w:tc>
          <w:tcPr>
            <w:tcW w:w="1713" w:type="pct"/>
            <w:shd w:val="clear" w:color="auto" w:fill="auto"/>
            <w:noWrap/>
            <w:vAlign w:val="bottom"/>
          </w:tcPr>
          <w:p w14:paraId="71F0109A" w14:textId="77777777" w:rsidR="001F27D2" w:rsidRPr="000C2C5C" w:rsidRDefault="001F27D2" w:rsidP="000C2C5C">
            <w:pPr>
              <w:spacing w:before="0" w:after="0"/>
              <w:rPr>
                <w:rFonts w:cs="Calibri"/>
                <w:sz w:val="22"/>
                <w:szCs w:val="22"/>
              </w:rPr>
            </w:pPr>
            <w:r w:rsidRPr="000C2C5C">
              <w:rPr>
                <w:rFonts w:cs="Calibri"/>
                <w:color w:val="000000"/>
                <w:sz w:val="22"/>
                <w:szCs w:val="22"/>
              </w:rPr>
              <w:t>HMA1A Penrith Rural</w:t>
            </w:r>
          </w:p>
        </w:tc>
        <w:tc>
          <w:tcPr>
            <w:tcW w:w="1653" w:type="pct"/>
            <w:shd w:val="clear" w:color="auto" w:fill="auto"/>
            <w:noWrap/>
            <w:vAlign w:val="bottom"/>
          </w:tcPr>
          <w:p w14:paraId="21B9C86D" w14:textId="77777777" w:rsidR="001F27D2" w:rsidRPr="000C2C5C" w:rsidRDefault="001F27D2" w:rsidP="000C2C5C">
            <w:pPr>
              <w:spacing w:before="0" w:after="0"/>
              <w:jc w:val="center"/>
              <w:rPr>
                <w:rFonts w:cs="Calibri"/>
                <w:sz w:val="22"/>
                <w:szCs w:val="22"/>
              </w:rPr>
            </w:pPr>
            <w:r w:rsidRPr="000C2C5C">
              <w:rPr>
                <w:rFonts w:cs="Calibri"/>
                <w:bCs/>
                <w:color w:val="000000"/>
                <w:sz w:val="22"/>
                <w:szCs w:val="22"/>
              </w:rPr>
              <w:t>£218,750</w:t>
            </w:r>
          </w:p>
        </w:tc>
        <w:tc>
          <w:tcPr>
            <w:tcW w:w="1634" w:type="pct"/>
            <w:vAlign w:val="center"/>
          </w:tcPr>
          <w:p w14:paraId="6F4AC766" w14:textId="77777777" w:rsidR="001F27D2" w:rsidRPr="000C2C5C" w:rsidRDefault="001F27D2" w:rsidP="000C2C5C">
            <w:pPr>
              <w:spacing w:before="0" w:after="0"/>
              <w:jc w:val="center"/>
              <w:rPr>
                <w:rFonts w:cs="Calibri"/>
                <w:sz w:val="22"/>
                <w:szCs w:val="22"/>
              </w:rPr>
            </w:pPr>
            <w:r w:rsidRPr="000C2C5C">
              <w:rPr>
                <w:rFonts w:cs="Calibri"/>
                <w:sz w:val="22"/>
                <w:szCs w:val="22"/>
              </w:rPr>
              <w:t>£498</w:t>
            </w:r>
          </w:p>
        </w:tc>
      </w:tr>
      <w:tr w:rsidR="001F27D2" w:rsidRPr="000C2C5C" w14:paraId="347FB9B7" w14:textId="77777777" w:rsidTr="001F27D2">
        <w:trPr>
          <w:trHeight w:val="285"/>
        </w:trPr>
        <w:tc>
          <w:tcPr>
            <w:tcW w:w="1713" w:type="pct"/>
            <w:shd w:val="clear" w:color="auto" w:fill="auto"/>
            <w:noWrap/>
            <w:vAlign w:val="bottom"/>
          </w:tcPr>
          <w:p w14:paraId="3658DF36" w14:textId="77777777" w:rsidR="001F27D2" w:rsidRPr="000C2C5C" w:rsidRDefault="001F27D2" w:rsidP="000C2C5C">
            <w:pPr>
              <w:spacing w:before="0" w:after="0"/>
              <w:rPr>
                <w:rFonts w:cs="Calibri"/>
                <w:sz w:val="22"/>
                <w:szCs w:val="22"/>
              </w:rPr>
            </w:pPr>
            <w:r w:rsidRPr="000C2C5C">
              <w:rPr>
                <w:rFonts w:cs="Calibri"/>
                <w:color w:val="000000"/>
                <w:sz w:val="22"/>
                <w:szCs w:val="22"/>
              </w:rPr>
              <w:t>HMA1B Penrith Urban</w:t>
            </w:r>
          </w:p>
        </w:tc>
        <w:tc>
          <w:tcPr>
            <w:tcW w:w="1653" w:type="pct"/>
            <w:shd w:val="clear" w:color="auto" w:fill="auto"/>
            <w:noWrap/>
            <w:vAlign w:val="bottom"/>
          </w:tcPr>
          <w:p w14:paraId="0A77E566" w14:textId="77777777" w:rsidR="001F27D2" w:rsidRPr="000C2C5C" w:rsidRDefault="001F27D2" w:rsidP="000C2C5C">
            <w:pPr>
              <w:spacing w:before="0" w:after="0"/>
              <w:jc w:val="center"/>
              <w:rPr>
                <w:rFonts w:cs="Calibri"/>
                <w:sz w:val="22"/>
                <w:szCs w:val="22"/>
              </w:rPr>
            </w:pPr>
            <w:r w:rsidRPr="000C2C5C">
              <w:rPr>
                <w:rFonts w:cs="Calibri"/>
                <w:bCs/>
                <w:color w:val="000000"/>
                <w:sz w:val="22"/>
                <w:szCs w:val="22"/>
              </w:rPr>
              <w:t>£165,000</w:t>
            </w:r>
          </w:p>
        </w:tc>
        <w:tc>
          <w:tcPr>
            <w:tcW w:w="1634" w:type="pct"/>
            <w:vAlign w:val="center"/>
          </w:tcPr>
          <w:p w14:paraId="34A8382C" w14:textId="77777777" w:rsidR="001F27D2" w:rsidRPr="000C2C5C" w:rsidRDefault="001F27D2" w:rsidP="000C2C5C">
            <w:pPr>
              <w:spacing w:before="0" w:after="0"/>
              <w:jc w:val="center"/>
              <w:rPr>
                <w:rFonts w:cs="Calibri"/>
                <w:sz w:val="22"/>
                <w:szCs w:val="22"/>
              </w:rPr>
            </w:pPr>
            <w:r w:rsidRPr="000C2C5C">
              <w:rPr>
                <w:rFonts w:cs="Calibri"/>
                <w:sz w:val="22"/>
                <w:szCs w:val="22"/>
              </w:rPr>
              <w:t>£524</w:t>
            </w:r>
          </w:p>
        </w:tc>
      </w:tr>
      <w:tr w:rsidR="001F27D2" w:rsidRPr="000C2C5C" w14:paraId="41A718B3" w14:textId="77777777" w:rsidTr="001F27D2">
        <w:trPr>
          <w:trHeight w:val="285"/>
        </w:trPr>
        <w:tc>
          <w:tcPr>
            <w:tcW w:w="1713" w:type="pct"/>
            <w:shd w:val="clear" w:color="auto" w:fill="auto"/>
            <w:noWrap/>
            <w:vAlign w:val="bottom"/>
          </w:tcPr>
          <w:p w14:paraId="23047122" w14:textId="77777777" w:rsidR="001F27D2" w:rsidRPr="000C2C5C" w:rsidRDefault="001F27D2" w:rsidP="000C2C5C">
            <w:pPr>
              <w:spacing w:before="0" w:after="0"/>
              <w:rPr>
                <w:rFonts w:cs="Calibri"/>
                <w:sz w:val="22"/>
                <w:szCs w:val="22"/>
              </w:rPr>
            </w:pPr>
            <w:r w:rsidRPr="000C2C5C">
              <w:rPr>
                <w:rFonts w:cs="Calibri"/>
                <w:color w:val="000000"/>
                <w:sz w:val="22"/>
                <w:szCs w:val="22"/>
              </w:rPr>
              <w:t>HMA2 Appleby</w:t>
            </w:r>
          </w:p>
        </w:tc>
        <w:tc>
          <w:tcPr>
            <w:tcW w:w="1653" w:type="pct"/>
            <w:shd w:val="clear" w:color="auto" w:fill="auto"/>
            <w:noWrap/>
            <w:vAlign w:val="bottom"/>
          </w:tcPr>
          <w:p w14:paraId="7C74DC0C" w14:textId="77777777" w:rsidR="001F27D2" w:rsidRPr="000C2C5C" w:rsidRDefault="001F27D2" w:rsidP="000C2C5C">
            <w:pPr>
              <w:spacing w:before="0" w:after="0"/>
              <w:jc w:val="center"/>
              <w:rPr>
                <w:rFonts w:cs="Calibri"/>
                <w:sz w:val="22"/>
                <w:szCs w:val="22"/>
              </w:rPr>
            </w:pPr>
            <w:r w:rsidRPr="000C2C5C">
              <w:rPr>
                <w:rFonts w:cs="Calibri"/>
                <w:bCs/>
                <w:color w:val="000000"/>
                <w:sz w:val="22"/>
                <w:szCs w:val="22"/>
              </w:rPr>
              <w:t>£181,725</w:t>
            </w:r>
          </w:p>
        </w:tc>
        <w:tc>
          <w:tcPr>
            <w:tcW w:w="1634" w:type="pct"/>
            <w:vAlign w:val="center"/>
          </w:tcPr>
          <w:p w14:paraId="2A2AA921" w14:textId="77777777" w:rsidR="001F27D2" w:rsidRPr="000C2C5C" w:rsidRDefault="001F27D2" w:rsidP="000C2C5C">
            <w:pPr>
              <w:spacing w:before="0" w:after="0"/>
              <w:jc w:val="center"/>
              <w:rPr>
                <w:rFonts w:cs="Calibri"/>
                <w:sz w:val="22"/>
                <w:szCs w:val="22"/>
              </w:rPr>
            </w:pPr>
            <w:r w:rsidRPr="000C2C5C">
              <w:rPr>
                <w:rFonts w:cs="Calibri"/>
                <w:sz w:val="22"/>
                <w:szCs w:val="22"/>
              </w:rPr>
              <w:t>£498</w:t>
            </w:r>
          </w:p>
        </w:tc>
      </w:tr>
      <w:tr w:rsidR="001F27D2" w:rsidRPr="000C2C5C" w14:paraId="0CA992F6" w14:textId="77777777" w:rsidTr="001F27D2">
        <w:trPr>
          <w:trHeight w:val="285"/>
        </w:trPr>
        <w:tc>
          <w:tcPr>
            <w:tcW w:w="1713" w:type="pct"/>
            <w:shd w:val="clear" w:color="auto" w:fill="auto"/>
            <w:noWrap/>
            <w:vAlign w:val="bottom"/>
          </w:tcPr>
          <w:p w14:paraId="426B7055" w14:textId="77777777" w:rsidR="001F27D2" w:rsidRPr="000C2C5C" w:rsidRDefault="001F27D2" w:rsidP="000C2C5C">
            <w:pPr>
              <w:spacing w:before="0" w:after="0"/>
              <w:rPr>
                <w:rFonts w:cs="Calibri"/>
                <w:sz w:val="22"/>
                <w:szCs w:val="22"/>
              </w:rPr>
            </w:pPr>
            <w:r w:rsidRPr="000C2C5C">
              <w:rPr>
                <w:rFonts w:cs="Calibri"/>
                <w:color w:val="000000"/>
                <w:sz w:val="22"/>
                <w:szCs w:val="22"/>
              </w:rPr>
              <w:t>HMA3 Kirkby Stephen</w:t>
            </w:r>
          </w:p>
        </w:tc>
        <w:tc>
          <w:tcPr>
            <w:tcW w:w="1653" w:type="pct"/>
            <w:shd w:val="clear" w:color="auto" w:fill="auto"/>
            <w:noWrap/>
            <w:vAlign w:val="bottom"/>
          </w:tcPr>
          <w:p w14:paraId="2EC13689" w14:textId="77777777" w:rsidR="001F27D2" w:rsidRPr="000C2C5C" w:rsidRDefault="001F27D2" w:rsidP="000C2C5C">
            <w:pPr>
              <w:spacing w:before="0" w:after="0"/>
              <w:jc w:val="center"/>
              <w:rPr>
                <w:rFonts w:cs="Calibri"/>
                <w:sz w:val="22"/>
                <w:szCs w:val="22"/>
              </w:rPr>
            </w:pPr>
            <w:r w:rsidRPr="000C2C5C">
              <w:rPr>
                <w:rFonts w:cs="Calibri"/>
                <w:bCs/>
                <w:color w:val="000000"/>
                <w:sz w:val="22"/>
                <w:szCs w:val="22"/>
              </w:rPr>
              <w:t>£175,000</w:t>
            </w:r>
          </w:p>
        </w:tc>
        <w:tc>
          <w:tcPr>
            <w:tcW w:w="1634" w:type="pct"/>
            <w:vAlign w:val="center"/>
          </w:tcPr>
          <w:p w14:paraId="4555EE73" w14:textId="77777777" w:rsidR="001F27D2" w:rsidRPr="000C2C5C" w:rsidRDefault="001F27D2" w:rsidP="000C2C5C">
            <w:pPr>
              <w:spacing w:before="0" w:after="0"/>
              <w:jc w:val="center"/>
              <w:rPr>
                <w:rFonts w:cs="Calibri"/>
                <w:sz w:val="22"/>
                <w:szCs w:val="22"/>
              </w:rPr>
            </w:pPr>
            <w:r w:rsidRPr="000C2C5C">
              <w:rPr>
                <w:rFonts w:cs="Calibri"/>
                <w:sz w:val="22"/>
                <w:szCs w:val="22"/>
              </w:rPr>
              <w:t>£425</w:t>
            </w:r>
          </w:p>
        </w:tc>
      </w:tr>
      <w:tr w:rsidR="001F27D2" w:rsidRPr="000C2C5C" w14:paraId="4A3E4F00" w14:textId="77777777" w:rsidTr="001F27D2">
        <w:trPr>
          <w:trHeight w:val="285"/>
        </w:trPr>
        <w:tc>
          <w:tcPr>
            <w:tcW w:w="1713" w:type="pct"/>
            <w:shd w:val="clear" w:color="auto" w:fill="auto"/>
            <w:noWrap/>
            <w:vAlign w:val="bottom"/>
          </w:tcPr>
          <w:p w14:paraId="6077B165" w14:textId="77777777" w:rsidR="001F27D2" w:rsidRPr="000C2C5C" w:rsidRDefault="001F27D2" w:rsidP="000C2C5C">
            <w:pPr>
              <w:spacing w:before="0" w:after="0"/>
              <w:rPr>
                <w:rFonts w:cs="Calibri"/>
                <w:sz w:val="22"/>
                <w:szCs w:val="22"/>
              </w:rPr>
            </w:pPr>
            <w:r w:rsidRPr="000C2C5C">
              <w:rPr>
                <w:rFonts w:cs="Calibri"/>
                <w:color w:val="000000"/>
                <w:sz w:val="22"/>
                <w:szCs w:val="22"/>
              </w:rPr>
              <w:t>HMA4 Alston</w:t>
            </w:r>
          </w:p>
        </w:tc>
        <w:tc>
          <w:tcPr>
            <w:tcW w:w="1653" w:type="pct"/>
            <w:shd w:val="clear" w:color="auto" w:fill="auto"/>
            <w:noWrap/>
            <w:vAlign w:val="bottom"/>
          </w:tcPr>
          <w:p w14:paraId="6ADD5B36" w14:textId="77777777" w:rsidR="001F27D2" w:rsidRPr="000C2C5C" w:rsidRDefault="001F27D2" w:rsidP="000C2C5C">
            <w:pPr>
              <w:spacing w:before="0" w:after="0"/>
              <w:jc w:val="center"/>
              <w:rPr>
                <w:rFonts w:cs="Calibri"/>
                <w:sz w:val="22"/>
                <w:szCs w:val="22"/>
              </w:rPr>
            </w:pPr>
            <w:r w:rsidRPr="000C2C5C">
              <w:rPr>
                <w:rFonts w:cs="Calibri"/>
                <w:bCs/>
                <w:color w:val="000000"/>
                <w:sz w:val="22"/>
                <w:szCs w:val="22"/>
              </w:rPr>
              <w:t>£175,000</w:t>
            </w:r>
          </w:p>
        </w:tc>
        <w:tc>
          <w:tcPr>
            <w:tcW w:w="1634" w:type="pct"/>
            <w:vAlign w:val="center"/>
          </w:tcPr>
          <w:p w14:paraId="4901198F" w14:textId="77777777" w:rsidR="001F27D2" w:rsidRPr="000C2C5C" w:rsidRDefault="001F27D2" w:rsidP="000C2C5C">
            <w:pPr>
              <w:spacing w:before="0" w:after="0"/>
              <w:jc w:val="center"/>
              <w:rPr>
                <w:rFonts w:cs="Calibri"/>
                <w:sz w:val="22"/>
                <w:szCs w:val="22"/>
              </w:rPr>
            </w:pPr>
            <w:r w:rsidRPr="000C2C5C">
              <w:rPr>
                <w:rFonts w:cs="Calibri"/>
                <w:sz w:val="22"/>
                <w:szCs w:val="22"/>
              </w:rPr>
              <w:t>£498</w:t>
            </w:r>
          </w:p>
        </w:tc>
      </w:tr>
      <w:tr w:rsidR="001F27D2" w:rsidRPr="000C2C5C" w14:paraId="7F3889B7" w14:textId="77777777" w:rsidTr="001F27D2">
        <w:trPr>
          <w:trHeight w:val="285"/>
        </w:trPr>
        <w:tc>
          <w:tcPr>
            <w:tcW w:w="1713" w:type="pct"/>
            <w:shd w:val="clear" w:color="auto" w:fill="auto"/>
            <w:noWrap/>
            <w:vAlign w:val="bottom"/>
          </w:tcPr>
          <w:p w14:paraId="53699ADA" w14:textId="77777777" w:rsidR="001F27D2" w:rsidRPr="000C2C5C" w:rsidRDefault="001F27D2" w:rsidP="000C2C5C">
            <w:pPr>
              <w:spacing w:before="0" w:after="0"/>
              <w:rPr>
                <w:rFonts w:cs="Calibri"/>
                <w:sz w:val="22"/>
                <w:szCs w:val="22"/>
              </w:rPr>
            </w:pPr>
            <w:r w:rsidRPr="000C2C5C">
              <w:rPr>
                <w:rFonts w:cs="Calibri"/>
                <w:color w:val="000000"/>
                <w:sz w:val="22"/>
                <w:szCs w:val="22"/>
              </w:rPr>
              <w:t>HMA5 West M6</w:t>
            </w:r>
          </w:p>
        </w:tc>
        <w:tc>
          <w:tcPr>
            <w:tcW w:w="1653" w:type="pct"/>
            <w:shd w:val="clear" w:color="auto" w:fill="auto"/>
            <w:noWrap/>
            <w:vAlign w:val="bottom"/>
          </w:tcPr>
          <w:p w14:paraId="15666D99" w14:textId="77777777" w:rsidR="001F27D2" w:rsidRPr="000C2C5C" w:rsidRDefault="001F27D2" w:rsidP="000C2C5C">
            <w:pPr>
              <w:spacing w:before="0" w:after="0"/>
              <w:jc w:val="center"/>
              <w:rPr>
                <w:rFonts w:cs="Calibri"/>
                <w:sz w:val="22"/>
                <w:szCs w:val="22"/>
              </w:rPr>
            </w:pPr>
            <w:r w:rsidRPr="000C2C5C">
              <w:rPr>
                <w:rFonts w:cs="Calibri"/>
                <w:bCs/>
                <w:color w:val="000000"/>
                <w:sz w:val="22"/>
                <w:szCs w:val="22"/>
              </w:rPr>
              <w:t>£252,000</w:t>
            </w:r>
          </w:p>
        </w:tc>
        <w:tc>
          <w:tcPr>
            <w:tcW w:w="1634" w:type="pct"/>
            <w:vAlign w:val="center"/>
          </w:tcPr>
          <w:p w14:paraId="1587363D" w14:textId="77777777" w:rsidR="001F27D2" w:rsidRPr="000C2C5C" w:rsidRDefault="001F27D2" w:rsidP="000C2C5C">
            <w:pPr>
              <w:spacing w:before="0" w:after="0"/>
              <w:jc w:val="center"/>
              <w:rPr>
                <w:rFonts w:cs="Calibri"/>
                <w:sz w:val="22"/>
                <w:szCs w:val="22"/>
              </w:rPr>
            </w:pPr>
            <w:r w:rsidRPr="000C2C5C">
              <w:rPr>
                <w:rFonts w:cs="Calibri"/>
                <w:sz w:val="22"/>
                <w:szCs w:val="22"/>
              </w:rPr>
              <w:t>£559</w:t>
            </w:r>
          </w:p>
        </w:tc>
      </w:tr>
      <w:tr w:rsidR="001F27D2" w:rsidRPr="000C2C5C" w14:paraId="4F8F3872" w14:textId="77777777" w:rsidTr="001F27D2">
        <w:trPr>
          <w:trHeight w:val="90"/>
        </w:trPr>
        <w:tc>
          <w:tcPr>
            <w:tcW w:w="1713" w:type="pct"/>
            <w:shd w:val="clear" w:color="auto" w:fill="auto"/>
            <w:noWrap/>
            <w:vAlign w:val="bottom"/>
          </w:tcPr>
          <w:p w14:paraId="37081D3A" w14:textId="77777777" w:rsidR="001F27D2" w:rsidRPr="000C2C5C" w:rsidRDefault="001F27D2" w:rsidP="000C2C5C">
            <w:pPr>
              <w:spacing w:before="0" w:after="0"/>
              <w:rPr>
                <w:rFonts w:cs="Calibri"/>
                <w:sz w:val="22"/>
                <w:szCs w:val="22"/>
              </w:rPr>
            </w:pPr>
            <w:r w:rsidRPr="000C2C5C">
              <w:rPr>
                <w:rFonts w:cs="Calibri"/>
                <w:color w:val="000000"/>
                <w:sz w:val="22"/>
                <w:szCs w:val="22"/>
              </w:rPr>
              <w:t>Total</w:t>
            </w:r>
          </w:p>
        </w:tc>
        <w:tc>
          <w:tcPr>
            <w:tcW w:w="1653" w:type="pct"/>
            <w:shd w:val="clear" w:color="auto" w:fill="auto"/>
            <w:noWrap/>
            <w:vAlign w:val="bottom"/>
          </w:tcPr>
          <w:p w14:paraId="4D561BB4" w14:textId="77777777" w:rsidR="001F27D2" w:rsidRPr="000C2C5C" w:rsidRDefault="001F27D2" w:rsidP="000C2C5C">
            <w:pPr>
              <w:spacing w:before="0" w:after="0"/>
              <w:jc w:val="center"/>
              <w:rPr>
                <w:rFonts w:cs="Calibri"/>
                <w:sz w:val="22"/>
                <w:szCs w:val="22"/>
              </w:rPr>
            </w:pPr>
            <w:r w:rsidRPr="000C2C5C">
              <w:rPr>
                <w:rFonts w:cs="Calibri"/>
                <w:bCs/>
                <w:color w:val="000000"/>
                <w:sz w:val="22"/>
                <w:szCs w:val="22"/>
              </w:rPr>
              <w:t>£189,950</w:t>
            </w:r>
          </w:p>
        </w:tc>
        <w:tc>
          <w:tcPr>
            <w:tcW w:w="1634" w:type="pct"/>
            <w:vAlign w:val="center"/>
          </w:tcPr>
          <w:p w14:paraId="7B7195DD" w14:textId="77777777" w:rsidR="001F27D2" w:rsidRPr="000C2C5C" w:rsidRDefault="001F27D2" w:rsidP="000C2C5C">
            <w:pPr>
              <w:spacing w:before="0" w:after="0"/>
              <w:jc w:val="center"/>
              <w:rPr>
                <w:rFonts w:cs="Calibri"/>
                <w:sz w:val="22"/>
                <w:szCs w:val="22"/>
              </w:rPr>
            </w:pPr>
            <w:r w:rsidRPr="000C2C5C">
              <w:rPr>
                <w:rFonts w:cs="Calibri"/>
                <w:sz w:val="22"/>
                <w:szCs w:val="22"/>
              </w:rPr>
              <w:t>£498</w:t>
            </w:r>
          </w:p>
        </w:tc>
      </w:tr>
    </w:tbl>
    <w:p w14:paraId="44753C50" w14:textId="77777777" w:rsidR="001F27D2" w:rsidRPr="002B2A7F" w:rsidRDefault="001F27D2" w:rsidP="001F27D2">
      <w:pPr>
        <w:pStyle w:val="Maintext"/>
        <w:numPr>
          <w:ilvl w:val="0"/>
          <w:numId w:val="0"/>
        </w:numPr>
        <w:rPr>
          <w:rFonts w:asciiTheme="minorHAnsi" w:hAnsiTheme="minorHAnsi" w:cs="Calibri"/>
          <w:sz w:val="20"/>
          <w:szCs w:val="20"/>
        </w:rPr>
      </w:pPr>
      <w:r w:rsidRPr="002B2A7F">
        <w:rPr>
          <w:rFonts w:asciiTheme="minorHAnsi" w:hAnsiTheme="minorHAnsi" w:cs="Calibri"/>
          <w:sz w:val="20"/>
          <w:szCs w:val="20"/>
        </w:rPr>
        <w:t xml:space="preserve">Source: </w:t>
      </w:r>
      <w:r w:rsidRPr="002B2A7F">
        <w:rPr>
          <w:rFonts w:asciiTheme="minorHAnsi" w:eastAsiaTheme="minorEastAsia" w:hAnsiTheme="minorHAnsi" w:cs="Calibri"/>
          <w:color w:val="0B0B0B"/>
          <w:sz w:val="20"/>
          <w:szCs w:val="20"/>
          <w:lang w:val="en-US"/>
        </w:rPr>
        <w:t>Data produced by Land Registry © Crown copyright 2017</w:t>
      </w:r>
      <w:r w:rsidRPr="002B2A7F">
        <w:rPr>
          <w:rFonts w:asciiTheme="minorHAnsi" w:hAnsiTheme="minorHAnsi" w:cs="Calibri"/>
          <w:sz w:val="20"/>
          <w:szCs w:val="20"/>
        </w:rPr>
        <w:t>, Zoopla 2017</w:t>
      </w:r>
    </w:p>
    <w:p w14:paraId="6097AD2A" w14:textId="77777777" w:rsidR="001F27D2" w:rsidRPr="002B2A7F" w:rsidRDefault="001F27D2" w:rsidP="001F27D2">
      <w:pPr>
        <w:pStyle w:val="Maintext"/>
        <w:numPr>
          <w:ilvl w:val="0"/>
          <w:numId w:val="0"/>
        </w:numPr>
        <w:rPr>
          <w:rFonts w:asciiTheme="minorHAnsi" w:hAnsiTheme="minorHAnsi" w:cs="Calibri"/>
          <w:highlight w:val="red"/>
        </w:rPr>
      </w:pPr>
    </w:p>
    <w:p w14:paraId="35DB17E0" w14:textId="77777777" w:rsidR="001F27D2" w:rsidRPr="002B2A7F" w:rsidRDefault="001F27D2" w:rsidP="001F27D2">
      <w:pPr>
        <w:pStyle w:val="Heading2"/>
        <w:rPr>
          <w:rFonts w:asciiTheme="minorHAnsi" w:hAnsiTheme="minorHAnsi" w:cs="Calibri"/>
        </w:rPr>
      </w:pPr>
      <w:bookmarkStart w:id="798" w:name="_Toc357939710"/>
      <w:bookmarkStart w:id="799" w:name="_Toc359601891"/>
      <w:bookmarkStart w:id="800" w:name="_Toc505362664"/>
      <w:bookmarkStart w:id="801" w:name="_Toc391314109"/>
      <w:bookmarkStart w:id="802" w:name="_Toc529652027"/>
      <w:bookmarkStart w:id="803" w:name="_Toc529780804"/>
      <w:bookmarkStart w:id="804" w:name="_Toc531122923"/>
      <w:bookmarkStart w:id="805" w:name="_Toc532812453"/>
      <w:r w:rsidRPr="002B2A7F">
        <w:rPr>
          <w:rFonts w:asciiTheme="minorHAnsi" w:hAnsiTheme="minorHAnsi" w:cs="Calibri"/>
        </w:rPr>
        <w:t>Stage 2:  Future housing need</w:t>
      </w:r>
      <w:bookmarkStart w:id="806" w:name="_Toc360192706"/>
      <w:bookmarkStart w:id="807" w:name="_Toc399864461"/>
      <w:bookmarkEnd w:id="798"/>
      <w:bookmarkEnd w:id="799"/>
      <w:bookmarkEnd w:id="800"/>
      <w:bookmarkEnd w:id="801"/>
      <w:bookmarkEnd w:id="802"/>
      <w:bookmarkEnd w:id="803"/>
      <w:bookmarkEnd w:id="804"/>
      <w:bookmarkEnd w:id="805"/>
    </w:p>
    <w:p w14:paraId="312FAA44" w14:textId="77777777" w:rsidR="001F27D2" w:rsidRPr="002B2A7F" w:rsidRDefault="001F27D2" w:rsidP="007D2B69">
      <w:pPr>
        <w:pStyle w:val="Maintext"/>
        <w:numPr>
          <w:ilvl w:val="1"/>
          <w:numId w:val="34"/>
        </w:numPr>
        <w:spacing w:before="0"/>
        <w:rPr>
          <w:rFonts w:asciiTheme="minorHAnsi" w:hAnsiTheme="minorHAnsi" w:cs="Arial"/>
        </w:rPr>
      </w:pPr>
      <w:r w:rsidRPr="002B2A7F">
        <w:rPr>
          <w:rFonts w:asciiTheme="minorHAnsi" w:hAnsiTheme="minorHAnsi" w:cs="Arial"/>
        </w:rPr>
        <w:t>The 2018 PPG considers how the number of newly-arising households likely to need affordable housing: ‘</w:t>
      </w:r>
      <w:r w:rsidRPr="002B2A7F">
        <w:rPr>
          <w:rFonts w:asciiTheme="minorHAnsi" w:hAnsiTheme="minorHAnsi" w:cs="Arial"/>
          <w:i/>
          <w:color w:val="0B0C0C"/>
          <w:shd w:val="clear" w:color="auto" w:fill="FFFFFF"/>
        </w:rPr>
        <w:t>Projections of affordable housing need will have to reflect new household formation, the proportion of newly forming households unable to buy or rent in the market area, and an estimation of the number of existing households falling into need. This process will need to identify the minimum household income required to access lower quartile (entry level) market housing (strategic policy-making authorities can use current cost in this process, but may wish to factor in anticipated changes in house prices and wages). It can then assess what proportion of newly-forming households will be unable to access market housing</w:t>
      </w:r>
      <w:r w:rsidRPr="002B2A7F">
        <w:rPr>
          <w:rFonts w:asciiTheme="minorHAnsi" w:hAnsiTheme="minorHAnsi" w:cs="Arial"/>
          <w:color w:val="0B0C0C"/>
          <w:shd w:val="clear" w:color="auto" w:fill="FFFFFF"/>
        </w:rPr>
        <w:t>.’</w:t>
      </w:r>
      <w:r w:rsidRPr="002B2A7F">
        <w:rPr>
          <w:rStyle w:val="FootnoteReference"/>
          <w:rFonts w:asciiTheme="minorHAnsi" w:hAnsiTheme="minorHAnsi" w:cs="Arial"/>
          <w:color w:val="0B0C0C"/>
          <w:shd w:val="clear" w:color="auto" w:fill="FFFFFF"/>
        </w:rPr>
        <w:footnoteReference w:id="27"/>
      </w:r>
    </w:p>
    <w:p w14:paraId="0CA3CDE5" w14:textId="77777777" w:rsidR="001F27D2" w:rsidRPr="002B2A7F" w:rsidRDefault="001F27D2" w:rsidP="001F27D2">
      <w:pPr>
        <w:rPr>
          <w:rFonts w:asciiTheme="minorHAnsi" w:hAnsiTheme="minorHAnsi"/>
        </w:rPr>
      </w:pPr>
    </w:p>
    <w:p w14:paraId="031E7FD8" w14:textId="77777777" w:rsidR="001F27D2" w:rsidRPr="002B2A7F" w:rsidRDefault="001F27D2" w:rsidP="001F27D2">
      <w:pPr>
        <w:pStyle w:val="Heading3"/>
        <w:rPr>
          <w:rFonts w:asciiTheme="minorHAnsi" w:hAnsiTheme="minorHAnsi" w:cs="Calibri"/>
        </w:rPr>
      </w:pPr>
      <w:r w:rsidRPr="002B2A7F">
        <w:rPr>
          <w:rFonts w:asciiTheme="minorHAnsi" w:hAnsiTheme="minorHAnsi" w:cs="Calibri"/>
        </w:rPr>
        <w:t>Step 2.1</w:t>
      </w:r>
      <w:r w:rsidRPr="002B2A7F">
        <w:rPr>
          <w:rFonts w:asciiTheme="minorHAnsi" w:hAnsiTheme="minorHAnsi" w:cs="Calibri"/>
        </w:rPr>
        <w:tab/>
        <w:t>New household formation (gross per year)</w:t>
      </w:r>
      <w:bookmarkEnd w:id="806"/>
      <w:bookmarkEnd w:id="807"/>
    </w:p>
    <w:p w14:paraId="441B370B" w14:textId="5093E0B9" w:rsidR="001F27D2" w:rsidRPr="002B2A7F" w:rsidRDefault="001F27D2" w:rsidP="007D2B69">
      <w:pPr>
        <w:pStyle w:val="Maintext"/>
        <w:numPr>
          <w:ilvl w:val="1"/>
          <w:numId w:val="34"/>
        </w:numPr>
        <w:spacing w:before="0"/>
        <w:rPr>
          <w:rFonts w:asciiTheme="minorHAnsi" w:hAnsiTheme="minorHAnsi" w:cs="Calibri"/>
        </w:rPr>
      </w:pPr>
      <w:r w:rsidRPr="002B2A7F">
        <w:rPr>
          <w:rFonts w:asciiTheme="minorHAnsi" w:hAnsiTheme="minorHAnsi" w:cs="Arial"/>
        </w:rPr>
        <w:t xml:space="preserve">The national household formation rate reported in the English Housing Survey is currently 1.55% based on the latest three-year average national rate reported in the English Housing Survey over the period 2013/14 to 2015/16. Applying the gross national household formation rate to household estimates, this establishes an annual household formation of 368 each year. Household survey evidence would suggest a higher rate of formation (725) based on the intentions of people to form households. The model </w:t>
      </w:r>
      <w:r w:rsidRPr="002B2A7F">
        <w:rPr>
          <w:rFonts w:asciiTheme="minorHAnsi" w:hAnsiTheme="minorHAnsi" w:cs="Arial"/>
        </w:rPr>
        <w:lastRenderedPageBreak/>
        <w:t>assumes an average of these figures as a reasonable expression of the scale of new household formation each year (547)</w:t>
      </w:r>
      <w:r w:rsidR="009741AD">
        <w:rPr>
          <w:rFonts w:asciiTheme="minorHAnsi" w:hAnsiTheme="minorHAnsi" w:cs="Arial"/>
        </w:rPr>
        <w:t>.</w:t>
      </w:r>
    </w:p>
    <w:p w14:paraId="631B75F7" w14:textId="77777777" w:rsidR="001F27D2" w:rsidRPr="002B2A7F" w:rsidRDefault="001F27D2" w:rsidP="000C2C5C">
      <w:bookmarkStart w:id="808" w:name="_Toc318323471"/>
      <w:bookmarkStart w:id="809" w:name="_Toc360192707"/>
      <w:bookmarkStart w:id="810" w:name="_Toc399864462"/>
    </w:p>
    <w:p w14:paraId="2F8974D3" w14:textId="77777777" w:rsidR="001F27D2" w:rsidRPr="002B2A7F" w:rsidRDefault="001F27D2" w:rsidP="001F27D2">
      <w:pPr>
        <w:pStyle w:val="Heading3"/>
        <w:rPr>
          <w:rFonts w:asciiTheme="minorHAnsi" w:hAnsiTheme="minorHAnsi" w:cs="Calibri"/>
        </w:rPr>
      </w:pPr>
      <w:r w:rsidRPr="002B2A7F">
        <w:rPr>
          <w:rFonts w:asciiTheme="minorHAnsi" w:hAnsiTheme="minorHAnsi" w:cs="Calibri"/>
        </w:rPr>
        <w:t>Step 2.2</w:t>
      </w:r>
      <w:r w:rsidRPr="002B2A7F">
        <w:rPr>
          <w:rFonts w:asciiTheme="minorHAnsi" w:hAnsiTheme="minorHAnsi" w:cs="Calibri"/>
        </w:rPr>
        <w:tab/>
        <w:t xml:space="preserve">New households </w:t>
      </w:r>
      <w:bookmarkEnd w:id="808"/>
      <w:bookmarkEnd w:id="809"/>
      <w:bookmarkEnd w:id="810"/>
      <w:r w:rsidRPr="002B2A7F">
        <w:rPr>
          <w:rFonts w:asciiTheme="minorHAnsi" w:hAnsiTheme="minorHAnsi" w:cs="Calibri"/>
        </w:rPr>
        <w:t>requiring affordable housing</w:t>
      </w:r>
    </w:p>
    <w:p w14:paraId="6C207108" w14:textId="2D852BD9" w:rsidR="001F27D2" w:rsidRPr="009741AD" w:rsidRDefault="001F27D2" w:rsidP="009741AD">
      <w:pPr>
        <w:pStyle w:val="Maintext"/>
        <w:numPr>
          <w:ilvl w:val="1"/>
          <w:numId w:val="34"/>
        </w:numPr>
        <w:spacing w:before="0"/>
        <w:rPr>
          <w:rFonts w:asciiTheme="minorHAnsi" w:hAnsiTheme="minorHAnsi" w:cs="Calibri"/>
        </w:rPr>
      </w:pPr>
      <w:r w:rsidRPr="002B2A7F">
        <w:rPr>
          <w:rFonts w:asciiTheme="minorHAnsi" w:hAnsiTheme="minorHAnsi" w:cs="Calibri"/>
        </w:rPr>
        <w:t xml:space="preserve">Analysis of median market prices relative to the income/savings of households who have formed in the past five years </w:t>
      </w:r>
      <w:r w:rsidRPr="00BC010F">
        <w:rPr>
          <w:rFonts w:asciiTheme="minorHAnsi" w:hAnsiTheme="minorHAnsi" w:cs="Arial"/>
        </w:rPr>
        <w:t>suggests</w:t>
      </w:r>
      <w:r w:rsidRPr="002B2A7F">
        <w:rPr>
          <w:rFonts w:asciiTheme="minorHAnsi" w:hAnsiTheme="minorHAnsi" w:cs="Calibri"/>
        </w:rPr>
        <w:t xml:space="preserve"> that 76.4% could not afford median house prices or private sector rents. </w:t>
      </w:r>
    </w:p>
    <w:p w14:paraId="339D30AD" w14:textId="56F94BF9" w:rsidR="001F27D2" w:rsidRPr="002B2A7F" w:rsidRDefault="001F27D2" w:rsidP="007D2B69">
      <w:pPr>
        <w:pStyle w:val="Maintext"/>
        <w:numPr>
          <w:ilvl w:val="1"/>
          <w:numId w:val="34"/>
        </w:numPr>
        <w:spacing w:before="0"/>
        <w:rPr>
          <w:rFonts w:asciiTheme="minorHAnsi" w:hAnsiTheme="minorHAnsi" w:cs="Calibri"/>
        </w:rPr>
      </w:pPr>
      <w:r w:rsidRPr="002B2A7F">
        <w:rPr>
          <w:rFonts w:asciiTheme="minorHAnsi" w:hAnsiTheme="minorHAnsi" w:cs="Calibri"/>
        </w:rPr>
        <w:t xml:space="preserve">Therefore, the total number of </w:t>
      </w:r>
      <w:r w:rsidRPr="00BC010F">
        <w:rPr>
          <w:rFonts w:asciiTheme="minorHAnsi" w:hAnsiTheme="minorHAnsi" w:cs="Arial"/>
        </w:rPr>
        <w:t>newly</w:t>
      </w:r>
      <w:r w:rsidRPr="002B2A7F">
        <w:rPr>
          <w:rFonts w:asciiTheme="minorHAnsi" w:hAnsiTheme="minorHAnsi" w:cs="Calibri"/>
        </w:rPr>
        <w:t xml:space="preserve">-forming households who could not afford open market prices or rents across the </w:t>
      </w:r>
      <w:r w:rsidR="00A73212">
        <w:rPr>
          <w:rFonts w:asciiTheme="minorHAnsi" w:hAnsiTheme="minorHAnsi" w:cs="Calibri"/>
        </w:rPr>
        <w:t>D</w:t>
      </w:r>
      <w:r w:rsidRPr="002B2A7F">
        <w:rPr>
          <w:rFonts w:asciiTheme="minorHAnsi" w:hAnsiTheme="minorHAnsi" w:cs="Calibri"/>
        </w:rPr>
        <w:t>istrict is calculated to be 418 each year.</w:t>
      </w:r>
    </w:p>
    <w:p w14:paraId="30611E90" w14:textId="77777777" w:rsidR="001F27D2" w:rsidRPr="002B2A7F" w:rsidRDefault="001F27D2" w:rsidP="001F27D2">
      <w:pPr>
        <w:rPr>
          <w:rFonts w:asciiTheme="minorHAnsi" w:hAnsiTheme="minorHAnsi" w:cs="Calibri"/>
          <w:highlight w:val="red"/>
        </w:rPr>
      </w:pPr>
      <w:bookmarkStart w:id="811" w:name="_Toc318323472"/>
    </w:p>
    <w:p w14:paraId="18DE3941" w14:textId="77777777" w:rsidR="001F27D2" w:rsidRPr="002B2A7F" w:rsidRDefault="001F27D2" w:rsidP="001F27D2">
      <w:pPr>
        <w:pStyle w:val="Heading3"/>
        <w:rPr>
          <w:rFonts w:asciiTheme="minorHAnsi" w:hAnsiTheme="minorHAnsi" w:cs="Calibri"/>
        </w:rPr>
      </w:pPr>
      <w:bookmarkStart w:id="812" w:name="_Toc360192708"/>
      <w:bookmarkStart w:id="813" w:name="_Toc399864463"/>
      <w:r w:rsidRPr="002B2A7F">
        <w:rPr>
          <w:rFonts w:asciiTheme="minorHAnsi" w:hAnsiTheme="minorHAnsi" w:cs="Calibri"/>
        </w:rPr>
        <w:t>Step 2.3</w:t>
      </w:r>
      <w:r w:rsidRPr="002B2A7F">
        <w:rPr>
          <w:rFonts w:asciiTheme="minorHAnsi" w:hAnsiTheme="minorHAnsi" w:cs="Calibri"/>
        </w:rPr>
        <w:tab/>
        <w:t>Existing households expected to fall into need</w:t>
      </w:r>
      <w:bookmarkEnd w:id="811"/>
      <w:bookmarkEnd w:id="812"/>
      <w:bookmarkEnd w:id="813"/>
    </w:p>
    <w:p w14:paraId="20473C45" w14:textId="77777777" w:rsidR="001F27D2" w:rsidRPr="002B2A7F" w:rsidRDefault="001F27D2" w:rsidP="007D2B69">
      <w:pPr>
        <w:pStyle w:val="Maintext"/>
        <w:numPr>
          <w:ilvl w:val="1"/>
          <w:numId w:val="34"/>
        </w:numPr>
        <w:spacing w:before="0"/>
        <w:rPr>
          <w:rFonts w:asciiTheme="minorHAnsi" w:hAnsiTheme="minorHAnsi" w:cs="Calibri"/>
        </w:rPr>
      </w:pPr>
      <w:bookmarkStart w:id="814" w:name="_Toc318323473"/>
      <w:r w:rsidRPr="002B2A7F">
        <w:rPr>
          <w:rFonts w:asciiTheme="minorHAnsi" w:hAnsiTheme="minorHAnsi" w:cs="Calibri"/>
        </w:rPr>
        <w:t xml:space="preserve">It is assumed that households falling into need is expressed as part of the total households in need in </w:t>
      </w:r>
      <w:r w:rsidRPr="00BC010F">
        <w:rPr>
          <w:rFonts w:asciiTheme="minorHAnsi" w:hAnsiTheme="minorHAnsi" w:cs="Arial"/>
        </w:rPr>
        <w:t>Stage</w:t>
      </w:r>
      <w:r w:rsidRPr="002B2A7F">
        <w:rPr>
          <w:rFonts w:asciiTheme="minorHAnsi" w:hAnsiTheme="minorHAnsi" w:cs="Calibri"/>
        </w:rPr>
        <w:t xml:space="preserve"> 1.1.</w:t>
      </w:r>
    </w:p>
    <w:p w14:paraId="67DFEBBF" w14:textId="77777777" w:rsidR="001F27D2" w:rsidRPr="002B2A7F" w:rsidRDefault="001F27D2" w:rsidP="001F27D2">
      <w:pPr>
        <w:rPr>
          <w:rFonts w:asciiTheme="minorHAnsi" w:hAnsiTheme="minorHAnsi" w:cs="Calibri"/>
          <w:highlight w:val="red"/>
        </w:rPr>
      </w:pPr>
    </w:p>
    <w:p w14:paraId="1463DF92" w14:textId="77777777" w:rsidR="001F27D2" w:rsidRPr="002B2A7F" w:rsidRDefault="001F27D2" w:rsidP="001F27D2">
      <w:pPr>
        <w:pStyle w:val="Heading3"/>
        <w:rPr>
          <w:rFonts w:asciiTheme="minorHAnsi" w:hAnsiTheme="minorHAnsi" w:cs="Calibri"/>
        </w:rPr>
      </w:pPr>
      <w:bookmarkStart w:id="815" w:name="_Toc360192709"/>
      <w:bookmarkStart w:id="816" w:name="_Toc399864464"/>
      <w:r w:rsidRPr="002B2A7F">
        <w:rPr>
          <w:rFonts w:asciiTheme="minorHAnsi" w:hAnsiTheme="minorHAnsi" w:cs="Calibri"/>
        </w:rPr>
        <w:t>Step 2.4</w:t>
      </w:r>
      <w:r w:rsidRPr="002B2A7F">
        <w:rPr>
          <w:rFonts w:asciiTheme="minorHAnsi" w:hAnsiTheme="minorHAnsi" w:cs="Calibri"/>
        </w:rPr>
        <w:tab/>
        <w:t>Total newly arising housing need (gross per year)</w:t>
      </w:r>
      <w:bookmarkEnd w:id="814"/>
      <w:bookmarkEnd w:id="815"/>
      <w:bookmarkEnd w:id="816"/>
    </w:p>
    <w:p w14:paraId="5684AE11" w14:textId="58E39D3B" w:rsidR="001F27D2" w:rsidRPr="002B2A7F" w:rsidRDefault="001F27D2" w:rsidP="007D2B69">
      <w:pPr>
        <w:pStyle w:val="Maintext"/>
        <w:numPr>
          <w:ilvl w:val="1"/>
          <w:numId w:val="34"/>
        </w:numPr>
        <w:spacing w:before="0"/>
        <w:rPr>
          <w:rFonts w:asciiTheme="minorHAnsi" w:hAnsiTheme="minorHAnsi" w:cs="Calibri"/>
          <w:sz w:val="20"/>
          <w:szCs w:val="20"/>
        </w:rPr>
      </w:pPr>
      <w:bookmarkStart w:id="817" w:name="_Toc273698056"/>
      <w:bookmarkStart w:id="818" w:name="_Toc273708389"/>
      <w:bookmarkStart w:id="819" w:name="_Toc280272459"/>
      <w:r w:rsidRPr="002B2A7F">
        <w:rPr>
          <w:rFonts w:asciiTheme="minorHAnsi" w:hAnsiTheme="minorHAnsi" w:cs="Calibri"/>
        </w:rPr>
        <w:t xml:space="preserve">Total newly arising need is </w:t>
      </w:r>
      <w:r w:rsidRPr="00BC010F">
        <w:rPr>
          <w:rFonts w:asciiTheme="minorHAnsi" w:hAnsiTheme="minorHAnsi" w:cs="Arial"/>
        </w:rPr>
        <w:t>calculated</w:t>
      </w:r>
      <w:r w:rsidRPr="002B2A7F">
        <w:rPr>
          <w:rFonts w:asciiTheme="minorHAnsi" w:hAnsiTheme="minorHAnsi" w:cs="Calibri"/>
        </w:rPr>
        <w:t xml:space="preserve"> to be 418 households each year across the </w:t>
      </w:r>
      <w:r w:rsidR="00A73212">
        <w:rPr>
          <w:rFonts w:asciiTheme="minorHAnsi" w:hAnsiTheme="minorHAnsi" w:cs="Calibri"/>
        </w:rPr>
        <w:t>District</w:t>
      </w:r>
      <w:r w:rsidRPr="002B2A7F">
        <w:rPr>
          <w:rFonts w:asciiTheme="minorHAnsi" w:hAnsiTheme="minorHAnsi" w:cs="Calibri"/>
        </w:rPr>
        <w:t>.</w:t>
      </w:r>
    </w:p>
    <w:p w14:paraId="3B16ADB3" w14:textId="77777777" w:rsidR="001F27D2" w:rsidRPr="002B2A7F" w:rsidRDefault="001F27D2" w:rsidP="001F27D2">
      <w:pPr>
        <w:rPr>
          <w:rFonts w:asciiTheme="minorHAnsi" w:hAnsiTheme="minorHAnsi" w:cs="Calibri"/>
          <w:highlight w:val="red"/>
        </w:rPr>
      </w:pPr>
    </w:p>
    <w:p w14:paraId="7012789A" w14:textId="77777777" w:rsidR="001F27D2" w:rsidRPr="002B2A7F" w:rsidRDefault="001F27D2" w:rsidP="001F27D2">
      <w:pPr>
        <w:pStyle w:val="Heading2"/>
        <w:rPr>
          <w:rFonts w:asciiTheme="minorHAnsi" w:hAnsiTheme="minorHAnsi" w:cs="Calibri"/>
        </w:rPr>
      </w:pPr>
      <w:bookmarkStart w:id="820" w:name="_Toc318323474"/>
      <w:bookmarkStart w:id="821" w:name="_Toc320271458"/>
      <w:bookmarkStart w:id="822" w:name="_Toc321323391"/>
      <w:bookmarkStart w:id="823" w:name="_Toc326077253"/>
      <w:bookmarkStart w:id="824" w:name="_Toc333507795"/>
      <w:bookmarkStart w:id="825" w:name="_Toc360192710"/>
      <w:bookmarkStart w:id="826" w:name="_Toc399864465"/>
      <w:bookmarkStart w:id="827" w:name="_Toc428528524"/>
      <w:bookmarkStart w:id="828" w:name="_Toc430084617"/>
      <w:bookmarkStart w:id="829" w:name="_Toc430782057"/>
      <w:bookmarkStart w:id="830" w:name="_Toc305277846"/>
      <w:bookmarkStart w:id="831" w:name="_Toc432599072"/>
      <w:bookmarkStart w:id="832" w:name="_Toc319240077"/>
      <w:bookmarkStart w:id="833" w:name="_Toc357939711"/>
      <w:bookmarkStart w:id="834" w:name="_Toc359601892"/>
      <w:bookmarkStart w:id="835" w:name="_Toc505362665"/>
      <w:bookmarkStart w:id="836" w:name="_Toc391314110"/>
      <w:bookmarkStart w:id="837" w:name="_Toc529652028"/>
      <w:bookmarkStart w:id="838" w:name="_Toc529780805"/>
      <w:bookmarkStart w:id="839" w:name="_Toc531122924"/>
      <w:bookmarkStart w:id="840" w:name="_Toc532812454"/>
      <w:r w:rsidRPr="002B2A7F">
        <w:rPr>
          <w:rFonts w:asciiTheme="minorHAnsi" w:hAnsiTheme="minorHAnsi" w:cs="Calibri"/>
        </w:rPr>
        <w:t>Stage 3:  Affordable housing supply</w:t>
      </w:r>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p w14:paraId="0FA99E37" w14:textId="77777777" w:rsidR="001F27D2" w:rsidRPr="002B2A7F" w:rsidRDefault="001F27D2" w:rsidP="007D2B69">
      <w:pPr>
        <w:pStyle w:val="Maintext"/>
        <w:numPr>
          <w:ilvl w:val="1"/>
          <w:numId w:val="34"/>
        </w:numPr>
        <w:spacing w:before="0"/>
        <w:rPr>
          <w:rFonts w:asciiTheme="minorHAnsi" w:hAnsiTheme="minorHAnsi" w:cs="Calibri"/>
        </w:rPr>
      </w:pPr>
      <w:r w:rsidRPr="002B2A7F">
        <w:rPr>
          <w:rFonts w:asciiTheme="minorHAnsi" w:hAnsiTheme="minorHAnsi" w:cs="Calibri"/>
        </w:rPr>
        <w:t xml:space="preserve">The needs assessment model reviews the supply of affordable units, taking into account how many </w:t>
      </w:r>
      <w:r w:rsidRPr="00BC010F">
        <w:rPr>
          <w:rFonts w:asciiTheme="minorHAnsi" w:hAnsiTheme="minorHAnsi" w:cs="Arial"/>
        </w:rPr>
        <w:t>households</w:t>
      </w:r>
      <w:r w:rsidRPr="002B2A7F">
        <w:rPr>
          <w:rFonts w:asciiTheme="minorHAnsi" w:hAnsiTheme="minorHAnsi" w:cs="Calibri"/>
        </w:rPr>
        <w:t xml:space="preserve"> in need are already in affordable accommodation, stock surpluses, committed supply of new affordable dwellings and dwellings being taken out of management (for instance pending demolition or being used for decanting).</w:t>
      </w:r>
    </w:p>
    <w:p w14:paraId="7927579A" w14:textId="77777777" w:rsidR="001F27D2" w:rsidRPr="002B2A7F" w:rsidRDefault="001F27D2" w:rsidP="001F27D2">
      <w:pPr>
        <w:pStyle w:val="Maintext"/>
        <w:numPr>
          <w:ilvl w:val="0"/>
          <w:numId w:val="0"/>
        </w:numPr>
        <w:rPr>
          <w:rFonts w:asciiTheme="minorHAnsi" w:hAnsiTheme="minorHAnsi" w:cs="Calibri"/>
        </w:rPr>
      </w:pPr>
    </w:p>
    <w:p w14:paraId="7558B4EA" w14:textId="77777777" w:rsidR="001F27D2" w:rsidRPr="002B2A7F" w:rsidRDefault="001F27D2" w:rsidP="001F27D2">
      <w:pPr>
        <w:pStyle w:val="Heading3"/>
        <w:rPr>
          <w:rFonts w:asciiTheme="minorHAnsi" w:hAnsiTheme="minorHAnsi" w:cs="Calibri"/>
        </w:rPr>
      </w:pPr>
      <w:bookmarkStart w:id="841" w:name="_Toc318323475"/>
      <w:bookmarkStart w:id="842" w:name="_Toc360192711"/>
      <w:bookmarkStart w:id="843" w:name="_Toc399864466"/>
      <w:r w:rsidRPr="002B2A7F">
        <w:rPr>
          <w:rFonts w:asciiTheme="minorHAnsi" w:hAnsiTheme="minorHAnsi" w:cs="Calibri"/>
        </w:rPr>
        <w:t>Step 3.1</w:t>
      </w:r>
      <w:r w:rsidRPr="002B2A7F">
        <w:rPr>
          <w:rFonts w:asciiTheme="minorHAnsi" w:hAnsiTheme="minorHAnsi" w:cs="Calibri"/>
        </w:rPr>
        <w:tab/>
        <w:t>Affordable dwellings occupied by households in need</w:t>
      </w:r>
      <w:bookmarkEnd w:id="841"/>
      <w:bookmarkEnd w:id="842"/>
      <w:bookmarkEnd w:id="843"/>
    </w:p>
    <w:p w14:paraId="67216C84" w14:textId="77777777" w:rsidR="001F27D2" w:rsidRPr="002B2A7F" w:rsidRDefault="001F27D2" w:rsidP="007D2B69">
      <w:pPr>
        <w:pStyle w:val="Maintext"/>
        <w:numPr>
          <w:ilvl w:val="1"/>
          <w:numId w:val="34"/>
        </w:numPr>
        <w:spacing w:before="0"/>
        <w:rPr>
          <w:rFonts w:asciiTheme="minorHAnsi" w:hAnsiTheme="minorHAnsi" w:cs="Calibri"/>
        </w:rPr>
      </w:pPr>
      <w:r w:rsidRPr="002B2A7F">
        <w:rPr>
          <w:rFonts w:asciiTheme="minorHAnsi" w:hAnsiTheme="minorHAnsi" w:cs="Calibri"/>
        </w:rPr>
        <w:t>This is an important consideration in establishing the net levels of housing need as the movement of these households within affordable housing will have a nil effect in terms of housing need</w:t>
      </w:r>
      <w:r w:rsidRPr="002B2A7F">
        <w:rPr>
          <w:rStyle w:val="FootnoteReference"/>
          <w:rFonts w:asciiTheme="minorHAnsi" w:hAnsiTheme="minorHAnsi" w:cs="Calibri"/>
        </w:rPr>
        <w:footnoteReference w:id="28"/>
      </w:r>
      <w:r w:rsidRPr="002B2A7F">
        <w:rPr>
          <w:rFonts w:asciiTheme="minorHAnsi" w:hAnsiTheme="minorHAnsi" w:cs="Calibri"/>
        </w:rPr>
        <w:t xml:space="preserve">. </w:t>
      </w:r>
    </w:p>
    <w:p w14:paraId="084CF95F" w14:textId="77777777" w:rsidR="001F27D2" w:rsidRPr="002B2A7F" w:rsidRDefault="001F27D2" w:rsidP="007D2B69">
      <w:pPr>
        <w:pStyle w:val="Maintext"/>
        <w:numPr>
          <w:ilvl w:val="1"/>
          <w:numId w:val="34"/>
        </w:numPr>
        <w:spacing w:before="0"/>
        <w:rPr>
          <w:rFonts w:asciiTheme="minorHAnsi" w:hAnsiTheme="minorHAnsi" w:cs="Calibri"/>
        </w:rPr>
      </w:pPr>
      <w:r w:rsidRPr="002B2A7F">
        <w:rPr>
          <w:rFonts w:asciiTheme="minorHAnsi" w:hAnsiTheme="minorHAnsi" w:cs="Calibri"/>
        </w:rPr>
        <w:t>A total of 424 households are current occupiers of affordable housing in need. Although the movement of these households within affordable housing will have a nil effect in terms of housing need (i.e. they already live in affordable housing), the types of property they would ‘free up’ if they moved is considered in modelling.</w:t>
      </w:r>
    </w:p>
    <w:p w14:paraId="0C0756D4" w14:textId="77777777" w:rsidR="001F27D2" w:rsidRPr="002B2A7F" w:rsidRDefault="001F27D2" w:rsidP="001F27D2">
      <w:pPr>
        <w:rPr>
          <w:rFonts w:asciiTheme="minorHAnsi" w:hAnsiTheme="minorHAnsi" w:cs="Calibri"/>
          <w:highlight w:val="red"/>
        </w:rPr>
      </w:pPr>
    </w:p>
    <w:p w14:paraId="109AC807" w14:textId="77777777" w:rsidR="001F27D2" w:rsidRPr="002B2A7F" w:rsidRDefault="001F27D2" w:rsidP="001F27D2">
      <w:pPr>
        <w:pStyle w:val="Heading3"/>
        <w:rPr>
          <w:rFonts w:asciiTheme="minorHAnsi" w:hAnsiTheme="minorHAnsi" w:cs="Calibri"/>
        </w:rPr>
      </w:pPr>
      <w:bookmarkStart w:id="844" w:name="_Toc318323476"/>
      <w:bookmarkStart w:id="845" w:name="_Toc360192712"/>
      <w:bookmarkStart w:id="846" w:name="_Toc399864467"/>
      <w:r w:rsidRPr="002B2A7F">
        <w:rPr>
          <w:rFonts w:asciiTheme="minorHAnsi" w:hAnsiTheme="minorHAnsi" w:cs="Calibri"/>
        </w:rPr>
        <w:t>Step 3.2</w:t>
      </w:r>
      <w:r w:rsidRPr="002B2A7F">
        <w:rPr>
          <w:rFonts w:asciiTheme="minorHAnsi" w:hAnsiTheme="minorHAnsi" w:cs="Calibri"/>
        </w:rPr>
        <w:tab/>
        <w:t>Surplus stock</w:t>
      </w:r>
      <w:bookmarkEnd w:id="844"/>
      <w:bookmarkEnd w:id="845"/>
      <w:bookmarkEnd w:id="846"/>
    </w:p>
    <w:p w14:paraId="1CF8732F" w14:textId="24C68B1E" w:rsidR="001F27D2" w:rsidRPr="002B2A7F" w:rsidRDefault="001F27D2" w:rsidP="007D2B69">
      <w:pPr>
        <w:pStyle w:val="Maintext"/>
        <w:numPr>
          <w:ilvl w:val="1"/>
          <w:numId w:val="34"/>
        </w:numPr>
        <w:spacing w:before="0"/>
        <w:rPr>
          <w:rFonts w:asciiTheme="minorHAnsi" w:hAnsiTheme="minorHAnsi" w:cs="Calibri"/>
          <w:b/>
        </w:rPr>
      </w:pPr>
      <w:r w:rsidRPr="002B2A7F">
        <w:rPr>
          <w:rFonts w:asciiTheme="minorHAnsi" w:hAnsiTheme="minorHAnsi" w:cs="Calibri"/>
        </w:rPr>
        <w:t xml:space="preserve">A proportion of vacant properties are needed to allow households to move within housing stock. Across the social rented sector, this proportion is generally recognised as </w:t>
      </w:r>
      <w:r w:rsidRPr="002B2A7F">
        <w:rPr>
          <w:rFonts w:asciiTheme="minorHAnsi" w:hAnsiTheme="minorHAnsi" w:cs="Calibri"/>
        </w:rPr>
        <w:lastRenderedPageBreak/>
        <w:t xml:space="preserve">being 2%. Stock above this proportion is usually assumed to be surplus stock. Modelling assumes no surplus social rented stock across the </w:t>
      </w:r>
      <w:r w:rsidR="00A73212">
        <w:rPr>
          <w:rFonts w:asciiTheme="minorHAnsi" w:hAnsiTheme="minorHAnsi" w:cs="Calibri"/>
        </w:rPr>
        <w:t>D</w:t>
      </w:r>
      <w:r w:rsidRPr="002B2A7F">
        <w:rPr>
          <w:rFonts w:asciiTheme="minorHAnsi" w:hAnsiTheme="minorHAnsi" w:cs="Calibri"/>
        </w:rPr>
        <w:t>istrict.</w:t>
      </w:r>
    </w:p>
    <w:p w14:paraId="0267A639" w14:textId="77777777" w:rsidR="001F27D2" w:rsidRPr="002B2A7F" w:rsidRDefault="001F27D2" w:rsidP="001F27D2">
      <w:pPr>
        <w:pStyle w:val="Maintext"/>
        <w:numPr>
          <w:ilvl w:val="0"/>
          <w:numId w:val="0"/>
        </w:numPr>
        <w:tabs>
          <w:tab w:val="left" w:pos="1440"/>
        </w:tabs>
        <w:rPr>
          <w:rFonts w:asciiTheme="minorHAnsi" w:hAnsiTheme="minorHAnsi" w:cs="Calibri"/>
          <w:b/>
          <w:highlight w:val="yellow"/>
        </w:rPr>
      </w:pPr>
    </w:p>
    <w:p w14:paraId="5D608B82" w14:textId="77777777" w:rsidR="001F27D2" w:rsidRPr="002B2A7F" w:rsidRDefault="001F27D2" w:rsidP="001F27D2">
      <w:pPr>
        <w:pStyle w:val="Heading3"/>
        <w:rPr>
          <w:rFonts w:asciiTheme="minorHAnsi" w:hAnsiTheme="minorHAnsi" w:cs="Calibri"/>
        </w:rPr>
      </w:pPr>
      <w:bookmarkStart w:id="847" w:name="_Toc318323477"/>
      <w:bookmarkStart w:id="848" w:name="_Toc360192713"/>
      <w:bookmarkStart w:id="849" w:name="_Toc399864468"/>
      <w:r w:rsidRPr="002B2A7F">
        <w:rPr>
          <w:rFonts w:asciiTheme="minorHAnsi" w:hAnsiTheme="minorHAnsi" w:cs="Calibri"/>
        </w:rPr>
        <w:t>Step 3.3</w:t>
      </w:r>
      <w:r w:rsidRPr="002B2A7F">
        <w:rPr>
          <w:rFonts w:asciiTheme="minorHAnsi" w:hAnsiTheme="minorHAnsi" w:cs="Calibri"/>
        </w:rPr>
        <w:tab/>
        <w:t>Committed supply of new affordable units</w:t>
      </w:r>
      <w:bookmarkEnd w:id="847"/>
      <w:bookmarkEnd w:id="848"/>
      <w:bookmarkEnd w:id="849"/>
    </w:p>
    <w:p w14:paraId="5BD4D9E9" w14:textId="6FD3CD3F" w:rsidR="001F27D2" w:rsidRPr="002B2A7F" w:rsidRDefault="001F27D2" w:rsidP="007D2B69">
      <w:pPr>
        <w:pStyle w:val="Maintext"/>
        <w:numPr>
          <w:ilvl w:val="1"/>
          <w:numId w:val="34"/>
        </w:numPr>
        <w:spacing w:before="0"/>
        <w:rPr>
          <w:rFonts w:asciiTheme="minorHAnsi" w:hAnsiTheme="minorHAnsi" w:cs="Calibri"/>
        </w:rPr>
      </w:pPr>
      <w:r w:rsidRPr="002B2A7F">
        <w:rPr>
          <w:rFonts w:asciiTheme="minorHAnsi" w:hAnsiTheme="minorHAnsi" w:cs="Calibri"/>
        </w:rPr>
        <w:t xml:space="preserve">The model assumes a committed </w:t>
      </w:r>
      <w:r w:rsidRPr="00BC010F">
        <w:rPr>
          <w:rFonts w:asciiTheme="minorHAnsi" w:hAnsiTheme="minorHAnsi" w:cs="Arial"/>
        </w:rPr>
        <w:t>supply</w:t>
      </w:r>
      <w:r w:rsidRPr="002B2A7F">
        <w:rPr>
          <w:rFonts w:asciiTheme="minorHAnsi" w:hAnsiTheme="minorHAnsi" w:cs="Calibri"/>
        </w:rPr>
        <w:t xml:space="preserve"> of 486 affordable dwellings over the next 5 years. This is based on past trends in delivery over the 5 year period 2013/14 to 2017/18</w:t>
      </w:r>
      <w:r w:rsidR="00A73212">
        <w:rPr>
          <w:rFonts w:asciiTheme="minorHAnsi" w:hAnsiTheme="minorHAnsi" w:cs="Calibri"/>
        </w:rPr>
        <w:t>.</w:t>
      </w:r>
    </w:p>
    <w:p w14:paraId="0FB8AEC4" w14:textId="77777777" w:rsidR="001F27D2" w:rsidRPr="002B2A7F" w:rsidRDefault="001F27D2" w:rsidP="001F27D2">
      <w:pPr>
        <w:rPr>
          <w:rFonts w:asciiTheme="minorHAnsi" w:hAnsiTheme="minorHAnsi" w:cs="Calibri"/>
          <w:highlight w:val="red"/>
        </w:rPr>
      </w:pPr>
      <w:bookmarkStart w:id="850" w:name="_Toc318323478"/>
    </w:p>
    <w:p w14:paraId="3B1556FE" w14:textId="77777777" w:rsidR="001F27D2" w:rsidRPr="002B2A7F" w:rsidRDefault="001F27D2" w:rsidP="001F27D2">
      <w:pPr>
        <w:pStyle w:val="Heading3"/>
        <w:rPr>
          <w:rFonts w:asciiTheme="minorHAnsi" w:hAnsiTheme="minorHAnsi" w:cs="Calibri"/>
        </w:rPr>
      </w:pPr>
      <w:bookmarkStart w:id="851" w:name="_Toc360192714"/>
      <w:bookmarkStart w:id="852" w:name="_Toc399864469"/>
      <w:r w:rsidRPr="002B2A7F">
        <w:rPr>
          <w:rFonts w:asciiTheme="minorHAnsi" w:hAnsiTheme="minorHAnsi" w:cs="Calibri"/>
        </w:rPr>
        <w:t>Step 3.4</w:t>
      </w:r>
      <w:r w:rsidRPr="002B2A7F">
        <w:rPr>
          <w:rFonts w:asciiTheme="minorHAnsi" w:hAnsiTheme="minorHAnsi" w:cs="Calibri"/>
        </w:rPr>
        <w:tab/>
        <w:t>Units to be taken out of management</w:t>
      </w:r>
      <w:bookmarkEnd w:id="850"/>
      <w:bookmarkEnd w:id="851"/>
      <w:bookmarkEnd w:id="852"/>
    </w:p>
    <w:p w14:paraId="3CB7142F" w14:textId="77777777" w:rsidR="001F27D2" w:rsidRPr="002B2A7F" w:rsidRDefault="001F27D2" w:rsidP="007D2B69">
      <w:pPr>
        <w:pStyle w:val="Maintext"/>
        <w:numPr>
          <w:ilvl w:val="1"/>
          <w:numId w:val="34"/>
        </w:numPr>
        <w:spacing w:before="0"/>
        <w:rPr>
          <w:rFonts w:asciiTheme="minorHAnsi" w:hAnsiTheme="minorHAnsi" w:cs="Calibri"/>
        </w:rPr>
      </w:pPr>
      <w:r w:rsidRPr="002B2A7F">
        <w:rPr>
          <w:rFonts w:asciiTheme="minorHAnsi" w:hAnsiTheme="minorHAnsi" w:cs="Calibri"/>
        </w:rPr>
        <w:t xml:space="preserve">The model assumes there will </w:t>
      </w:r>
      <w:r w:rsidRPr="00BC010F">
        <w:rPr>
          <w:rFonts w:asciiTheme="minorHAnsi" w:hAnsiTheme="minorHAnsi" w:cs="Arial"/>
        </w:rPr>
        <w:t>be</w:t>
      </w:r>
      <w:r w:rsidRPr="002B2A7F">
        <w:rPr>
          <w:rFonts w:asciiTheme="minorHAnsi" w:hAnsiTheme="minorHAnsi" w:cs="Calibri"/>
        </w:rPr>
        <w:t xml:space="preserve"> no social rented units taken out of management over the next five years. </w:t>
      </w:r>
    </w:p>
    <w:p w14:paraId="568E149B" w14:textId="77777777" w:rsidR="001F27D2" w:rsidRPr="002B2A7F" w:rsidRDefault="001F27D2" w:rsidP="001F27D2">
      <w:pPr>
        <w:pStyle w:val="Maintext"/>
        <w:numPr>
          <w:ilvl w:val="0"/>
          <w:numId w:val="0"/>
        </w:numPr>
        <w:rPr>
          <w:rFonts w:asciiTheme="minorHAnsi" w:hAnsiTheme="minorHAnsi" w:cs="Calibri"/>
          <w:highlight w:val="red"/>
        </w:rPr>
      </w:pPr>
    </w:p>
    <w:p w14:paraId="23B96DBB" w14:textId="77777777" w:rsidR="001F27D2" w:rsidRPr="002B2A7F" w:rsidRDefault="001F27D2" w:rsidP="001F27D2">
      <w:pPr>
        <w:pStyle w:val="Heading3"/>
        <w:rPr>
          <w:rFonts w:asciiTheme="minorHAnsi" w:hAnsiTheme="minorHAnsi" w:cs="Calibri"/>
        </w:rPr>
      </w:pPr>
      <w:bookmarkStart w:id="853" w:name="_Toc318323479"/>
      <w:bookmarkStart w:id="854" w:name="_Toc360192715"/>
      <w:bookmarkStart w:id="855" w:name="_Toc399864470"/>
      <w:r w:rsidRPr="002B2A7F">
        <w:rPr>
          <w:rFonts w:asciiTheme="minorHAnsi" w:hAnsiTheme="minorHAnsi" w:cs="Calibri"/>
        </w:rPr>
        <w:t>Step 3.5</w:t>
      </w:r>
      <w:r w:rsidRPr="002B2A7F">
        <w:rPr>
          <w:rFonts w:asciiTheme="minorHAnsi" w:hAnsiTheme="minorHAnsi" w:cs="Calibri"/>
        </w:rPr>
        <w:tab/>
        <w:t>Total affordable housing stock available</w:t>
      </w:r>
      <w:bookmarkEnd w:id="853"/>
      <w:bookmarkEnd w:id="854"/>
      <w:bookmarkEnd w:id="855"/>
    </w:p>
    <w:p w14:paraId="1BB3563C" w14:textId="77777777" w:rsidR="001F27D2" w:rsidRPr="002B2A7F" w:rsidRDefault="001F27D2" w:rsidP="007D2B69">
      <w:pPr>
        <w:pStyle w:val="Maintext"/>
        <w:numPr>
          <w:ilvl w:val="1"/>
          <w:numId w:val="34"/>
        </w:numPr>
        <w:spacing w:before="0"/>
        <w:rPr>
          <w:rFonts w:asciiTheme="minorHAnsi" w:hAnsiTheme="minorHAnsi" w:cs="Calibri"/>
        </w:rPr>
      </w:pPr>
      <w:r w:rsidRPr="002B2A7F">
        <w:rPr>
          <w:rFonts w:asciiTheme="minorHAnsi" w:hAnsiTheme="minorHAnsi" w:cs="Calibri"/>
        </w:rPr>
        <w:t xml:space="preserve">It is assumed that there are 910 affordable dwellings available over the five-year period arising from </w:t>
      </w:r>
      <w:r w:rsidRPr="00BC010F">
        <w:rPr>
          <w:rFonts w:asciiTheme="minorHAnsi" w:hAnsiTheme="minorHAnsi" w:cs="Arial"/>
        </w:rPr>
        <w:t>households</w:t>
      </w:r>
      <w:r w:rsidRPr="002B2A7F">
        <w:rPr>
          <w:rFonts w:asciiTheme="minorHAnsi" w:hAnsiTheme="minorHAnsi" w:cs="Calibri"/>
        </w:rPr>
        <w:t xml:space="preserve"> moving within the stock (424 from movement within the stock and 486 committed new build). </w:t>
      </w:r>
    </w:p>
    <w:p w14:paraId="49FFF138" w14:textId="77777777" w:rsidR="001F27D2" w:rsidRPr="002B2A7F" w:rsidRDefault="001F27D2" w:rsidP="001F27D2">
      <w:pPr>
        <w:rPr>
          <w:rFonts w:asciiTheme="minorHAnsi" w:hAnsiTheme="minorHAnsi" w:cs="Calibri"/>
          <w:highlight w:val="red"/>
        </w:rPr>
      </w:pPr>
    </w:p>
    <w:p w14:paraId="7AD5DEBC" w14:textId="77777777" w:rsidR="001F27D2" w:rsidRPr="002B2A7F" w:rsidRDefault="001F27D2" w:rsidP="001F27D2">
      <w:pPr>
        <w:pStyle w:val="Heading3"/>
        <w:rPr>
          <w:rFonts w:asciiTheme="minorHAnsi" w:hAnsiTheme="minorHAnsi" w:cs="Calibri"/>
        </w:rPr>
      </w:pPr>
      <w:bookmarkStart w:id="856" w:name="_Toc318323480"/>
      <w:bookmarkStart w:id="857" w:name="_Toc360192716"/>
      <w:bookmarkStart w:id="858" w:name="_Toc399864471"/>
      <w:r w:rsidRPr="002B2A7F">
        <w:rPr>
          <w:rFonts w:asciiTheme="minorHAnsi" w:hAnsiTheme="minorHAnsi" w:cs="Calibri"/>
        </w:rPr>
        <w:t xml:space="preserve">Step 3.6 </w:t>
      </w:r>
      <w:r w:rsidRPr="002B2A7F">
        <w:rPr>
          <w:rFonts w:asciiTheme="minorHAnsi" w:hAnsiTheme="minorHAnsi" w:cs="Calibri"/>
        </w:rPr>
        <w:tab/>
        <w:t>Annual supply of social re-lets</w:t>
      </w:r>
      <w:bookmarkEnd w:id="856"/>
      <w:bookmarkEnd w:id="857"/>
      <w:bookmarkEnd w:id="858"/>
    </w:p>
    <w:p w14:paraId="79CED9FD" w14:textId="64ECFDA5" w:rsidR="001F27D2" w:rsidRPr="002B2A7F" w:rsidRDefault="001F27D2" w:rsidP="007D2B69">
      <w:pPr>
        <w:pStyle w:val="Maintext"/>
        <w:numPr>
          <w:ilvl w:val="1"/>
          <w:numId w:val="34"/>
        </w:numPr>
        <w:spacing w:before="0"/>
        <w:rPr>
          <w:rFonts w:asciiTheme="minorHAnsi" w:hAnsiTheme="minorHAnsi" w:cs="Calibri"/>
        </w:rPr>
      </w:pPr>
      <w:r w:rsidRPr="002B2A7F">
        <w:rPr>
          <w:rFonts w:asciiTheme="minorHAnsi" w:hAnsiTheme="minorHAnsi" w:cs="Calibri"/>
        </w:rPr>
        <w:t xml:space="preserve">The needs model considers the annual supply of social re-lets. Accurate lettings information was provided by </w:t>
      </w:r>
      <w:r w:rsidRPr="00BC010F">
        <w:rPr>
          <w:rFonts w:asciiTheme="minorHAnsi" w:hAnsiTheme="minorHAnsi" w:cs="Arial"/>
        </w:rPr>
        <w:t>the</w:t>
      </w:r>
      <w:r w:rsidRPr="002B2A7F">
        <w:rPr>
          <w:rFonts w:asciiTheme="minorHAnsi" w:hAnsiTheme="minorHAnsi" w:cs="Calibri"/>
        </w:rPr>
        <w:t xml:space="preserve"> Council which identified an annual average of 241 social rented/affordable dwellings over the 5 year period to September 2018. </w:t>
      </w:r>
    </w:p>
    <w:p w14:paraId="0F8DBD51" w14:textId="77777777" w:rsidR="001F27D2" w:rsidRPr="002B2A7F" w:rsidRDefault="001F27D2" w:rsidP="001F27D2">
      <w:pPr>
        <w:pStyle w:val="Maintext"/>
        <w:numPr>
          <w:ilvl w:val="0"/>
          <w:numId w:val="0"/>
        </w:numPr>
        <w:ind w:firstLine="709"/>
        <w:rPr>
          <w:rFonts w:asciiTheme="minorHAnsi" w:hAnsiTheme="minorHAnsi" w:cs="Calibri"/>
          <w:b/>
          <w:highlight w:val="red"/>
        </w:rPr>
      </w:pPr>
    </w:p>
    <w:p w14:paraId="4BA49063" w14:textId="77777777" w:rsidR="001F27D2" w:rsidRPr="002B2A7F" w:rsidRDefault="001F27D2" w:rsidP="001F27D2">
      <w:pPr>
        <w:pStyle w:val="Heading3"/>
        <w:rPr>
          <w:rFonts w:asciiTheme="minorHAnsi" w:hAnsiTheme="minorHAnsi" w:cs="Calibri"/>
        </w:rPr>
      </w:pPr>
      <w:bookmarkStart w:id="859" w:name="_Toc360192717"/>
      <w:bookmarkStart w:id="860" w:name="_Toc399864472"/>
      <w:r w:rsidRPr="002B2A7F">
        <w:rPr>
          <w:rFonts w:asciiTheme="minorHAnsi" w:hAnsiTheme="minorHAnsi" w:cs="Calibri"/>
        </w:rPr>
        <w:t xml:space="preserve">Step 3.7 </w:t>
      </w:r>
      <w:r w:rsidRPr="002B2A7F">
        <w:rPr>
          <w:rFonts w:asciiTheme="minorHAnsi" w:hAnsiTheme="minorHAnsi" w:cs="Calibri"/>
        </w:rPr>
        <w:tab/>
        <w:t>Annual supply of intermediate re-lets/sales</w:t>
      </w:r>
      <w:bookmarkEnd w:id="859"/>
      <w:bookmarkEnd w:id="860"/>
      <w:r w:rsidRPr="002B2A7F">
        <w:rPr>
          <w:rFonts w:asciiTheme="minorHAnsi" w:hAnsiTheme="minorHAnsi" w:cs="Calibri"/>
        </w:rPr>
        <w:t xml:space="preserve"> </w:t>
      </w:r>
    </w:p>
    <w:p w14:paraId="0343F624" w14:textId="77777777" w:rsidR="001F27D2" w:rsidRPr="002B2A7F" w:rsidRDefault="001F27D2" w:rsidP="007D2B69">
      <w:pPr>
        <w:pStyle w:val="Maintext"/>
        <w:numPr>
          <w:ilvl w:val="1"/>
          <w:numId w:val="34"/>
        </w:numPr>
        <w:spacing w:before="0"/>
        <w:rPr>
          <w:rFonts w:asciiTheme="minorHAnsi" w:hAnsiTheme="minorHAnsi" w:cs="Calibri"/>
        </w:rPr>
      </w:pPr>
      <w:r w:rsidRPr="002B2A7F">
        <w:rPr>
          <w:rFonts w:asciiTheme="minorHAnsi" w:hAnsiTheme="minorHAnsi" w:cs="Calibri"/>
        </w:rPr>
        <w:t xml:space="preserve">Data from MHCLG on intermediate affordable housing available for re-let or resale suggests an annual average of 10 dwellings come available. </w:t>
      </w:r>
    </w:p>
    <w:p w14:paraId="61468430" w14:textId="77777777" w:rsidR="001F27D2" w:rsidRPr="002B2A7F" w:rsidRDefault="001F27D2" w:rsidP="001F27D2">
      <w:pPr>
        <w:ind w:left="993" w:hanging="284"/>
        <w:rPr>
          <w:rFonts w:asciiTheme="minorHAnsi" w:hAnsiTheme="minorHAnsi" w:cs="Calibri"/>
          <w:b/>
          <w:highlight w:val="red"/>
        </w:rPr>
      </w:pPr>
    </w:p>
    <w:p w14:paraId="694A1FB8" w14:textId="77777777" w:rsidR="001F27D2" w:rsidRPr="002B2A7F" w:rsidRDefault="001F27D2" w:rsidP="001F27D2">
      <w:pPr>
        <w:pStyle w:val="Heading3"/>
        <w:rPr>
          <w:rFonts w:asciiTheme="minorHAnsi" w:hAnsiTheme="minorHAnsi" w:cs="Calibri"/>
        </w:rPr>
      </w:pPr>
      <w:bookmarkStart w:id="861" w:name="_Toc318323482"/>
      <w:bookmarkStart w:id="862" w:name="_Toc360192718"/>
      <w:bookmarkStart w:id="863" w:name="_Toc399864473"/>
      <w:r w:rsidRPr="002B2A7F">
        <w:rPr>
          <w:rFonts w:asciiTheme="minorHAnsi" w:hAnsiTheme="minorHAnsi" w:cs="Calibri"/>
        </w:rPr>
        <w:t>Summary of Stage 3</w:t>
      </w:r>
      <w:bookmarkEnd w:id="861"/>
      <w:bookmarkEnd w:id="862"/>
      <w:bookmarkEnd w:id="863"/>
    </w:p>
    <w:p w14:paraId="5BAFD778" w14:textId="72CB871E" w:rsidR="001F27D2" w:rsidRPr="002B2A7F" w:rsidRDefault="001F27D2" w:rsidP="007D2B69">
      <w:pPr>
        <w:pStyle w:val="Maintext"/>
        <w:numPr>
          <w:ilvl w:val="1"/>
          <w:numId w:val="34"/>
        </w:numPr>
        <w:spacing w:before="0"/>
        <w:rPr>
          <w:rFonts w:asciiTheme="minorHAnsi" w:hAnsiTheme="minorHAnsi" w:cs="Calibri"/>
        </w:rPr>
      </w:pPr>
      <w:r w:rsidRPr="002B2A7F">
        <w:rPr>
          <w:rFonts w:asciiTheme="minorHAnsi" w:hAnsiTheme="minorHAnsi" w:cs="Calibri"/>
        </w:rPr>
        <w:t xml:space="preserve">Overall, the model assumes a </w:t>
      </w:r>
      <w:r w:rsidRPr="00BC010F">
        <w:rPr>
          <w:rFonts w:asciiTheme="minorHAnsi" w:hAnsiTheme="minorHAnsi" w:cs="Arial"/>
        </w:rPr>
        <w:t>total</w:t>
      </w:r>
      <w:r w:rsidRPr="002B2A7F">
        <w:rPr>
          <w:rFonts w:asciiTheme="minorHAnsi" w:hAnsiTheme="minorHAnsi" w:cs="Calibri"/>
        </w:rPr>
        <w:t xml:space="preserve"> affordable housing stock availability of 910 dwellings and an annual supply of 241 affordable/social rented lettings and 10 intermediate sales.</w:t>
      </w:r>
    </w:p>
    <w:p w14:paraId="03E9F994" w14:textId="77777777" w:rsidR="001F27D2" w:rsidRPr="002B2A7F" w:rsidRDefault="001F27D2" w:rsidP="001F27D2">
      <w:pPr>
        <w:pStyle w:val="Maintext"/>
        <w:numPr>
          <w:ilvl w:val="0"/>
          <w:numId w:val="0"/>
        </w:numPr>
        <w:rPr>
          <w:rFonts w:asciiTheme="minorHAnsi" w:hAnsiTheme="minorHAnsi" w:cs="Calibri"/>
          <w:highlight w:val="red"/>
        </w:rPr>
      </w:pPr>
    </w:p>
    <w:p w14:paraId="3A63BDB0" w14:textId="77777777" w:rsidR="001F27D2" w:rsidRPr="002B2A7F" w:rsidRDefault="001F27D2" w:rsidP="001F27D2">
      <w:pPr>
        <w:pStyle w:val="Heading2"/>
        <w:rPr>
          <w:rFonts w:asciiTheme="minorHAnsi" w:hAnsiTheme="minorHAnsi" w:cstheme="minorHAnsi"/>
        </w:rPr>
      </w:pPr>
      <w:bookmarkStart w:id="864" w:name="_Toc529652029"/>
      <w:bookmarkStart w:id="865" w:name="_Toc529780806"/>
      <w:bookmarkStart w:id="866" w:name="_Toc531122925"/>
      <w:bookmarkStart w:id="867" w:name="_Toc532812455"/>
      <w:r w:rsidRPr="002B2A7F">
        <w:rPr>
          <w:rFonts w:asciiTheme="minorHAnsi" w:hAnsiTheme="minorHAnsi" w:cstheme="minorHAnsi"/>
        </w:rPr>
        <w:t>Stage 4:  Annual Housing Need</w:t>
      </w:r>
      <w:bookmarkEnd w:id="864"/>
      <w:bookmarkEnd w:id="865"/>
      <w:bookmarkEnd w:id="866"/>
      <w:bookmarkEnd w:id="867"/>
    </w:p>
    <w:p w14:paraId="1F70DE82" w14:textId="77777777" w:rsidR="001F27D2" w:rsidRPr="002B2A7F" w:rsidRDefault="001F27D2" w:rsidP="001F27D2">
      <w:pPr>
        <w:pStyle w:val="Heading3"/>
        <w:rPr>
          <w:rFonts w:asciiTheme="minorHAnsi" w:hAnsiTheme="minorHAnsi" w:cs="Calibri"/>
        </w:rPr>
      </w:pPr>
      <w:r w:rsidRPr="002B2A7F">
        <w:rPr>
          <w:rFonts w:asciiTheme="minorHAnsi" w:hAnsiTheme="minorHAnsi" w:cs="Calibri"/>
        </w:rPr>
        <w:t>Step 4.1</w:t>
      </w:r>
      <w:r w:rsidRPr="002B2A7F">
        <w:rPr>
          <w:rFonts w:asciiTheme="minorHAnsi" w:hAnsiTheme="minorHAnsi" w:cs="Calibri"/>
        </w:rPr>
        <w:tab/>
        <w:t>Total backlog need</w:t>
      </w:r>
    </w:p>
    <w:p w14:paraId="4814E556" w14:textId="77777777" w:rsidR="001F27D2" w:rsidRPr="002B2A7F" w:rsidRDefault="001F27D2" w:rsidP="007D2B69">
      <w:pPr>
        <w:pStyle w:val="Maintext"/>
        <w:numPr>
          <w:ilvl w:val="1"/>
          <w:numId w:val="34"/>
        </w:numPr>
        <w:spacing w:before="0"/>
        <w:rPr>
          <w:rFonts w:asciiTheme="minorHAnsi" w:hAnsiTheme="minorHAnsi" w:cs="Calibri"/>
        </w:rPr>
      </w:pPr>
      <w:r w:rsidRPr="002B2A7F">
        <w:rPr>
          <w:rFonts w:asciiTheme="minorHAnsi" w:hAnsiTheme="minorHAnsi" w:cs="Calibri"/>
        </w:rPr>
        <w:t>Step 4.1 is the total backlog need which is derived from the number of households in Step 1.1 minus total affordable housing stock available (Step 3.5). The total backlog need is 485.</w:t>
      </w:r>
    </w:p>
    <w:p w14:paraId="64AEF25A" w14:textId="77777777" w:rsidR="001F27D2" w:rsidRPr="002B2A7F" w:rsidRDefault="001F27D2" w:rsidP="001F27D2">
      <w:pPr>
        <w:pStyle w:val="Maintext"/>
        <w:numPr>
          <w:ilvl w:val="0"/>
          <w:numId w:val="0"/>
        </w:numPr>
        <w:ind w:left="709" w:hanging="709"/>
        <w:rPr>
          <w:rFonts w:asciiTheme="minorHAnsi" w:hAnsiTheme="minorHAnsi" w:cs="Calibri"/>
          <w:highlight w:val="red"/>
        </w:rPr>
      </w:pPr>
    </w:p>
    <w:p w14:paraId="269445EE" w14:textId="77777777" w:rsidR="001F27D2" w:rsidRPr="002B2A7F" w:rsidRDefault="001F27D2" w:rsidP="001F27D2">
      <w:pPr>
        <w:pStyle w:val="Heading3"/>
        <w:rPr>
          <w:rFonts w:asciiTheme="minorHAnsi" w:hAnsiTheme="minorHAnsi" w:cs="Calibri"/>
        </w:rPr>
      </w:pPr>
      <w:r w:rsidRPr="002B2A7F">
        <w:rPr>
          <w:rFonts w:asciiTheme="minorHAnsi" w:hAnsiTheme="minorHAnsi" w:cs="Calibri"/>
        </w:rPr>
        <w:lastRenderedPageBreak/>
        <w:t>Steps 4.2 to 4.6</w:t>
      </w:r>
    </w:p>
    <w:p w14:paraId="214B9022" w14:textId="075DBEE7" w:rsidR="001F27D2" w:rsidRPr="00BC010F" w:rsidRDefault="001F27D2" w:rsidP="007D2B69">
      <w:pPr>
        <w:pStyle w:val="Maintext"/>
        <w:numPr>
          <w:ilvl w:val="1"/>
          <w:numId w:val="34"/>
        </w:numPr>
        <w:spacing w:before="0"/>
        <w:rPr>
          <w:rFonts w:asciiTheme="minorHAnsi" w:hAnsiTheme="minorHAnsi" w:cs="Arial"/>
        </w:rPr>
      </w:pPr>
      <w:r w:rsidRPr="00BC010F">
        <w:rPr>
          <w:rFonts w:asciiTheme="minorHAnsi" w:hAnsiTheme="minorHAnsi" w:cs="Arial"/>
        </w:rPr>
        <w:t xml:space="preserve">Step 4.2 is a quota to reduce the total backlog need which is assumed to be 20% each year so that the backlog need is addressed over the </w:t>
      </w:r>
      <w:r w:rsidR="00A73212">
        <w:rPr>
          <w:rFonts w:asciiTheme="minorHAnsi" w:hAnsiTheme="minorHAnsi" w:cs="Arial"/>
        </w:rPr>
        <w:t>P</w:t>
      </w:r>
      <w:r w:rsidRPr="00BC010F">
        <w:rPr>
          <w:rFonts w:asciiTheme="minorHAnsi" w:hAnsiTheme="minorHAnsi" w:cs="Arial"/>
        </w:rPr>
        <w:t xml:space="preserve">lan </w:t>
      </w:r>
      <w:r w:rsidR="00A73212">
        <w:rPr>
          <w:rFonts w:asciiTheme="minorHAnsi" w:hAnsiTheme="minorHAnsi" w:cs="Arial"/>
        </w:rPr>
        <w:t>P</w:t>
      </w:r>
      <w:r w:rsidRPr="00BC010F">
        <w:rPr>
          <w:rFonts w:asciiTheme="minorHAnsi" w:hAnsiTheme="minorHAnsi" w:cs="Arial"/>
        </w:rPr>
        <w:t>eriod.</w:t>
      </w:r>
    </w:p>
    <w:p w14:paraId="6AE52591" w14:textId="77777777" w:rsidR="001F27D2" w:rsidRPr="00BC010F" w:rsidRDefault="001F27D2" w:rsidP="007D2B69">
      <w:pPr>
        <w:pStyle w:val="Maintext"/>
        <w:numPr>
          <w:ilvl w:val="1"/>
          <w:numId w:val="34"/>
        </w:numPr>
        <w:spacing w:before="0"/>
        <w:rPr>
          <w:rFonts w:asciiTheme="minorHAnsi" w:hAnsiTheme="minorHAnsi" w:cs="Arial"/>
        </w:rPr>
      </w:pPr>
      <w:r w:rsidRPr="00BC010F">
        <w:rPr>
          <w:rFonts w:asciiTheme="minorHAnsi" w:hAnsiTheme="minorHAnsi" w:cs="Arial"/>
        </w:rPr>
        <w:t xml:space="preserve">Step 4.3 is the annual backlog reduction based on Step 4.2 (97 each year). </w:t>
      </w:r>
    </w:p>
    <w:p w14:paraId="73DF14DF" w14:textId="77777777" w:rsidR="001F27D2" w:rsidRPr="00BC010F" w:rsidRDefault="001F27D2" w:rsidP="007D2B69">
      <w:pPr>
        <w:pStyle w:val="Maintext"/>
        <w:numPr>
          <w:ilvl w:val="1"/>
          <w:numId w:val="34"/>
        </w:numPr>
        <w:spacing w:before="0"/>
        <w:rPr>
          <w:rFonts w:asciiTheme="minorHAnsi" w:hAnsiTheme="minorHAnsi" w:cs="Arial"/>
        </w:rPr>
      </w:pPr>
      <w:r w:rsidRPr="00BC010F">
        <w:rPr>
          <w:rFonts w:asciiTheme="minorHAnsi" w:hAnsiTheme="minorHAnsi" w:cs="Arial"/>
        </w:rPr>
        <w:t>Step 4.4 is a summary of newly-arising need from both newly forming households and existing households falling into need (418 each year).</w:t>
      </w:r>
    </w:p>
    <w:p w14:paraId="5030B01D" w14:textId="77777777" w:rsidR="001F27D2" w:rsidRPr="00BC010F" w:rsidRDefault="001F27D2" w:rsidP="007D2B69">
      <w:pPr>
        <w:pStyle w:val="Maintext"/>
        <w:numPr>
          <w:ilvl w:val="1"/>
          <w:numId w:val="34"/>
        </w:numPr>
        <w:spacing w:before="0"/>
        <w:rPr>
          <w:rFonts w:asciiTheme="minorHAnsi" w:hAnsiTheme="minorHAnsi" w:cs="Arial"/>
        </w:rPr>
      </w:pPr>
      <w:r w:rsidRPr="00BC010F">
        <w:rPr>
          <w:rFonts w:asciiTheme="minorHAnsi" w:hAnsiTheme="minorHAnsi" w:cs="Arial"/>
        </w:rPr>
        <w:t>Step 4.5 is the total annual affordable need based on Steps 4.3 and 4.4 (515 each year).</w:t>
      </w:r>
    </w:p>
    <w:p w14:paraId="76E1212C" w14:textId="77777777" w:rsidR="001F27D2" w:rsidRPr="00BC010F" w:rsidRDefault="001F27D2" w:rsidP="007D2B69">
      <w:pPr>
        <w:pStyle w:val="Maintext"/>
        <w:numPr>
          <w:ilvl w:val="1"/>
          <w:numId w:val="34"/>
        </w:numPr>
        <w:spacing w:before="0"/>
        <w:rPr>
          <w:rFonts w:asciiTheme="minorHAnsi" w:hAnsiTheme="minorHAnsi" w:cs="Arial"/>
        </w:rPr>
      </w:pPr>
      <w:r w:rsidRPr="00BC010F">
        <w:rPr>
          <w:rFonts w:asciiTheme="minorHAnsi" w:hAnsiTheme="minorHAnsi" w:cs="Arial"/>
        </w:rPr>
        <w:t>Step 4.6 is the annual social rented/intermediate tenure capacity based on Step 3.8 (251 each year).</w:t>
      </w:r>
    </w:p>
    <w:p w14:paraId="35C2909E" w14:textId="77777777" w:rsidR="001F27D2" w:rsidRPr="002B2A7F" w:rsidRDefault="001F27D2" w:rsidP="001F27D2">
      <w:pPr>
        <w:pStyle w:val="Maintext"/>
        <w:numPr>
          <w:ilvl w:val="0"/>
          <w:numId w:val="0"/>
        </w:numPr>
        <w:rPr>
          <w:rFonts w:asciiTheme="minorHAnsi" w:hAnsiTheme="minorHAnsi" w:cs="Calibri"/>
          <w:highlight w:val="red"/>
        </w:rPr>
      </w:pPr>
    </w:p>
    <w:p w14:paraId="0432CC27" w14:textId="77777777" w:rsidR="001F27D2" w:rsidRPr="002B2A7F" w:rsidRDefault="001F27D2" w:rsidP="001F27D2">
      <w:pPr>
        <w:pStyle w:val="Heading2"/>
        <w:rPr>
          <w:rFonts w:asciiTheme="minorHAnsi" w:hAnsiTheme="minorHAnsi" w:cs="Calibri"/>
        </w:rPr>
      </w:pPr>
      <w:bookmarkStart w:id="868" w:name="_Toc517390824"/>
      <w:bookmarkStart w:id="869" w:name="_Toc391314111"/>
      <w:bookmarkStart w:id="870" w:name="_Toc529652030"/>
      <w:bookmarkStart w:id="871" w:name="_Toc529780807"/>
      <w:bookmarkStart w:id="872" w:name="_Toc531122926"/>
      <w:bookmarkStart w:id="873" w:name="_Toc532812456"/>
      <w:r w:rsidRPr="002B2A7F">
        <w:rPr>
          <w:rFonts w:asciiTheme="minorHAnsi" w:hAnsiTheme="minorHAnsi" w:cs="Calibri"/>
        </w:rPr>
        <w:t>Total net imbalance</w:t>
      </w:r>
      <w:bookmarkEnd w:id="868"/>
      <w:bookmarkEnd w:id="869"/>
      <w:bookmarkEnd w:id="870"/>
      <w:bookmarkEnd w:id="871"/>
      <w:bookmarkEnd w:id="872"/>
      <w:bookmarkEnd w:id="873"/>
    </w:p>
    <w:p w14:paraId="2BCEA3F9" w14:textId="32716B40" w:rsidR="001F27D2" w:rsidRPr="002B2A7F" w:rsidRDefault="001F27D2" w:rsidP="007D2B69">
      <w:pPr>
        <w:pStyle w:val="Maintext"/>
        <w:numPr>
          <w:ilvl w:val="1"/>
          <w:numId w:val="34"/>
        </w:numPr>
        <w:spacing w:before="0"/>
        <w:rPr>
          <w:rFonts w:asciiTheme="minorHAnsi" w:hAnsiTheme="minorHAnsi" w:cs="Calibri"/>
        </w:rPr>
      </w:pPr>
      <w:r w:rsidRPr="002B2A7F">
        <w:rPr>
          <w:rFonts w:asciiTheme="minorHAnsi" w:hAnsiTheme="minorHAnsi" w:cs="Calibri"/>
        </w:rPr>
        <w:t xml:space="preserve">Table C7 summarises the overall annual net affordable housing requirements for the Eden District </w:t>
      </w:r>
      <w:r w:rsidRPr="00BC010F">
        <w:rPr>
          <w:rFonts w:asciiTheme="minorHAnsi" w:hAnsiTheme="minorHAnsi" w:cs="Arial"/>
        </w:rPr>
        <w:t>by</w:t>
      </w:r>
      <w:r w:rsidRPr="002B2A7F">
        <w:rPr>
          <w:rFonts w:asciiTheme="minorHAnsi" w:hAnsiTheme="minorHAnsi" w:cs="Calibri"/>
        </w:rPr>
        <w:t xml:space="preserve"> housing market area; designation (general needs and older person) and property size.</w:t>
      </w:r>
    </w:p>
    <w:p w14:paraId="31755CF4" w14:textId="2AFE93A7" w:rsidR="000C2C5C" w:rsidRDefault="000C2C5C">
      <w:pPr>
        <w:spacing w:before="0" w:after="0"/>
        <w:jc w:val="left"/>
        <w:rPr>
          <w:rFonts w:asciiTheme="minorHAnsi" w:hAnsiTheme="minorHAnsi" w:cs="Calibri"/>
        </w:rPr>
      </w:pP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1190"/>
        <w:gridCol w:w="909"/>
        <w:gridCol w:w="1021"/>
        <w:gridCol w:w="945"/>
        <w:gridCol w:w="1021"/>
        <w:gridCol w:w="1040"/>
        <w:gridCol w:w="945"/>
        <w:gridCol w:w="1025"/>
        <w:gridCol w:w="1084"/>
      </w:tblGrid>
      <w:tr w:rsidR="001F27D2" w:rsidRPr="000C2C5C" w14:paraId="03D55667" w14:textId="77777777" w:rsidTr="000C2C5C">
        <w:trPr>
          <w:trHeight w:val="320"/>
        </w:trPr>
        <w:tc>
          <w:tcPr>
            <w:tcW w:w="5000" w:type="pct"/>
            <w:gridSpan w:val="9"/>
            <w:shd w:val="clear" w:color="000000" w:fill="009193"/>
            <w:noWrap/>
            <w:vAlign w:val="bottom"/>
          </w:tcPr>
          <w:p w14:paraId="6B930FE3" w14:textId="77777777" w:rsidR="001F27D2" w:rsidRPr="004927C2" w:rsidRDefault="001F27D2" w:rsidP="004927C2">
            <w:pPr>
              <w:pStyle w:val="Tableheading1"/>
            </w:pPr>
            <w:bookmarkStart w:id="874" w:name="_Toc531122989"/>
            <w:bookmarkStart w:id="875" w:name="_Toc532812521"/>
            <w:r w:rsidRPr="000C2C5C">
              <w:t>Table C7</w:t>
            </w:r>
            <w:r w:rsidRPr="000C2C5C">
              <w:tab/>
              <w:t>Net annual affordable housing imbalance by housing market area, property size and designation 2018/19 to 2022/23</w:t>
            </w:r>
            <w:bookmarkEnd w:id="874"/>
            <w:bookmarkEnd w:id="875"/>
          </w:p>
        </w:tc>
      </w:tr>
      <w:tr w:rsidR="000C2C5C" w:rsidRPr="000C2C5C" w14:paraId="7BF796AB" w14:textId="77777777" w:rsidTr="000C2C5C">
        <w:trPr>
          <w:trHeight w:val="320"/>
        </w:trPr>
        <w:tc>
          <w:tcPr>
            <w:tcW w:w="652" w:type="pct"/>
            <w:vMerge w:val="restart"/>
            <w:shd w:val="clear" w:color="000000" w:fill="009193"/>
            <w:noWrap/>
            <w:tcMar>
              <w:right w:w="0" w:type="dxa"/>
            </w:tcMar>
            <w:vAlign w:val="bottom"/>
            <w:hideMark/>
          </w:tcPr>
          <w:p w14:paraId="2A60664A" w14:textId="72077955" w:rsidR="000C2C5C" w:rsidRPr="000C2C5C" w:rsidRDefault="000C2C5C" w:rsidP="000C2C5C">
            <w:pPr>
              <w:spacing w:before="0" w:after="0"/>
              <w:rPr>
                <w:rFonts w:cs="Calibri"/>
                <w:b/>
                <w:bCs/>
                <w:color w:val="FFFFFF"/>
                <w:sz w:val="22"/>
                <w:szCs w:val="22"/>
              </w:rPr>
            </w:pPr>
            <w:r w:rsidRPr="000C2C5C">
              <w:rPr>
                <w:rFonts w:cs="Calibri"/>
                <w:b/>
                <w:bCs/>
                <w:color w:val="FFFFFF"/>
                <w:sz w:val="22"/>
                <w:szCs w:val="22"/>
              </w:rPr>
              <w:t>Age Group </w:t>
            </w:r>
          </w:p>
        </w:tc>
        <w:tc>
          <w:tcPr>
            <w:tcW w:w="508" w:type="pct"/>
            <w:vMerge w:val="restart"/>
            <w:shd w:val="clear" w:color="000000" w:fill="009193"/>
            <w:noWrap/>
            <w:tcMar>
              <w:right w:w="0" w:type="dxa"/>
            </w:tcMar>
            <w:vAlign w:val="bottom"/>
            <w:hideMark/>
          </w:tcPr>
          <w:p w14:paraId="4F40F98D" w14:textId="23C6A74B" w:rsidR="000C2C5C" w:rsidRPr="000C2C5C" w:rsidRDefault="000C2C5C" w:rsidP="000C2C5C">
            <w:pPr>
              <w:spacing w:before="0" w:after="0"/>
              <w:rPr>
                <w:rFonts w:cs="Calibri"/>
                <w:b/>
                <w:bCs/>
                <w:color w:val="FFFFFF"/>
                <w:sz w:val="22"/>
                <w:szCs w:val="22"/>
              </w:rPr>
            </w:pPr>
            <w:r w:rsidRPr="000C2C5C">
              <w:rPr>
                <w:rFonts w:cs="Calibri"/>
                <w:b/>
                <w:bCs/>
                <w:color w:val="FFFFFF"/>
                <w:sz w:val="22"/>
                <w:szCs w:val="22"/>
              </w:rPr>
              <w:t>No. Beds </w:t>
            </w:r>
          </w:p>
        </w:tc>
        <w:tc>
          <w:tcPr>
            <w:tcW w:w="3248" w:type="pct"/>
            <w:gridSpan w:val="6"/>
            <w:shd w:val="clear" w:color="000000" w:fill="009193"/>
            <w:vAlign w:val="bottom"/>
            <w:hideMark/>
          </w:tcPr>
          <w:p w14:paraId="27BA374F" w14:textId="77777777" w:rsidR="000C2C5C" w:rsidRPr="000C2C5C" w:rsidRDefault="000C2C5C" w:rsidP="000C2C5C">
            <w:pPr>
              <w:spacing w:before="0" w:after="0"/>
              <w:rPr>
                <w:rFonts w:cs="Calibri"/>
                <w:b/>
                <w:bCs/>
                <w:color w:val="FFFFFF"/>
                <w:sz w:val="22"/>
                <w:szCs w:val="22"/>
              </w:rPr>
            </w:pPr>
            <w:r w:rsidRPr="000C2C5C">
              <w:rPr>
                <w:rFonts w:cs="Calibri"/>
                <w:b/>
                <w:bCs/>
                <w:color w:val="FFFFFF"/>
                <w:sz w:val="22"/>
                <w:szCs w:val="22"/>
              </w:rPr>
              <w:t>Housing Market Area</w:t>
            </w:r>
          </w:p>
        </w:tc>
        <w:tc>
          <w:tcPr>
            <w:tcW w:w="593" w:type="pct"/>
            <w:vMerge w:val="restart"/>
            <w:shd w:val="clear" w:color="000000" w:fill="009193"/>
            <w:vAlign w:val="bottom"/>
          </w:tcPr>
          <w:p w14:paraId="0AB279CE" w14:textId="10519FDB" w:rsidR="000C2C5C" w:rsidRPr="000C2C5C" w:rsidRDefault="000C2C5C" w:rsidP="000C2C5C">
            <w:pPr>
              <w:spacing w:before="0" w:after="0"/>
              <w:jc w:val="center"/>
              <w:rPr>
                <w:rFonts w:cs="Calibri"/>
                <w:b/>
                <w:bCs/>
                <w:color w:val="FFFFFF"/>
                <w:sz w:val="22"/>
                <w:szCs w:val="22"/>
              </w:rPr>
            </w:pPr>
            <w:r w:rsidRPr="000C2C5C">
              <w:rPr>
                <w:rFonts w:cs="Calibri"/>
                <w:b/>
                <w:bCs/>
                <w:color w:val="FFFFFF"/>
                <w:sz w:val="22"/>
                <w:szCs w:val="22"/>
              </w:rPr>
              <w:t>Total</w:t>
            </w:r>
          </w:p>
        </w:tc>
      </w:tr>
      <w:tr w:rsidR="000C2C5C" w:rsidRPr="000C2C5C" w14:paraId="2E95E6B5" w14:textId="77777777" w:rsidTr="000C2C5C">
        <w:trPr>
          <w:trHeight w:val="1020"/>
        </w:trPr>
        <w:tc>
          <w:tcPr>
            <w:tcW w:w="652" w:type="pct"/>
            <w:vMerge/>
            <w:shd w:val="clear" w:color="000000" w:fill="009193"/>
            <w:noWrap/>
            <w:tcMar>
              <w:right w:w="0" w:type="dxa"/>
            </w:tcMar>
            <w:vAlign w:val="bottom"/>
            <w:hideMark/>
          </w:tcPr>
          <w:p w14:paraId="645C1F38" w14:textId="3E229558" w:rsidR="000C2C5C" w:rsidRPr="000C2C5C" w:rsidRDefault="000C2C5C" w:rsidP="000C2C5C">
            <w:pPr>
              <w:spacing w:before="0" w:after="0"/>
              <w:rPr>
                <w:rFonts w:cs="Calibri"/>
                <w:b/>
                <w:bCs/>
                <w:color w:val="FFFFFF"/>
                <w:sz w:val="22"/>
                <w:szCs w:val="22"/>
              </w:rPr>
            </w:pPr>
          </w:p>
        </w:tc>
        <w:tc>
          <w:tcPr>
            <w:tcW w:w="508" w:type="pct"/>
            <w:vMerge/>
            <w:shd w:val="clear" w:color="000000" w:fill="009193"/>
            <w:noWrap/>
            <w:tcMar>
              <w:right w:w="0" w:type="dxa"/>
            </w:tcMar>
            <w:vAlign w:val="bottom"/>
            <w:hideMark/>
          </w:tcPr>
          <w:p w14:paraId="3D26A659" w14:textId="6BA7676E" w:rsidR="000C2C5C" w:rsidRPr="000C2C5C" w:rsidRDefault="000C2C5C" w:rsidP="000C2C5C">
            <w:pPr>
              <w:spacing w:before="0" w:after="0"/>
              <w:rPr>
                <w:rFonts w:cs="Calibri"/>
                <w:b/>
                <w:bCs/>
                <w:color w:val="FFFFFF"/>
                <w:sz w:val="22"/>
                <w:szCs w:val="22"/>
              </w:rPr>
            </w:pPr>
          </w:p>
        </w:tc>
        <w:tc>
          <w:tcPr>
            <w:tcW w:w="554" w:type="pct"/>
            <w:shd w:val="clear" w:color="000000" w:fill="009193"/>
            <w:vAlign w:val="bottom"/>
            <w:hideMark/>
          </w:tcPr>
          <w:p w14:paraId="0EC8799B" w14:textId="77777777" w:rsidR="000C2C5C" w:rsidRPr="000C2C5C" w:rsidRDefault="000C2C5C" w:rsidP="000C2C5C">
            <w:pPr>
              <w:spacing w:before="0" w:after="0"/>
              <w:jc w:val="center"/>
              <w:rPr>
                <w:rFonts w:cs="Calibri"/>
                <w:bCs/>
                <w:color w:val="FFFFFF"/>
                <w:sz w:val="22"/>
                <w:szCs w:val="22"/>
              </w:rPr>
            </w:pPr>
            <w:r w:rsidRPr="000C2C5C">
              <w:rPr>
                <w:rFonts w:cs="Calibri"/>
                <w:bCs/>
                <w:color w:val="FFFFFF"/>
                <w:sz w:val="22"/>
                <w:szCs w:val="22"/>
              </w:rPr>
              <w:t>HMA1A Penrith Urban</w:t>
            </w:r>
          </w:p>
        </w:tc>
        <w:tc>
          <w:tcPr>
            <w:tcW w:w="510" w:type="pct"/>
            <w:shd w:val="clear" w:color="000000" w:fill="009193"/>
            <w:vAlign w:val="bottom"/>
            <w:hideMark/>
          </w:tcPr>
          <w:p w14:paraId="3BEDD78C" w14:textId="77777777" w:rsidR="000C2C5C" w:rsidRPr="000C2C5C" w:rsidRDefault="000C2C5C" w:rsidP="000C2C5C">
            <w:pPr>
              <w:spacing w:before="0" w:after="0"/>
              <w:jc w:val="center"/>
              <w:rPr>
                <w:rFonts w:cs="Calibri"/>
                <w:bCs/>
                <w:color w:val="FFFFFF"/>
                <w:sz w:val="22"/>
                <w:szCs w:val="22"/>
              </w:rPr>
            </w:pPr>
            <w:r w:rsidRPr="000C2C5C">
              <w:rPr>
                <w:rFonts w:cs="Calibri"/>
                <w:bCs/>
                <w:color w:val="FFFFFF"/>
                <w:sz w:val="22"/>
                <w:szCs w:val="22"/>
              </w:rPr>
              <w:t>HMA1B Penrith Rural</w:t>
            </w:r>
          </w:p>
        </w:tc>
        <w:tc>
          <w:tcPr>
            <w:tcW w:w="554" w:type="pct"/>
            <w:shd w:val="clear" w:color="000000" w:fill="009193"/>
            <w:vAlign w:val="bottom"/>
            <w:hideMark/>
          </w:tcPr>
          <w:p w14:paraId="2E72DE17" w14:textId="77777777" w:rsidR="000C2C5C" w:rsidRPr="000C2C5C" w:rsidRDefault="000C2C5C" w:rsidP="000C2C5C">
            <w:pPr>
              <w:spacing w:before="0" w:after="0"/>
              <w:jc w:val="center"/>
              <w:rPr>
                <w:rFonts w:cs="Calibri"/>
                <w:bCs/>
                <w:color w:val="FFFFFF"/>
                <w:sz w:val="22"/>
                <w:szCs w:val="22"/>
              </w:rPr>
            </w:pPr>
            <w:r w:rsidRPr="000C2C5C">
              <w:rPr>
                <w:rFonts w:cs="Calibri"/>
                <w:bCs/>
                <w:color w:val="FFFFFF"/>
                <w:sz w:val="22"/>
                <w:szCs w:val="22"/>
              </w:rPr>
              <w:t>HMA2 Appleby</w:t>
            </w:r>
          </w:p>
        </w:tc>
        <w:tc>
          <w:tcPr>
            <w:tcW w:w="565" w:type="pct"/>
            <w:shd w:val="clear" w:color="000000" w:fill="009193"/>
            <w:vAlign w:val="bottom"/>
            <w:hideMark/>
          </w:tcPr>
          <w:p w14:paraId="07BEF618" w14:textId="77777777" w:rsidR="000C2C5C" w:rsidRPr="000C2C5C" w:rsidRDefault="000C2C5C" w:rsidP="000C2C5C">
            <w:pPr>
              <w:spacing w:before="0" w:after="0"/>
              <w:jc w:val="center"/>
              <w:rPr>
                <w:rFonts w:cs="Calibri"/>
                <w:bCs/>
                <w:color w:val="FFFFFF"/>
                <w:sz w:val="22"/>
                <w:szCs w:val="22"/>
              </w:rPr>
            </w:pPr>
            <w:r w:rsidRPr="000C2C5C">
              <w:rPr>
                <w:rFonts w:cs="Calibri"/>
                <w:bCs/>
                <w:color w:val="FFFFFF"/>
                <w:sz w:val="22"/>
                <w:szCs w:val="22"/>
              </w:rPr>
              <w:t>HMA3 Kirkby Stephen</w:t>
            </w:r>
          </w:p>
        </w:tc>
        <w:tc>
          <w:tcPr>
            <w:tcW w:w="510" w:type="pct"/>
            <w:shd w:val="clear" w:color="000000" w:fill="009193"/>
            <w:vAlign w:val="bottom"/>
            <w:hideMark/>
          </w:tcPr>
          <w:p w14:paraId="43F3B31C" w14:textId="77777777" w:rsidR="000C2C5C" w:rsidRPr="000C2C5C" w:rsidRDefault="000C2C5C" w:rsidP="000C2C5C">
            <w:pPr>
              <w:spacing w:before="0" w:after="0"/>
              <w:jc w:val="center"/>
              <w:rPr>
                <w:rFonts w:cs="Calibri"/>
                <w:bCs/>
                <w:color w:val="FFFFFF"/>
                <w:sz w:val="22"/>
                <w:szCs w:val="22"/>
              </w:rPr>
            </w:pPr>
            <w:r w:rsidRPr="000C2C5C">
              <w:rPr>
                <w:rFonts w:cs="Calibri"/>
                <w:bCs/>
                <w:color w:val="FFFFFF"/>
                <w:sz w:val="22"/>
                <w:szCs w:val="22"/>
              </w:rPr>
              <w:t>HMA4 Alston</w:t>
            </w:r>
          </w:p>
        </w:tc>
        <w:tc>
          <w:tcPr>
            <w:tcW w:w="556" w:type="pct"/>
            <w:shd w:val="clear" w:color="000000" w:fill="009193"/>
            <w:vAlign w:val="bottom"/>
            <w:hideMark/>
          </w:tcPr>
          <w:p w14:paraId="772B2271" w14:textId="77777777" w:rsidR="000C2C5C" w:rsidRPr="000C2C5C" w:rsidRDefault="000C2C5C" w:rsidP="000C2C5C">
            <w:pPr>
              <w:spacing w:before="0" w:after="0"/>
              <w:jc w:val="center"/>
              <w:rPr>
                <w:rFonts w:cs="Calibri"/>
                <w:bCs/>
                <w:color w:val="FFFFFF"/>
                <w:sz w:val="22"/>
                <w:szCs w:val="22"/>
              </w:rPr>
            </w:pPr>
            <w:r w:rsidRPr="000C2C5C">
              <w:rPr>
                <w:rFonts w:cs="Calibri"/>
                <w:bCs/>
                <w:color w:val="FFFFFF"/>
                <w:sz w:val="22"/>
                <w:szCs w:val="22"/>
              </w:rPr>
              <w:t>HMA5 West of M6</w:t>
            </w:r>
          </w:p>
        </w:tc>
        <w:tc>
          <w:tcPr>
            <w:tcW w:w="593" w:type="pct"/>
            <w:vMerge/>
            <w:shd w:val="clear" w:color="000000" w:fill="009193"/>
            <w:vAlign w:val="bottom"/>
            <w:hideMark/>
          </w:tcPr>
          <w:p w14:paraId="4CD5511F" w14:textId="46B10675" w:rsidR="000C2C5C" w:rsidRPr="000C2C5C" w:rsidRDefault="000C2C5C" w:rsidP="000C2C5C">
            <w:pPr>
              <w:spacing w:before="0" w:after="0"/>
              <w:jc w:val="center"/>
              <w:rPr>
                <w:rFonts w:cs="Calibri"/>
                <w:b/>
                <w:bCs/>
                <w:color w:val="FFFFFF"/>
                <w:sz w:val="22"/>
                <w:szCs w:val="22"/>
              </w:rPr>
            </w:pPr>
          </w:p>
        </w:tc>
      </w:tr>
      <w:tr w:rsidR="000C2C5C" w:rsidRPr="000C2C5C" w14:paraId="063CC710" w14:textId="77777777" w:rsidTr="000C2C5C">
        <w:trPr>
          <w:trHeight w:val="320"/>
        </w:trPr>
        <w:tc>
          <w:tcPr>
            <w:tcW w:w="652" w:type="pct"/>
            <w:vMerge w:val="restart"/>
            <w:shd w:val="clear" w:color="auto" w:fill="auto"/>
            <w:noWrap/>
            <w:tcMar>
              <w:right w:w="0" w:type="dxa"/>
            </w:tcMar>
            <w:vAlign w:val="center"/>
            <w:hideMark/>
          </w:tcPr>
          <w:p w14:paraId="47C07C6E" w14:textId="754EB304" w:rsidR="000C2C5C" w:rsidRPr="000C2C5C" w:rsidRDefault="000C2C5C" w:rsidP="000C2C5C">
            <w:pPr>
              <w:spacing w:before="0" w:after="0"/>
              <w:jc w:val="left"/>
              <w:rPr>
                <w:rFonts w:cs="Calibri"/>
                <w:color w:val="000000"/>
                <w:sz w:val="22"/>
                <w:szCs w:val="22"/>
              </w:rPr>
            </w:pPr>
            <w:r w:rsidRPr="000C2C5C">
              <w:rPr>
                <w:rFonts w:cs="Calibri"/>
                <w:color w:val="000000"/>
                <w:sz w:val="22"/>
                <w:szCs w:val="22"/>
              </w:rPr>
              <w:t>Under 65</w:t>
            </w:r>
          </w:p>
        </w:tc>
        <w:tc>
          <w:tcPr>
            <w:tcW w:w="508" w:type="pct"/>
            <w:shd w:val="clear" w:color="auto" w:fill="auto"/>
            <w:noWrap/>
            <w:tcMar>
              <w:right w:w="0" w:type="dxa"/>
            </w:tcMar>
            <w:vAlign w:val="bottom"/>
            <w:hideMark/>
          </w:tcPr>
          <w:p w14:paraId="3E725729" w14:textId="77777777" w:rsidR="000C2C5C" w:rsidRPr="000C2C5C" w:rsidRDefault="000C2C5C" w:rsidP="000C2C5C">
            <w:pPr>
              <w:spacing w:before="0" w:after="0"/>
              <w:rPr>
                <w:rFonts w:cs="Calibri"/>
                <w:color w:val="000000"/>
                <w:sz w:val="22"/>
                <w:szCs w:val="22"/>
              </w:rPr>
            </w:pPr>
            <w:r w:rsidRPr="000C2C5C">
              <w:rPr>
                <w:rFonts w:cs="Calibri"/>
                <w:color w:val="000000"/>
                <w:sz w:val="22"/>
                <w:szCs w:val="22"/>
              </w:rPr>
              <w:t>One</w:t>
            </w:r>
          </w:p>
        </w:tc>
        <w:tc>
          <w:tcPr>
            <w:tcW w:w="554" w:type="pct"/>
            <w:shd w:val="clear" w:color="auto" w:fill="auto"/>
            <w:noWrap/>
            <w:vAlign w:val="center"/>
            <w:hideMark/>
          </w:tcPr>
          <w:p w14:paraId="43869982"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3</w:t>
            </w:r>
          </w:p>
        </w:tc>
        <w:tc>
          <w:tcPr>
            <w:tcW w:w="510" w:type="pct"/>
            <w:shd w:val="clear" w:color="auto" w:fill="auto"/>
            <w:noWrap/>
            <w:vAlign w:val="center"/>
            <w:hideMark/>
          </w:tcPr>
          <w:p w14:paraId="1DBBF35C"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12</w:t>
            </w:r>
          </w:p>
        </w:tc>
        <w:tc>
          <w:tcPr>
            <w:tcW w:w="554" w:type="pct"/>
            <w:shd w:val="clear" w:color="auto" w:fill="auto"/>
            <w:noWrap/>
            <w:vAlign w:val="center"/>
            <w:hideMark/>
          </w:tcPr>
          <w:p w14:paraId="4E73CFD0"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11</w:t>
            </w:r>
          </w:p>
        </w:tc>
        <w:tc>
          <w:tcPr>
            <w:tcW w:w="565" w:type="pct"/>
            <w:shd w:val="clear" w:color="auto" w:fill="auto"/>
            <w:noWrap/>
            <w:vAlign w:val="center"/>
            <w:hideMark/>
          </w:tcPr>
          <w:p w14:paraId="4BF82BAA"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4</w:t>
            </w:r>
          </w:p>
        </w:tc>
        <w:tc>
          <w:tcPr>
            <w:tcW w:w="510" w:type="pct"/>
            <w:shd w:val="clear" w:color="auto" w:fill="auto"/>
            <w:noWrap/>
            <w:vAlign w:val="center"/>
            <w:hideMark/>
          </w:tcPr>
          <w:p w14:paraId="0AAFEF14"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3</w:t>
            </w:r>
          </w:p>
        </w:tc>
        <w:tc>
          <w:tcPr>
            <w:tcW w:w="556" w:type="pct"/>
            <w:shd w:val="clear" w:color="auto" w:fill="auto"/>
            <w:noWrap/>
            <w:vAlign w:val="center"/>
            <w:hideMark/>
          </w:tcPr>
          <w:p w14:paraId="1A738F56"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3</w:t>
            </w:r>
          </w:p>
        </w:tc>
        <w:tc>
          <w:tcPr>
            <w:tcW w:w="593" w:type="pct"/>
            <w:shd w:val="clear" w:color="auto" w:fill="auto"/>
            <w:noWrap/>
            <w:vAlign w:val="center"/>
            <w:hideMark/>
          </w:tcPr>
          <w:p w14:paraId="5E4E8B24"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36</w:t>
            </w:r>
          </w:p>
        </w:tc>
      </w:tr>
      <w:tr w:rsidR="000C2C5C" w:rsidRPr="000C2C5C" w14:paraId="6AEEB4FC" w14:textId="77777777" w:rsidTr="000C2C5C">
        <w:trPr>
          <w:trHeight w:val="320"/>
        </w:trPr>
        <w:tc>
          <w:tcPr>
            <w:tcW w:w="652" w:type="pct"/>
            <w:vMerge/>
            <w:shd w:val="clear" w:color="auto" w:fill="auto"/>
            <w:noWrap/>
            <w:tcMar>
              <w:right w:w="0" w:type="dxa"/>
            </w:tcMar>
            <w:vAlign w:val="center"/>
            <w:hideMark/>
          </w:tcPr>
          <w:p w14:paraId="64AD6243" w14:textId="2FBA1AA6" w:rsidR="000C2C5C" w:rsidRPr="000C2C5C" w:rsidRDefault="000C2C5C" w:rsidP="000C2C5C">
            <w:pPr>
              <w:spacing w:before="0" w:after="0"/>
              <w:jc w:val="left"/>
              <w:rPr>
                <w:rFonts w:cs="Calibri"/>
                <w:color w:val="000000"/>
                <w:sz w:val="22"/>
                <w:szCs w:val="22"/>
              </w:rPr>
            </w:pPr>
          </w:p>
        </w:tc>
        <w:tc>
          <w:tcPr>
            <w:tcW w:w="508" w:type="pct"/>
            <w:shd w:val="clear" w:color="auto" w:fill="auto"/>
            <w:noWrap/>
            <w:tcMar>
              <w:right w:w="0" w:type="dxa"/>
            </w:tcMar>
            <w:vAlign w:val="bottom"/>
            <w:hideMark/>
          </w:tcPr>
          <w:p w14:paraId="6A9FA00B" w14:textId="77777777" w:rsidR="000C2C5C" w:rsidRPr="000C2C5C" w:rsidRDefault="000C2C5C" w:rsidP="000C2C5C">
            <w:pPr>
              <w:spacing w:before="0" w:after="0"/>
              <w:rPr>
                <w:rFonts w:cs="Calibri"/>
                <w:color w:val="000000"/>
                <w:sz w:val="22"/>
                <w:szCs w:val="22"/>
              </w:rPr>
            </w:pPr>
            <w:r w:rsidRPr="000C2C5C">
              <w:rPr>
                <w:rFonts w:cs="Calibri"/>
                <w:color w:val="000000"/>
                <w:sz w:val="22"/>
                <w:szCs w:val="22"/>
              </w:rPr>
              <w:t>Two</w:t>
            </w:r>
          </w:p>
        </w:tc>
        <w:tc>
          <w:tcPr>
            <w:tcW w:w="554" w:type="pct"/>
            <w:shd w:val="clear" w:color="auto" w:fill="auto"/>
            <w:noWrap/>
            <w:vAlign w:val="center"/>
            <w:hideMark/>
          </w:tcPr>
          <w:p w14:paraId="08CBC1EE"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10</w:t>
            </w:r>
          </w:p>
        </w:tc>
        <w:tc>
          <w:tcPr>
            <w:tcW w:w="510" w:type="pct"/>
            <w:shd w:val="clear" w:color="auto" w:fill="auto"/>
            <w:noWrap/>
            <w:vAlign w:val="center"/>
            <w:hideMark/>
          </w:tcPr>
          <w:p w14:paraId="0BDB8B93"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59</w:t>
            </w:r>
          </w:p>
        </w:tc>
        <w:tc>
          <w:tcPr>
            <w:tcW w:w="554" w:type="pct"/>
            <w:shd w:val="clear" w:color="auto" w:fill="auto"/>
            <w:noWrap/>
            <w:vAlign w:val="center"/>
            <w:hideMark/>
          </w:tcPr>
          <w:p w14:paraId="00863E27"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39</w:t>
            </w:r>
          </w:p>
        </w:tc>
        <w:tc>
          <w:tcPr>
            <w:tcW w:w="565" w:type="pct"/>
            <w:shd w:val="clear" w:color="auto" w:fill="auto"/>
            <w:noWrap/>
            <w:vAlign w:val="center"/>
            <w:hideMark/>
          </w:tcPr>
          <w:p w14:paraId="390B170A"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13</w:t>
            </w:r>
          </w:p>
        </w:tc>
        <w:tc>
          <w:tcPr>
            <w:tcW w:w="510" w:type="pct"/>
            <w:shd w:val="clear" w:color="auto" w:fill="auto"/>
            <w:noWrap/>
            <w:vAlign w:val="center"/>
            <w:hideMark/>
          </w:tcPr>
          <w:p w14:paraId="797FAF4D"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14</w:t>
            </w:r>
          </w:p>
        </w:tc>
        <w:tc>
          <w:tcPr>
            <w:tcW w:w="556" w:type="pct"/>
            <w:shd w:val="clear" w:color="auto" w:fill="auto"/>
            <w:noWrap/>
            <w:vAlign w:val="center"/>
            <w:hideMark/>
          </w:tcPr>
          <w:p w14:paraId="32750C04"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10</w:t>
            </w:r>
          </w:p>
        </w:tc>
        <w:tc>
          <w:tcPr>
            <w:tcW w:w="593" w:type="pct"/>
            <w:shd w:val="clear" w:color="auto" w:fill="auto"/>
            <w:noWrap/>
            <w:vAlign w:val="center"/>
            <w:hideMark/>
          </w:tcPr>
          <w:p w14:paraId="4F5AD6C9"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149</w:t>
            </w:r>
          </w:p>
        </w:tc>
      </w:tr>
      <w:tr w:rsidR="000C2C5C" w:rsidRPr="000C2C5C" w14:paraId="6B1853B7" w14:textId="77777777" w:rsidTr="000C2C5C">
        <w:trPr>
          <w:trHeight w:val="320"/>
        </w:trPr>
        <w:tc>
          <w:tcPr>
            <w:tcW w:w="652" w:type="pct"/>
            <w:vMerge/>
            <w:shd w:val="clear" w:color="auto" w:fill="auto"/>
            <w:noWrap/>
            <w:tcMar>
              <w:right w:w="0" w:type="dxa"/>
            </w:tcMar>
            <w:vAlign w:val="center"/>
            <w:hideMark/>
          </w:tcPr>
          <w:p w14:paraId="62A20AD3" w14:textId="02B5355E" w:rsidR="000C2C5C" w:rsidRPr="000C2C5C" w:rsidRDefault="000C2C5C" w:rsidP="000C2C5C">
            <w:pPr>
              <w:spacing w:before="0" w:after="0"/>
              <w:jc w:val="left"/>
              <w:rPr>
                <w:rFonts w:cs="Calibri"/>
                <w:color w:val="000000"/>
                <w:sz w:val="22"/>
                <w:szCs w:val="22"/>
              </w:rPr>
            </w:pPr>
          </w:p>
        </w:tc>
        <w:tc>
          <w:tcPr>
            <w:tcW w:w="508" w:type="pct"/>
            <w:shd w:val="clear" w:color="auto" w:fill="auto"/>
            <w:noWrap/>
            <w:tcMar>
              <w:right w:w="0" w:type="dxa"/>
            </w:tcMar>
            <w:vAlign w:val="bottom"/>
            <w:hideMark/>
          </w:tcPr>
          <w:p w14:paraId="7D86346A" w14:textId="77777777" w:rsidR="000C2C5C" w:rsidRPr="000C2C5C" w:rsidRDefault="000C2C5C" w:rsidP="000C2C5C">
            <w:pPr>
              <w:spacing w:before="0" w:after="0"/>
              <w:rPr>
                <w:rFonts w:cs="Calibri"/>
                <w:color w:val="000000"/>
                <w:sz w:val="22"/>
                <w:szCs w:val="22"/>
              </w:rPr>
            </w:pPr>
            <w:r w:rsidRPr="000C2C5C">
              <w:rPr>
                <w:rFonts w:cs="Calibri"/>
                <w:color w:val="000000"/>
                <w:sz w:val="22"/>
                <w:szCs w:val="22"/>
              </w:rPr>
              <w:t>Three</w:t>
            </w:r>
          </w:p>
        </w:tc>
        <w:tc>
          <w:tcPr>
            <w:tcW w:w="554" w:type="pct"/>
            <w:shd w:val="clear" w:color="auto" w:fill="auto"/>
            <w:noWrap/>
            <w:vAlign w:val="center"/>
            <w:hideMark/>
          </w:tcPr>
          <w:p w14:paraId="2095B8B3"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3</w:t>
            </w:r>
          </w:p>
        </w:tc>
        <w:tc>
          <w:tcPr>
            <w:tcW w:w="510" w:type="pct"/>
            <w:shd w:val="clear" w:color="auto" w:fill="auto"/>
            <w:noWrap/>
            <w:vAlign w:val="center"/>
            <w:hideMark/>
          </w:tcPr>
          <w:p w14:paraId="2ADB7DF9"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29</w:t>
            </w:r>
          </w:p>
        </w:tc>
        <w:tc>
          <w:tcPr>
            <w:tcW w:w="554" w:type="pct"/>
            <w:shd w:val="clear" w:color="auto" w:fill="auto"/>
            <w:noWrap/>
            <w:vAlign w:val="center"/>
            <w:hideMark/>
          </w:tcPr>
          <w:p w14:paraId="417C9638"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13</w:t>
            </w:r>
          </w:p>
        </w:tc>
        <w:tc>
          <w:tcPr>
            <w:tcW w:w="565" w:type="pct"/>
            <w:shd w:val="clear" w:color="auto" w:fill="auto"/>
            <w:noWrap/>
            <w:vAlign w:val="center"/>
            <w:hideMark/>
          </w:tcPr>
          <w:p w14:paraId="639BB73C"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5</w:t>
            </w:r>
          </w:p>
        </w:tc>
        <w:tc>
          <w:tcPr>
            <w:tcW w:w="510" w:type="pct"/>
            <w:shd w:val="clear" w:color="auto" w:fill="auto"/>
            <w:noWrap/>
            <w:vAlign w:val="center"/>
            <w:hideMark/>
          </w:tcPr>
          <w:p w14:paraId="67D17148"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6</w:t>
            </w:r>
          </w:p>
        </w:tc>
        <w:tc>
          <w:tcPr>
            <w:tcW w:w="556" w:type="pct"/>
            <w:shd w:val="clear" w:color="auto" w:fill="auto"/>
            <w:noWrap/>
            <w:vAlign w:val="center"/>
            <w:hideMark/>
          </w:tcPr>
          <w:p w14:paraId="68F3B3FD"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3</w:t>
            </w:r>
          </w:p>
        </w:tc>
        <w:tc>
          <w:tcPr>
            <w:tcW w:w="593" w:type="pct"/>
            <w:shd w:val="clear" w:color="auto" w:fill="auto"/>
            <w:noWrap/>
            <w:vAlign w:val="center"/>
            <w:hideMark/>
          </w:tcPr>
          <w:p w14:paraId="684CF322"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54</w:t>
            </w:r>
          </w:p>
        </w:tc>
      </w:tr>
      <w:tr w:rsidR="000C2C5C" w:rsidRPr="000C2C5C" w14:paraId="6F1ED76A" w14:textId="77777777" w:rsidTr="000C2C5C">
        <w:trPr>
          <w:trHeight w:val="320"/>
        </w:trPr>
        <w:tc>
          <w:tcPr>
            <w:tcW w:w="652" w:type="pct"/>
            <w:vMerge/>
            <w:shd w:val="clear" w:color="auto" w:fill="auto"/>
            <w:noWrap/>
            <w:tcMar>
              <w:right w:w="0" w:type="dxa"/>
            </w:tcMar>
            <w:vAlign w:val="center"/>
            <w:hideMark/>
          </w:tcPr>
          <w:p w14:paraId="1F5070B2" w14:textId="1FB8912A" w:rsidR="000C2C5C" w:rsidRPr="000C2C5C" w:rsidRDefault="000C2C5C" w:rsidP="000C2C5C">
            <w:pPr>
              <w:spacing w:before="0" w:after="0"/>
              <w:jc w:val="left"/>
              <w:rPr>
                <w:rFonts w:cs="Calibri"/>
                <w:color w:val="000000"/>
                <w:sz w:val="22"/>
                <w:szCs w:val="22"/>
              </w:rPr>
            </w:pPr>
          </w:p>
        </w:tc>
        <w:tc>
          <w:tcPr>
            <w:tcW w:w="508" w:type="pct"/>
            <w:shd w:val="clear" w:color="auto" w:fill="auto"/>
            <w:noWrap/>
            <w:tcMar>
              <w:right w:w="0" w:type="dxa"/>
            </w:tcMar>
            <w:vAlign w:val="bottom"/>
            <w:hideMark/>
          </w:tcPr>
          <w:p w14:paraId="6C000EA4" w14:textId="77777777" w:rsidR="000C2C5C" w:rsidRPr="000C2C5C" w:rsidRDefault="000C2C5C" w:rsidP="000C2C5C">
            <w:pPr>
              <w:spacing w:before="0" w:after="0"/>
              <w:rPr>
                <w:rFonts w:cs="Calibri"/>
                <w:color w:val="000000"/>
                <w:sz w:val="22"/>
                <w:szCs w:val="22"/>
              </w:rPr>
            </w:pPr>
            <w:r w:rsidRPr="000C2C5C">
              <w:rPr>
                <w:rFonts w:cs="Calibri"/>
                <w:color w:val="000000"/>
                <w:sz w:val="22"/>
                <w:szCs w:val="22"/>
              </w:rPr>
              <w:t>Four</w:t>
            </w:r>
          </w:p>
        </w:tc>
        <w:tc>
          <w:tcPr>
            <w:tcW w:w="554" w:type="pct"/>
            <w:shd w:val="clear" w:color="auto" w:fill="auto"/>
            <w:noWrap/>
            <w:vAlign w:val="center"/>
            <w:hideMark/>
          </w:tcPr>
          <w:p w14:paraId="593E8956"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1</w:t>
            </w:r>
          </w:p>
        </w:tc>
        <w:tc>
          <w:tcPr>
            <w:tcW w:w="510" w:type="pct"/>
            <w:shd w:val="clear" w:color="auto" w:fill="auto"/>
            <w:noWrap/>
            <w:vAlign w:val="center"/>
            <w:hideMark/>
          </w:tcPr>
          <w:p w14:paraId="4F27877A"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7</w:t>
            </w:r>
          </w:p>
        </w:tc>
        <w:tc>
          <w:tcPr>
            <w:tcW w:w="554" w:type="pct"/>
            <w:shd w:val="clear" w:color="auto" w:fill="auto"/>
            <w:noWrap/>
            <w:vAlign w:val="center"/>
            <w:hideMark/>
          </w:tcPr>
          <w:p w14:paraId="3A8527FD"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3</w:t>
            </w:r>
          </w:p>
        </w:tc>
        <w:tc>
          <w:tcPr>
            <w:tcW w:w="565" w:type="pct"/>
            <w:shd w:val="clear" w:color="auto" w:fill="auto"/>
            <w:noWrap/>
            <w:vAlign w:val="center"/>
            <w:hideMark/>
          </w:tcPr>
          <w:p w14:paraId="215BF87E"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2</w:t>
            </w:r>
          </w:p>
        </w:tc>
        <w:tc>
          <w:tcPr>
            <w:tcW w:w="510" w:type="pct"/>
            <w:shd w:val="clear" w:color="auto" w:fill="auto"/>
            <w:noWrap/>
            <w:vAlign w:val="center"/>
            <w:hideMark/>
          </w:tcPr>
          <w:p w14:paraId="6058BC9C"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1</w:t>
            </w:r>
          </w:p>
        </w:tc>
        <w:tc>
          <w:tcPr>
            <w:tcW w:w="556" w:type="pct"/>
            <w:shd w:val="clear" w:color="auto" w:fill="auto"/>
            <w:noWrap/>
            <w:vAlign w:val="center"/>
            <w:hideMark/>
          </w:tcPr>
          <w:p w14:paraId="47488769"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1</w:t>
            </w:r>
          </w:p>
        </w:tc>
        <w:tc>
          <w:tcPr>
            <w:tcW w:w="593" w:type="pct"/>
            <w:shd w:val="clear" w:color="auto" w:fill="auto"/>
            <w:noWrap/>
            <w:vAlign w:val="center"/>
            <w:hideMark/>
          </w:tcPr>
          <w:p w14:paraId="447F9FB6"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12</w:t>
            </w:r>
          </w:p>
        </w:tc>
      </w:tr>
      <w:tr w:rsidR="000C2C5C" w:rsidRPr="000C2C5C" w14:paraId="11516562" w14:textId="77777777" w:rsidTr="000C2C5C">
        <w:trPr>
          <w:trHeight w:val="320"/>
        </w:trPr>
        <w:tc>
          <w:tcPr>
            <w:tcW w:w="652" w:type="pct"/>
            <w:vMerge/>
            <w:shd w:val="clear" w:color="auto" w:fill="auto"/>
            <w:noWrap/>
            <w:tcMar>
              <w:right w:w="0" w:type="dxa"/>
            </w:tcMar>
            <w:vAlign w:val="center"/>
            <w:hideMark/>
          </w:tcPr>
          <w:p w14:paraId="0D3AF698" w14:textId="16839C0C" w:rsidR="000C2C5C" w:rsidRPr="000C2C5C" w:rsidRDefault="000C2C5C" w:rsidP="000C2C5C">
            <w:pPr>
              <w:spacing w:before="0" w:after="0"/>
              <w:jc w:val="left"/>
              <w:rPr>
                <w:rFonts w:cs="Calibri"/>
                <w:color w:val="000000"/>
                <w:sz w:val="22"/>
                <w:szCs w:val="22"/>
              </w:rPr>
            </w:pPr>
          </w:p>
        </w:tc>
        <w:tc>
          <w:tcPr>
            <w:tcW w:w="508" w:type="pct"/>
            <w:shd w:val="clear" w:color="auto" w:fill="auto"/>
            <w:noWrap/>
            <w:tcMar>
              <w:right w:w="0" w:type="dxa"/>
            </w:tcMar>
            <w:vAlign w:val="bottom"/>
            <w:hideMark/>
          </w:tcPr>
          <w:p w14:paraId="2A12ED14" w14:textId="77777777" w:rsidR="000C2C5C" w:rsidRPr="000C2C5C" w:rsidRDefault="000C2C5C" w:rsidP="000C2C5C">
            <w:pPr>
              <w:spacing w:before="0" w:after="0"/>
              <w:jc w:val="left"/>
              <w:rPr>
                <w:rFonts w:cs="Calibri"/>
                <w:color w:val="000000"/>
                <w:sz w:val="22"/>
                <w:szCs w:val="22"/>
              </w:rPr>
            </w:pPr>
            <w:r w:rsidRPr="000C2C5C">
              <w:rPr>
                <w:rFonts w:cs="Calibri"/>
                <w:color w:val="000000"/>
                <w:sz w:val="22"/>
                <w:szCs w:val="22"/>
              </w:rPr>
              <w:t>Five or more</w:t>
            </w:r>
          </w:p>
        </w:tc>
        <w:tc>
          <w:tcPr>
            <w:tcW w:w="554" w:type="pct"/>
            <w:shd w:val="clear" w:color="auto" w:fill="auto"/>
            <w:noWrap/>
            <w:vAlign w:val="center"/>
            <w:hideMark/>
          </w:tcPr>
          <w:p w14:paraId="331DD329"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0</w:t>
            </w:r>
          </w:p>
        </w:tc>
        <w:tc>
          <w:tcPr>
            <w:tcW w:w="510" w:type="pct"/>
            <w:shd w:val="clear" w:color="auto" w:fill="auto"/>
            <w:noWrap/>
            <w:vAlign w:val="center"/>
            <w:hideMark/>
          </w:tcPr>
          <w:p w14:paraId="1A3A9CE5"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0</w:t>
            </w:r>
          </w:p>
        </w:tc>
        <w:tc>
          <w:tcPr>
            <w:tcW w:w="554" w:type="pct"/>
            <w:shd w:val="clear" w:color="auto" w:fill="auto"/>
            <w:noWrap/>
            <w:vAlign w:val="center"/>
            <w:hideMark/>
          </w:tcPr>
          <w:p w14:paraId="55A1BE3A"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1</w:t>
            </w:r>
          </w:p>
        </w:tc>
        <w:tc>
          <w:tcPr>
            <w:tcW w:w="565" w:type="pct"/>
            <w:shd w:val="clear" w:color="auto" w:fill="auto"/>
            <w:noWrap/>
            <w:vAlign w:val="center"/>
            <w:hideMark/>
          </w:tcPr>
          <w:p w14:paraId="390BAA63"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0</w:t>
            </w:r>
          </w:p>
        </w:tc>
        <w:tc>
          <w:tcPr>
            <w:tcW w:w="510" w:type="pct"/>
            <w:shd w:val="clear" w:color="auto" w:fill="auto"/>
            <w:noWrap/>
            <w:vAlign w:val="center"/>
            <w:hideMark/>
          </w:tcPr>
          <w:p w14:paraId="0F946059"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0</w:t>
            </w:r>
          </w:p>
        </w:tc>
        <w:tc>
          <w:tcPr>
            <w:tcW w:w="556" w:type="pct"/>
            <w:shd w:val="clear" w:color="auto" w:fill="auto"/>
            <w:noWrap/>
            <w:vAlign w:val="center"/>
            <w:hideMark/>
          </w:tcPr>
          <w:p w14:paraId="4A40FBA4"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0</w:t>
            </w:r>
          </w:p>
        </w:tc>
        <w:tc>
          <w:tcPr>
            <w:tcW w:w="593" w:type="pct"/>
            <w:shd w:val="clear" w:color="auto" w:fill="auto"/>
            <w:noWrap/>
            <w:vAlign w:val="center"/>
            <w:hideMark/>
          </w:tcPr>
          <w:p w14:paraId="3A029D18"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1</w:t>
            </w:r>
          </w:p>
        </w:tc>
      </w:tr>
      <w:tr w:rsidR="000C2C5C" w:rsidRPr="000C2C5C" w14:paraId="5CF078AB" w14:textId="77777777" w:rsidTr="000C2C5C">
        <w:trPr>
          <w:trHeight w:val="320"/>
        </w:trPr>
        <w:tc>
          <w:tcPr>
            <w:tcW w:w="652" w:type="pct"/>
            <w:vMerge w:val="restart"/>
            <w:shd w:val="clear" w:color="auto" w:fill="auto"/>
            <w:noWrap/>
            <w:tcMar>
              <w:right w:w="0" w:type="dxa"/>
            </w:tcMar>
            <w:vAlign w:val="center"/>
            <w:hideMark/>
          </w:tcPr>
          <w:p w14:paraId="7AAB14E6" w14:textId="33067E13" w:rsidR="000C2C5C" w:rsidRPr="000C2C5C" w:rsidRDefault="000C2C5C" w:rsidP="000C2C5C">
            <w:pPr>
              <w:spacing w:before="0" w:after="0"/>
              <w:jc w:val="left"/>
              <w:rPr>
                <w:rFonts w:cs="Calibri"/>
                <w:color w:val="000000"/>
                <w:sz w:val="22"/>
                <w:szCs w:val="22"/>
              </w:rPr>
            </w:pPr>
            <w:r w:rsidRPr="000C2C5C">
              <w:rPr>
                <w:rFonts w:cs="Calibri"/>
                <w:color w:val="000000"/>
                <w:sz w:val="22"/>
                <w:szCs w:val="22"/>
              </w:rPr>
              <w:t>65 and over</w:t>
            </w:r>
          </w:p>
        </w:tc>
        <w:tc>
          <w:tcPr>
            <w:tcW w:w="508" w:type="pct"/>
            <w:shd w:val="clear" w:color="auto" w:fill="auto"/>
            <w:noWrap/>
            <w:tcMar>
              <w:right w:w="0" w:type="dxa"/>
            </w:tcMar>
            <w:vAlign w:val="bottom"/>
            <w:hideMark/>
          </w:tcPr>
          <w:p w14:paraId="104DB385" w14:textId="77777777" w:rsidR="000C2C5C" w:rsidRPr="000C2C5C" w:rsidRDefault="000C2C5C" w:rsidP="000C2C5C">
            <w:pPr>
              <w:spacing w:before="0" w:after="0"/>
              <w:rPr>
                <w:rFonts w:cs="Calibri"/>
                <w:color w:val="000000"/>
                <w:sz w:val="22"/>
                <w:szCs w:val="22"/>
              </w:rPr>
            </w:pPr>
            <w:r w:rsidRPr="000C2C5C">
              <w:rPr>
                <w:rFonts w:cs="Calibri"/>
                <w:color w:val="000000"/>
                <w:sz w:val="22"/>
                <w:szCs w:val="22"/>
              </w:rPr>
              <w:t>One</w:t>
            </w:r>
          </w:p>
        </w:tc>
        <w:tc>
          <w:tcPr>
            <w:tcW w:w="554" w:type="pct"/>
            <w:shd w:val="clear" w:color="auto" w:fill="auto"/>
            <w:noWrap/>
            <w:vAlign w:val="center"/>
            <w:hideMark/>
          </w:tcPr>
          <w:p w14:paraId="0FECA174"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0</w:t>
            </w:r>
          </w:p>
        </w:tc>
        <w:tc>
          <w:tcPr>
            <w:tcW w:w="510" w:type="pct"/>
            <w:shd w:val="clear" w:color="auto" w:fill="auto"/>
            <w:noWrap/>
            <w:vAlign w:val="center"/>
            <w:hideMark/>
          </w:tcPr>
          <w:p w14:paraId="03FA9219"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1</w:t>
            </w:r>
          </w:p>
        </w:tc>
        <w:tc>
          <w:tcPr>
            <w:tcW w:w="554" w:type="pct"/>
            <w:shd w:val="clear" w:color="auto" w:fill="auto"/>
            <w:noWrap/>
            <w:vAlign w:val="center"/>
            <w:hideMark/>
          </w:tcPr>
          <w:p w14:paraId="3EC369FA"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0</w:t>
            </w:r>
          </w:p>
        </w:tc>
        <w:tc>
          <w:tcPr>
            <w:tcW w:w="565" w:type="pct"/>
            <w:shd w:val="clear" w:color="auto" w:fill="auto"/>
            <w:noWrap/>
            <w:vAlign w:val="center"/>
            <w:hideMark/>
          </w:tcPr>
          <w:p w14:paraId="69C56BB1"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0</w:t>
            </w:r>
          </w:p>
        </w:tc>
        <w:tc>
          <w:tcPr>
            <w:tcW w:w="510" w:type="pct"/>
            <w:shd w:val="clear" w:color="auto" w:fill="auto"/>
            <w:noWrap/>
            <w:vAlign w:val="center"/>
            <w:hideMark/>
          </w:tcPr>
          <w:p w14:paraId="55C15744"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0</w:t>
            </w:r>
          </w:p>
        </w:tc>
        <w:tc>
          <w:tcPr>
            <w:tcW w:w="556" w:type="pct"/>
            <w:shd w:val="clear" w:color="auto" w:fill="auto"/>
            <w:noWrap/>
            <w:vAlign w:val="center"/>
            <w:hideMark/>
          </w:tcPr>
          <w:p w14:paraId="753DB01B"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0</w:t>
            </w:r>
          </w:p>
        </w:tc>
        <w:tc>
          <w:tcPr>
            <w:tcW w:w="593" w:type="pct"/>
            <w:shd w:val="clear" w:color="auto" w:fill="auto"/>
            <w:noWrap/>
            <w:vAlign w:val="center"/>
            <w:hideMark/>
          </w:tcPr>
          <w:p w14:paraId="5A99E4EF"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1</w:t>
            </w:r>
          </w:p>
        </w:tc>
      </w:tr>
      <w:tr w:rsidR="000C2C5C" w:rsidRPr="000C2C5C" w14:paraId="3E66CC12" w14:textId="77777777" w:rsidTr="000C2C5C">
        <w:trPr>
          <w:trHeight w:val="320"/>
        </w:trPr>
        <w:tc>
          <w:tcPr>
            <w:tcW w:w="652" w:type="pct"/>
            <w:vMerge/>
            <w:shd w:val="clear" w:color="auto" w:fill="auto"/>
            <w:noWrap/>
            <w:tcMar>
              <w:right w:w="0" w:type="dxa"/>
            </w:tcMar>
            <w:vAlign w:val="bottom"/>
            <w:hideMark/>
          </w:tcPr>
          <w:p w14:paraId="10521BC7" w14:textId="5B430D35" w:rsidR="000C2C5C" w:rsidRPr="000C2C5C" w:rsidRDefault="000C2C5C" w:rsidP="000C2C5C">
            <w:pPr>
              <w:spacing w:before="0" w:after="0"/>
              <w:rPr>
                <w:rFonts w:cs="Calibri"/>
                <w:color w:val="000000"/>
                <w:sz w:val="22"/>
                <w:szCs w:val="22"/>
              </w:rPr>
            </w:pPr>
          </w:p>
        </w:tc>
        <w:tc>
          <w:tcPr>
            <w:tcW w:w="508" w:type="pct"/>
            <w:shd w:val="clear" w:color="auto" w:fill="auto"/>
            <w:noWrap/>
            <w:tcMar>
              <w:right w:w="0" w:type="dxa"/>
            </w:tcMar>
            <w:vAlign w:val="bottom"/>
            <w:hideMark/>
          </w:tcPr>
          <w:p w14:paraId="39006B19" w14:textId="77777777" w:rsidR="000C2C5C" w:rsidRPr="000C2C5C" w:rsidRDefault="000C2C5C" w:rsidP="000C2C5C">
            <w:pPr>
              <w:spacing w:before="0" w:after="0"/>
              <w:rPr>
                <w:rFonts w:cs="Calibri"/>
                <w:color w:val="000000"/>
                <w:sz w:val="22"/>
                <w:szCs w:val="22"/>
              </w:rPr>
            </w:pPr>
            <w:r w:rsidRPr="000C2C5C">
              <w:rPr>
                <w:rFonts w:cs="Calibri"/>
                <w:color w:val="000000"/>
                <w:sz w:val="22"/>
                <w:szCs w:val="22"/>
              </w:rPr>
              <w:t>Two</w:t>
            </w:r>
          </w:p>
        </w:tc>
        <w:tc>
          <w:tcPr>
            <w:tcW w:w="554" w:type="pct"/>
            <w:shd w:val="clear" w:color="auto" w:fill="auto"/>
            <w:noWrap/>
            <w:vAlign w:val="center"/>
            <w:hideMark/>
          </w:tcPr>
          <w:p w14:paraId="601974B3"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0</w:t>
            </w:r>
          </w:p>
        </w:tc>
        <w:tc>
          <w:tcPr>
            <w:tcW w:w="510" w:type="pct"/>
            <w:shd w:val="clear" w:color="auto" w:fill="auto"/>
            <w:noWrap/>
            <w:vAlign w:val="center"/>
            <w:hideMark/>
          </w:tcPr>
          <w:p w14:paraId="4B9ECFF8"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4</w:t>
            </w:r>
          </w:p>
        </w:tc>
        <w:tc>
          <w:tcPr>
            <w:tcW w:w="554" w:type="pct"/>
            <w:shd w:val="clear" w:color="auto" w:fill="auto"/>
            <w:noWrap/>
            <w:vAlign w:val="center"/>
            <w:hideMark/>
          </w:tcPr>
          <w:p w14:paraId="269D27E0"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0</w:t>
            </w:r>
          </w:p>
        </w:tc>
        <w:tc>
          <w:tcPr>
            <w:tcW w:w="565" w:type="pct"/>
            <w:shd w:val="clear" w:color="auto" w:fill="auto"/>
            <w:noWrap/>
            <w:vAlign w:val="center"/>
            <w:hideMark/>
          </w:tcPr>
          <w:p w14:paraId="760F7A7D"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1</w:t>
            </w:r>
          </w:p>
        </w:tc>
        <w:tc>
          <w:tcPr>
            <w:tcW w:w="510" w:type="pct"/>
            <w:shd w:val="clear" w:color="auto" w:fill="auto"/>
            <w:noWrap/>
            <w:vAlign w:val="center"/>
            <w:hideMark/>
          </w:tcPr>
          <w:p w14:paraId="4ADAFD81"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2</w:t>
            </w:r>
          </w:p>
        </w:tc>
        <w:tc>
          <w:tcPr>
            <w:tcW w:w="556" w:type="pct"/>
            <w:shd w:val="clear" w:color="auto" w:fill="auto"/>
            <w:noWrap/>
            <w:vAlign w:val="center"/>
            <w:hideMark/>
          </w:tcPr>
          <w:p w14:paraId="4E3C0D83"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0</w:t>
            </w:r>
          </w:p>
        </w:tc>
        <w:tc>
          <w:tcPr>
            <w:tcW w:w="593" w:type="pct"/>
            <w:shd w:val="clear" w:color="auto" w:fill="auto"/>
            <w:noWrap/>
            <w:vAlign w:val="center"/>
            <w:hideMark/>
          </w:tcPr>
          <w:p w14:paraId="70DF37A6"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6</w:t>
            </w:r>
          </w:p>
        </w:tc>
      </w:tr>
      <w:tr w:rsidR="000C2C5C" w:rsidRPr="000C2C5C" w14:paraId="72E9E65D" w14:textId="77777777" w:rsidTr="000C2C5C">
        <w:trPr>
          <w:trHeight w:val="320"/>
        </w:trPr>
        <w:tc>
          <w:tcPr>
            <w:tcW w:w="652" w:type="pct"/>
            <w:vMerge/>
            <w:shd w:val="clear" w:color="auto" w:fill="auto"/>
            <w:noWrap/>
            <w:tcMar>
              <w:right w:w="0" w:type="dxa"/>
            </w:tcMar>
            <w:vAlign w:val="bottom"/>
            <w:hideMark/>
          </w:tcPr>
          <w:p w14:paraId="08AFB69E" w14:textId="7CF8ACA5" w:rsidR="000C2C5C" w:rsidRPr="000C2C5C" w:rsidRDefault="000C2C5C" w:rsidP="000C2C5C">
            <w:pPr>
              <w:spacing w:before="0" w:after="0"/>
              <w:rPr>
                <w:rFonts w:cs="Calibri"/>
                <w:color w:val="000000"/>
                <w:sz w:val="22"/>
                <w:szCs w:val="22"/>
              </w:rPr>
            </w:pPr>
          </w:p>
        </w:tc>
        <w:tc>
          <w:tcPr>
            <w:tcW w:w="508" w:type="pct"/>
            <w:shd w:val="clear" w:color="auto" w:fill="auto"/>
            <w:noWrap/>
            <w:tcMar>
              <w:right w:w="0" w:type="dxa"/>
            </w:tcMar>
            <w:vAlign w:val="bottom"/>
            <w:hideMark/>
          </w:tcPr>
          <w:p w14:paraId="57FD8A56" w14:textId="77777777" w:rsidR="000C2C5C" w:rsidRPr="000C2C5C" w:rsidRDefault="000C2C5C" w:rsidP="000C2C5C">
            <w:pPr>
              <w:spacing w:before="0" w:after="0"/>
              <w:rPr>
                <w:rFonts w:cs="Calibri"/>
                <w:color w:val="000000"/>
                <w:sz w:val="22"/>
                <w:szCs w:val="22"/>
              </w:rPr>
            </w:pPr>
            <w:r w:rsidRPr="000C2C5C">
              <w:rPr>
                <w:rFonts w:cs="Calibri"/>
                <w:color w:val="000000"/>
                <w:sz w:val="22"/>
                <w:szCs w:val="22"/>
              </w:rPr>
              <w:t>Three</w:t>
            </w:r>
          </w:p>
        </w:tc>
        <w:tc>
          <w:tcPr>
            <w:tcW w:w="554" w:type="pct"/>
            <w:shd w:val="clear" w:color="auto" w:fill="auto"/>
            <w:noWrap/>
            <w:vAlign w:val="center"/>
            <w:hideMark/>
          </w:tcPr>
          <w:p w14:paraId="34B0F543"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0</w:t>
            </w:r>
          </w:p>
        </w:tc>
        <w:tc>
          <w:tcPr>
            <w:tcW w:w="510" w:type="pct"/>
            <w:shd w:val="clear" w:color="auto" w:fill="auto"/>
            <w:noWrap/>
            <w:vAlign w:val="center"/>
            <w:hideMark/>
          </w:tcPr>
          <w:p w14:paraId="03BDD406"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2</w:t>
            </w:r>
          </w:p>
        </w:tc>
        <w:tc>
          <w:tcPr>
            <w:tcW w:w="554" w:type="pct"/>
            <w:shd w:val="clear" w:color="auto" w:fill="auto"/>
            <w:noWrap/>
            <w:vAlign w:val="center"/>
            <w:hideMark/>
          </w:tcPr>
          <w:p w14:paraId="247BA500"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1</w:t>
            </w:r>
          </w:p>
        </w:tc>
        <w:tc>
          <w:tcPr>
            <w:tcW w:w="565" w:type="pct"/>
            <w:shd w:val="clear" w:color="auto" w:fill="auto"/>
            <w:noWrap/>
            <w:vAlign w:val="center"/>
            <w:hideMark/>
          </w:tcPr>
          <w:p w14:paraId="3675BB08"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1</w:t>
            </w:r>
          </w:p>
        </w:tc>
        <w:tc>
          <w:tcPr>
            <w:tcW w:w="510" w:type="pct"/>
            <w:shd w:val="clear" w:color="auto" w:fill="auto"/>
            <w:noWrap/>
            <w:vAlign w:val="center"/>
            <w:hideMark/>
          </w:tcPr>
          <w:p w14:paraId="5D94E710"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1</w:t>
            </w:r>
          </w:p>
        </w:tc>
        <w:tc>
          <w:tcPr>
            <w:tcW w:w="556" w:type="pct"/>
            <w:shd w:val="clear" w:color="auto" w:fill="auto"/>
            <w:noWrap/>
            <w:vAlign w:val="center"/>
            <w:hideMark/>
          </w:tcPr>
          <w:p w14:paraId="347143C1"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0</w:t>
            </w:r>
          </w:p>
        </w:tc>
        <w:tc>
          <w:tcPr>
            <w:tcW w:w="593" w:type="pct"/>
            <w:shd w:val="clear" w:color="auto" w:fill="auto"/>
            <w:noWrap/>
            <w:vAlign w:val="center"/>
            <w:hideMark/>
          </w:tcPr>
          <w:p w14:paraId="78410F03"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4</w:t>
            </w:r>
          </w:p>
        </w:tc>
      </w:tr>
      <w:tr w:rsidR="000C2C5C" w:rsidRPr="000C2C5C" w14:paraId="20AF5E74" w14:textId="77777777" w:rsidTr="000C2C5C">
        <w:trPr>
          <w:trHeight w:val="320"/>
        </w:trPr>
        <w:tc>
          <w:tcPr>
            <w:tcW w:w="652" w:type="pct"/>
            <w:vMerge/>
            <w:shd w:val="clear" w:color="auto" w:fill="auto"/>
            <w:noWrap/>
            <w:tcMar>
              <w:right w:w="0" w:type="dxa"/>
            </w:tcMar>
            <w:vAlign w:val="bottom"/>
            <w:hideMark/>
          </w:tcPr>
          <w:p w14:paraId="12377CCB" w14:textId="7AD6034F" w:rsidR="000C2C5C" w:rsidRPr="000C2C5C" w:rsidRDefault="000C2C5C" w:rsidP="000C2C5C">
            <w:pPr>
              <w:spacing w:before="0" w:after="0"/>
              <w:rPr>
                <w:rFonts w:cs="Calibri"/>
                <w:color w:val="000000"/>
                <w:sz w:val="22"/>
                <w:szCs w:val="22"/>
              </w:rPr>
            </w:pPr>
          </w:p>
        </w:tc>
        <w:tc>
          <w:tcPr>
            <w:tcW w:w="508" w:type="pct"/>
            <w:shd w:val="clear" w:color="auto" w:fill="auto"/>
            <w:noWrap/>
            <w:tcMar>
              <w:right w:w="0" w:type="dxa"/>
            </w:tcMar>
            <w:vAlign w:val="bottom"/>
            <w:hideMark/>
          </w:tcPr>
          <w:p w14:paraId="75BB26B9" w14:textId="77777777" w:rsidR="000C2C5C" w:rsidRPr="000C2C5C" w:rsidRDefault="000C2C5C" w:rsidP="000C2C5C">
            <w:pPr>
              <w:spacing w:before="0" w:after="0"/>
              <w:rPr>
                <w:rFonts w:cs="Calibri"/>
                <w:color w:val="000000"/>
                <w:sz w:val="22"/>
                <w:szCs w:val="22"/>
              </w:rPr>
            </w:pPr>
            <w:r w:rsidRPr="000C2C5C">
              <w:rPr>
                <w:rFonts w:cs="Calibri"/>
                <w:color w:val="000000"/>
                <w:sz w:val="22"/>
                <w:szCs w:val="22"/>
              </w:rPr>
              <w:t>Four</w:t>
            </w:r>
          </w:p>
        </w:tc>
        <w:tc>
          <w:tcPr>
            <w:tcW w:w="554" w:type="pct"/>
            <w:shd w:val="clear" w:color="auto" w:fill="auto"/>
            <w:noWrap/>
            <w:vAlign w:val="center"/>
            <w:hideMark/>
          </w:tcPr>
          <w:p w14:paraId="27C98324"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0</w:t>
            </w:r>
          </w:p>
        </w:tc>
        <w:tc>
          <w:tcPr>
            <w:tcW w:w="510" w:type="pct"/>
            <w:shd w:val="clear" w:color="auto" w:fill="auto"/>
            <w:noWrap/>
            <w:vAlign w:val="center"/>
            <w:hideMark/>
          </w:tcPr>
          <w:p w14:paraId="78B8C056"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0</w:t>
            </w:r>
          </w:p>
        </w:tc>
        <w:tc>
          <w:tcPr>
            <w:tcW w:w="554" w:type="pct"/>
            <w:shd w:val="clear" w:color="auto" w:fill="auto"/>
            <w:noWrap/>
            <w:vAlign w:val="center"/>
            <w:hideMark/>
          </w:tcPr>
          <w:p w14:paraId="62B78F49"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0</w:t>
            </w:r>
          </w:p>
        </w:tc>
        <w:tc>
          <w:tcPr>
            <w:tcW w:w="565" w:type="pct"/>
            <w:shd w:val="clear" w:color="auto" w:fill="auto"/>
            <w:noWrap/>
            <w:vAlign w:val="center"/>
            <w:hideMark/>
          </w:tcPr>
          <w:p w14:paraId="3700E106"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0</w:t>
            </w:r>
          </w:p>
        </w:tc>
        <w:tc>
          <w:tcPr>
            <w:tcW w:w="510" w:type="pct"/>
            <w:shd w:val="clear" w:color="auto" w:fill="auto"/>
            <w:noWrap/>
            <w:vAlign w:val="center"/>
            <w:hideMark/>
          </w:tcPr>
          <w:p w14:paraId="37C58689"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0</w:t>
            </w:r>
          </w:p>
        </w:tc>
        <w:tc>
          <w:tcPr>
            <w:tcW w:w="556" w:type="pct"/>
            <w:shd w:val="clear" w:color="auto" w:fill="auto"/>
            <w:noWrap/>
            <w:vAlign w:val="center"/>
            <w:hideMark/>
          </w:tcPr>
          <w:p w14:paraId="2FC70A11"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0</w:t>
            </w:r>
          </w:p>
        </w:tc>
        <w:tc>
          <w:tcPr>
            <w:tcW w:w="593" w:type="pct"/>
            <w:shd w:val="clear" w:color="auto" w:fill="auto"/>
            <w:noWrap/>
            <w:vAlign w:val="center"/>
            <w:hideMark/>
          </w:tcPr>
          <w:p w14:paraId="01D9EEEB"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0</w:t>
            </w:r>
          </w:p>
        </w:tc>
      </w:tr>
      <w:tr w:rsidR="000C2C5C" w:rsidRPr="000C2C5C" w14:paraId="4836E1FF" w14:textId="77777777" w:rsidTr="000C2C5C">
        <w:trPr>
          <w:trHeight w:val="320"/>
        </w:trPr>
        <w:tc>
          <w:tcPr>
            <w:tcW w:w="652" w:type="pct"/>
            <w:vMerge/>
            <w:shd w:val="clear" w:color="auto" w:fill="auto"/>
            <w:noWrap/>
            <w:tcMar>
              <w:right w:w="0" w:type="dxa"/>
            </w:tcMar>
            <w:vAlign w:val="bottom"/>
            <w:hideMark/>
          </w:tcPr>
          <w:p w14:paraId="02C73AA6" w14:textId="60E55337" w:rsidR="000C2C5C" w:rsidRPr="000C2C5C" w:rsidRDefault="000C2C5C" w:rsidP="000C2C5C">
            <w:pPr>
              <w:spacing w:before="0" w:after="0"/>
              <w:rPr>
                <w:rFonts w:cs="Calibri"/>
                <w:color w:val="000000"/>
                <w:sz w:val="22"/>
                <w:szCs w:val="22"/>
              </w:rPr>
            </w:pPr>
          </w:p>
        </w:tc>
        <w:tc>
          <w:tcPr>
            <w:tcW w:w="508" w:type="pct"/>
            <w:shd w:val="clear" w:color="auto" w:fill="auto"/>
            <w:noWrap/>
            <w:tcMar>
              <w:right w:w="0" w:type="dxa"/>
            </w:tcMar>
            <w:vAlign w:val="bottom"/>
            <w:hideMark/>
          </w:tcPr>
          <w:p w14:paraId="3021A6C1" w14:textId="77777777" w:rsidR="000C2C5C" w:rsidRPr="000C2C5C" w:rsidRDefault="000C2C5C" w:rsidP="000C2C5C">
            <w:pPr>
              <w:spacing w:before="0" w:after="0"/>
              <w:jc w:val="left"/>
              <w:rPr>
                <w:rFonts w:cs="Calibri"/>
                <w:color w:val="000000"/>
                <w:sz w:val="22"/>
                <w:szCs w:val="22"/>
              </w:rPr>
            </w:pPr>
            <w:r w:rsidRPr="000C2C5C">
              <w:rPr>
                <w:rFonts w:cs="Calibri"/>
                <w:color w:val="000000"/>
                <w:sz w:val="22"/>
                <w:szCs w:val="22"/>
              </w:rPr>
              <w:t>Five or more</w:t>
            </w:r>
          </w:p>
        </w:tc>
        <w:tc>
          <w:tcPr>
            <w:tcW w:w="554" w:type="pct"/>
            <w:shd w:val="clear" w:color="auto" w:fill="auto"/>
            <w:noWrap/>
            <w:vAlign w:val="center"/>
            <w:hideMark/>
          </w:tcPr>
          <w:p w14:paraId="160719A7"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0</w:t>
            </w:r>
          </w:p>
        </w:tc>
        <w:tc>
          <w:tcPr>
            <w:tcW w:w="510" w:type="pct"/>
            <w:shd w:val="clear" w:color="auto" w:fill="auto"/>
            <w:noWrap/>
            <w:vAlign w:val="center"/>
            <w:hideMark/>
          </w:tcPr>
          <w:p w14:paraId="296FD67D"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0</w:t>
            </w:r>
          </w:p>
        </w:tc>
        <w:tc>
          <w:tcPr>
            <w:tcW w:w="554" w:type="pct"/>
            <w:shd w:val="clear" w:color="auto" w:fill="auto"/>
            <w:noWrap/>
            <w:vAlign w:val="center"/>
            <w:hideMark/>
          </w:tcPr>
          <w:p w14:paraId="42844371"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0</w:t>
            </w:r>
          </w:p>
        </w:tc>
        <w:tc>
          <w:tcPr>
            <w:tcW w:w="565" w:type="pct"/>
            <w:shd w:val="clear" w:color="auto" w:fill="auto"/>
            <w:noWrap/>
            <w:vAlign w:val="center"/>
            <w:hideMark/>
          </w:tcPr>
          <w:p w14:paraId="671C0B35"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0</w:t>
            </w:r>
          </w:p>
        </w:tc>
        <w:tc>
          <w:tcPr>
            <w:tcW w:w="510" w:type="pct"/>
            <w:shd w:val="clear" w:color="auto" w:fill="auto"/>
            <w:noWrap/>
            <w:vAlign w:val="center"/>
            <w:hideMark/>
          </w:tcPr>
          <w:p w14:paraId="39E6E332"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0</w:t>
            </w:r>
          </w:p>
        </w:tc>
        <w:tc>
          <w:tcPr>
            <w:tcW w:w="556" w:type="pct"/>
            <w:shd w:val="clear" w:color="auto" w:fill="auto"/>
            <w:noWrap/>
            <w:vAlign w:val="center"/>
            <w:hideMark/>
          </w:tcPr>
          <w:p w14:paraId="69A6C110"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0</w:t>
            </w:r>
          </w:p>
        </w:tc>
        <w:tc>
          <w:tcPr>
            <w:tcW w:w="593" w:type="pct"/>
            <w:shd w:val="clear" w:color="auto" w:fill="auto"/>
            <w:noWrap/>
            <w:vAlign w:val="center"/>
            <w:hideMark/>
          </w:tcPr>
          <w:p w14:paraId="3D498317" w14:textId="77777777" w:rsidR="000C2C5C" w:rsidRPr="000C2C5C" w:rsidRDefault="000C2C5C" w:rsidP="000C2C5C">
            <w:pPr>
              <w:spacing w:before="0" w:after="0"/>
              <w:jc w:val="center"/>
              <w:rPr>
                <w:rFonts w:cs="Calibri"/>
                <w:color w:val="000000"/>
                <w:sz w:val="22"/>
                <w:szCs w:val="22"/>
              </w:rPr>
            </w:pPr>
            <w:r w:rsidRPr="000C2C5C">
              <w:rPr>
                <w:rFonts w:cs="Calibri"/>
                <w:color w:val="000000"/>
                <w:sz w:val="22"/>
                <w:szCs w:val="22"/>
              </w:rPr>
              <w:t>0</w:t>
            </w:r>
          </w:p>
        </w:tc>
      </w:tr>
      <w:tr w:rsidR="000C2C5C" w:rsidRPr="000C2C5C" w14:paraId="16F9E48A" w14:textId="77777777" w:rsidTr="000C2C5C">
        <w:trPr>
          <w:trHeight w:val="320"/>
        </w:trPr>
        <w:tc>
          <w:tcPr>
            <w:tcW w:w="1159" w:type="pct"/>
            <w:gridSpan w:val="2"/>
            <w:shd w:val="clear" w:color="auto" w:fill="auto"/>
            <w:noWrap/>
            <w:tcMar>
              <w:right w:w="0" w:type="dxa"/>
            </w:tcMar>
            <w:vAlign w:val="bottom"/>
            <w:hideMark/>
          </w:tcPr>
          <w:p w14:paraId="26903AE2" w14:textId="1F5DE5AB" w:rsidR="000C2C5C" w:rsidRPr="000C2C5C" w:rsidRDefault="000C2C5C" w:rsidP="000C2C5C">
            <w:pPr>
              <w:spacing w:before="0" w:after="0"/>
              <w:rPr>
                <w:rFonts w:cs="Calibri"/>
                <w:b/>
                <w:bCs/>
                <w:color w:val="000000"/>
                <w:sz w:val="22"/>
                <w:szCs w:val="22"/>
              </w:rPr>
            </w:pPr>
            <w:r w:rsidRPr="000C2C5C">
              <w:rPr>
                <w:rFonts w:cs="Calibri"/>
                <w:b/>
                <w:bCs/>
                <w:color w:val="000000"/>
                <w:sz w:val="22"/>
                <w:szCs w:val="22"/>
              </w:rPr>
              <w:t>Total</w:t>
            </w:r>
          </w:p>
        </w:tc>
        <w:tc>
          <w:tcPr>
            <w:tcW w:w="554" w:type="pct"/>
            <w:shd w:val="clear" w:color="auto" w:fill="auto"/>
            <w:noWrap/>
            <w:vAlign w:val="center"/>
            <w:hideMark/>
          </w:tcPr>
          <w:p w14:paraId="062FB869" w14:textId="77777777" w:rsidR="000C2C5C" w:rsidRPr="000C2C5C" w:rsidRDefault="000C2C5C" w:rsidP="000C2C5C">
            <w:pPr>
              <w:spacing w:before="0" w:after="0"/>
              <w:jc w:val="center"/>
              <w:rPr>
                <w:rFonts w:cs="Calibri"/>
                <w:b/>
                <w:bCs/>
                <w:color w:val="000000"/>
                <w:sz w:val="22"/>
                <w:szCs w:val="22"/>
              </w:rPr>
            </w:pPr>
            <w:r w:rsidRPr="000C2C5C">
              <w:rPr>
                <w:rFonts w:cs="Calibri"/>
                <w:b/>
                <w:bCs/>
                <w:color w:val="000000"/>
                <w:sz w:val="22"/>
                <w:szCs w:val="22"/>
              </w:rPr>
              <w:t>16</w:t>
            </w:r>
          </w:p>
        </w:tc>
        <w:tc>
          <w:tcPr>
            <w:tcW w:w="510" w:type="pct"/>
            <w:shd w:val="clear" w:color="auto" w:fill="auto"/>
            <w:noWrap/>
            <w:vAlign w:val="center"/>
            <w:hideMark/>
          </w:tcPr>
          <w:p w14:paraId="6FC2527B" w14:textId="77777777" w:rsidR="000C2C5C" w:rsidRPr="000C2C5C" w:rsidRDefault="000C2C5C" w:rsidP="000C2C5C">
            <w:pPr>
              <w:spacing w:before="0" w:after="0"/>
              <w:jc w:val="center"/>
              <w:rPr>
                <w:rFonts w:cs="Calibri"/>
                <w:b/>
                <w:bCs/>
                <w:color w:val="000000"/>
                <w:sz w:val="22"/>
                <w:szCs w:val="22"/>
              </w:rPr>
            </w:pPr>
            <w:r w:rsidRPr="000C2C5C">
              <w:rPr>
                <w:rFonts w:cs="Calibri"/>
                <w:b/>
                <w:bCs/>
                <w:color w:val="000000"/>
                <w:sz w:val="22"/>
                <w:szCs w:val="22"/>
              </w:rPr>
              <w:t>114</w:t>
            </w:r>
          </w:p>
        </w:tc>
        <w:tc>
          <w:tcPr>
            <w:tcW w:w="554" w:type="pct"/>
            <w:shd w:val="clear" w:color="auto" w:fill="auto"/>
            <w:noWrap/>
            <w:vAlign w:val="center"/>
            <w:hideMark/>
          </w:tcPr>
          <w:p w14:paraId="0CE33DAF" w14:textId="77777777" w:rsidR="000C2C5C" w:rsidRPr="000C2C5C" w:rsidRDefault="000C2C5C" w:rsidP="000C2C5C">
            <w:pPr>
              <w:spacing w:before="0" w:after="0"/>
              <w:jc w:val="center"/>
              <w:rPr>
                <w:rFonts w:cs="Calibri"/>
                <w:b/>
                <w:bCs/>
                <w:color w:val="000000"/>
                <w:sz w:val="22"/>
                <w:szCs w:val="22"/>
              </w:rPr>
            </w:pPr>
            <w:r w:rsidRPr="000C2C5C">
              <w:rPr>
                <w:rFonts w:cs="Calibri"/>
                <w:b/>
                <w:bCs/>
                <w:color w:val="000000"/>
                <w:sz w:val="22"/>
                <w:szCs w:val="22"/>
              </w:rPr>
              <w:t>67</w:t>
            </w:r>
          </w:p>
        </w:tc>
        <w:tc>
          <w:tcPr>
            <w:tcW w:w="565" w:type="pct"/>
            <w:shd w:val="clear" w:color="auto" w:fill="auto"/>
            <w:noWrap/>
            <w:vAlign w:val="center"/>
            <w:hideMark/>
          </w:tcPr>
          <w:p w14:paraId="04C225F0" w14:textId="77777777" w:rsidR="000C2C5C" w:rsidRPr="000C2C5C" w:rsidRDefault="000C2C5C" w:rsidP="000C2C5C">
            <w:pPr>
              <w:spacing w:before="0" w:after="0"/>
              <w:jc w:val="center"/>
              <w:rPr>
                <w:rFonts w:cs="Calibri"/>
                <w:b/>
                <w:bCs/>
                <w:color w:val="000000"/>
                <w:sz w:val="22"/>
                <w:szCs w:val="22"/>
              </w:rPr>
            </w:pPr>
            <w:r w:rsidRPr="000C2C5C">
              <w:rPr>
                <w:rFonts w:cs="Calibri"/>
                <w:b/>
                <w:bCs/>
                <w:color w:val="000000"/>
                <w:sz w:val="22"/>
                <w:szCs w:val="22"/>
              </w:rPr>
              <w:t>25</w:t>
            </w:r>
          </w:p>
        </w:tc>
        <w:tc>
          <w:tcPr>
            <w:tcW w:w="510" w:type="pct"/>
            <w:shd w:val="clear" w:color="auto" w:fill="auto"/>
            <w:noWrap/>
            <w:vAlign w:val="center"/>
            <w:hideMark/>
          </w:tcPr>
          <w:p w14:paraId="273626FB" w14:textId="77777777" w:rsidR="000C2C5C" w:rsidRPr="000C2C5C" w:rsidRDefault="000C2C5C" w:rsidP="000C2C5C">
            <w:pPr>
              <w:spacing w:before="0" w:after="0"/>
              <w:jc w:val="center"/>
              <w:rPr>
                <w:rFonts w:cs="Calibri"/>
                <w:b/>
                <w:bCs/>
                <w:color w:val="000000"/>
                <w:sz w:val="22"/>
                <w:szCs w:val="22"/>
              </w:rPr>
            </w:pPr>
            <w:r w:rsidRPr="000C2C5C">
              <w:rPr>
                <w:rFonts w:cs="Calibri"/>
                <w:b/>
                <w:bCs/>
                <w:color w:val="000000"/>
                <w:sz w:val="22"/>
                <w:szCs w:val="22"/>
              </w:rPr>
              <w:t>26</w:t>
            </w:r>
          </w:p>
        </w:tc>
        <w:tc>
          <w:tcPr>
            <w:tcW w:w="556" w:type="pct"/>
            <w:shd w:val="clear" w:color="auto" w:fill="auto"/>
            <w:noWrap/>
            <w:vAlign w:val="center"/>
            <w:hideMark/>
          </w:tcPr>
          <w:p w14:paraId="638226E6" w14:textId="77777777" w:rsidR="000C2C5C" w:rsidRPr="000C2C5C" w:rsidRDefault="000C2C5C" w:rsidP="000C2C5C">
            <w:pPr>
              <w:spacing w:before="0" w:after="0"/>
              <w:jc w:val="center"/>
              <w:rPr>
                <w:rFonts w:cs="Calibri"/>
                <w:b/>
                <w:bCs/>
                <w:color w:val="000000"/>
                <w:sz w:val="22"/>
                <w:szCs w:val="22"/>
              </w:rPr>
            </w:pPr>
            <w:r w:rsidRPr="000C2C5C">
              <w:rPr>
                <w:rFonts w:cs="Calibri"/>
                <w:b/>
                <w:bCs/>
                <w:color w:val="000000"/>
                <w:sz w:val="22"/>
                <w:szCs w:val="22"/>
              </w:rPr>
              <w:t>16</w:t>
            </w:r>
          </w:p>
        </w:tc>
        <w:tc>
          <w:tcPr>
            <w:tcW w:w="593" w:type="pct"/>
            <w:shd w:val="clear" w:color="auto" w:fill="auto"/>
            <w:noWrap/>
            <w:vAlign w:val="center"/>
            <w:hideMark/>
          </w:tcPr>
          <w:p w14:paraId="131B3CD8" w14:textId="77777777" w:rsidR="000C2C5C" w:rsidRPr="000C2C5C" w:rsidRDefault="000C2C5C" w:rsidP="000C2C5C">
            <w:pPr>
              <w:spacing w:before="0" w:after="0"/>
              <w:jc w:val="center"/>
              <w:rPr>
                <w:rFonts w:cs="Calibri"/>
                <w:b/>
                <w:bCs/>
                <w:color w:val="000000"/>
                <w:sz w:val="22"/>
                <w:szCs w:val="22"/>
              </w:rPr>
            </w:pPr>
            <w:r w:rsidRPr="000C2C5C">
              <w:rPr>
                <w:rFonts w:cs="Calibri"/>
                <w:b/>
                <w:bCs/>
                <w:color w:val="000000"/>
                <w:sz w:val="22"/>
                <w:szCs w:val="22"/>
              </w:rPr>
              <w:t>264</w:t>
            </w:r>
          </w:p>
        </w:tc>
      </w:tr>
    </w:tbl>
    <w:p w14:paraId="12A1E043" w14:textId="77777777" w:rsidR="001F27D2" w:rsidRPr="002B2A7F" w:rsidRDefault="001F27D2" w:rsidP="001F27D2">
      <w:pPr>
        <w:rPr>
          <w:rFonts w:asciiTheme="minorHAnsi" w:hAnsiTheme="minorHAnsi" w:cs="Calibri"/>
          <w:sz w:val="20"/>
          <w:szCs w:val="18"/>
        </w:rPr>
      </w:pPr>
      <w:r w:rsidRPr="002B2A7F">
        <w:rPr>
          <w:rFonts w:asciiTheme="minorHAnsi" w:hAnsiTheme="minorHAnsi" w:cs="Calibri"/>
          <w:sz w:val="20"/>
          <w:szCs w:val="18"/>
        </w:rPr>
        <w:t>Sources: 2018 Household Survey; RSL CORE Lettings and Sales</w:t>
      </w:r>
    </w:p>
    <w:p w14:paraId="6725332B" w14:textId="77777777" w:rsidR="001F27D2" w:rsidRPr="002B2A7F" w:rsidRDefault="001F27D2" w:rsidP="001F27D2">
      <w:pPr>
        <w:pStyle w:val="Reporttext"/>
        <w:numPr>
          <w:ilvl w:val="0"/>
          <w:numId w:val="0"/>
        </w:numPr>
        <w:ind w:left="709"/>
      </w:pPr>
    </w:p>
    <w:p w14:paraId="1928E7BE" w14:textId="77777777" w:rsidR="001F27D2" w:rsidRDefault="001F27D2" w:rsidP="001F27D2">
      <w:pPr>
        <w:rPr>
          <w:rFonts w:asciiTheme="minorHAnsi" w:hAnsiTheme="minorHAnsi" w:cs="Calibri"/>
          <w:bCs/>
          <w:color w:val="009999"/>
          <w:kern w:val="32"/>
          <w:sz w:val="40"/>
          <w:szCs w:val="28"/>
        </w:rPr>
      </w:pPr>
      <w:r>
        <w:rPr>
          <w:rFonts w:asciiTheme="minorHAnsi" w:hAnsiTheme="minorHAnsi" w:cs="Calibri"/>
        </w:rPr>
        <w:br w:type="page"/>
      </w:r>
    </w:p>
    <w:p w14:paraId="514F25CF" w14:textId="6423BD47" w:rsidR="001F27D2" w:rsidRDefault="001F27D2" w:rsidP="001F27D2">
      <w:pPr>
        <w:pStyle w:val="Heading1"/>
        <w:numPr>
          <w:ilvl w:val="0"/>
          <w:numId w:val="0"/>
        </w:numPr>
        <w:ind w:left="709" w:hanging="709"/>
        <w:rPr>
          <w:rFonts w:asciiTheme="minorHAnsi" w:hAnsiTheme="minorHAnsi" w:cs="Calibri"/>
        </w:rPr>
      </w:pPr>
      <w:bookmarkStart w:id="876" w:name="_Toc532812457"/>
      <w:r w:rsidRPr="002B2A7F">
        <w:rPr>
          <w:rFonts w:asciiTheme="minorHAnsi" w:hAnsiTheme="minorHAnsi" w:cs="Calibri"/>
        </w:rPr>
        <w:lastRenderedPageBreak/>
        <w:t xml:space="preserve">Technical Appendix </w:t>
      </w:r>
      <w:r>
        <w:rPr>
          <w:rFonts w:asciiTheme="minorHAnsi" w:hAnsiTheme="minorHAnsi" w:cs="Calibri"/>
        </w:rPr>
        <w:t>D</w:t>
      </w:r>
      <w:r w:rsidRPr="002B2A7F">
        <w:rPr>
          <w:rFonts w:asciiTheme="minorHAnsi" w:hAnsiTheme="minorHAnsi" w:cs="Calibri"/>
        </w:rPr>
        <w:t xml:space="preserve">: </w:t>
      </w:r>
      <w:r>
        <w:rPr>
          <w:rFonts w:asciiTheme="minorHAnsi" w:hAnsiTheme="minorHAnsi" w:cs="Calibri"/>
        </w:rPr>
        <w:t>Stakeholder views</w:t>
      </w:r>
      <w:bookmarkEnd w:id="876"/>
    </w:p>
    <w:p w14:paraId="4A213B89" w14:textId="77777777" w:rsidR="00F835A8" w:rsidRPr="00F835A8" w:rsidRDefault="00F835A8" w:rsidP="00F835A8"/>
    <w:p w14:paraId="646A6278" w14:textId="77777777" w:rsidR="001F27D2" w:rsidRPr="00314506" w:rsidRDefault="001F27D2" w:rsidP="00F835A8">
      <w:pPr>
        <w:pStyle w:val="Heading2"/>
        <w:rPr>
          <w:color w:val="FF0000"/>
        </w:rPr>
      </w:pPr>
      <w:bookmarkStart w:id="877" w:name="_Toc532812458"/>
      <w:r w:rsidRPr="002C3153">
        <w:t>General</w:t>
      </w:r>
      <w:r>
        <w:t xml:space="preserve"> </w:t>
      </w:r>
      <w:r w:rsidRPr="000C2C5C">
        <w:t>Stakeholder</w:t>
      </w:r>
      <w:r w:rsidRPr="00314506">
        <w:t xml:space="preserve"> </w:t>
      </w:r>
      <w:r w:rsidRPr="00F835A8">
        <w:t>Responses</w:t>
      </w:r>
      <w:r w:rsidRPr="00314506">
        <w:t xml:space="preserve"> Summary</w:t>
      </w:r>
      <w:bookmarkEnd w:id="877"/>
      <w:r w:rsidRPr="00314506">
        <w:t xml:space="preserve"> </w:t>
      </w:r>
    </w:p>
    <w:p w14:paraId="0B8487D5" w14:textId="77777777" w:rsidR="001F27D2" w:rsidRPr="007912E6" w:rsidRDefault="001F27D2" w:rsidP="007D2B69">
      <w:pPr>
        <w:pStyle w:val="Maintext"/>
        <w:numPr>
          <w:ilvl w:val="1"/>
          <w:numId w:val="36"/>
        </w:numPr>
        <w:spacing w:before="0"/>
      </w:pPr>
      <w:r w:rsidRPr="00314506">
        <w:t xml:space="preserve">Stakeholders were invited to participate in a questionnaire survey aimed at identifying a </w:t>
      </w:r>
      <w:r w:rsidRPr="004927C2">
        <w:rPr>
          <w:rFonts w:asciiTheme="minorHAnsi" w:hAnsiTheme="minorHAnsi" w:cs="Calibri"/>
        </w:rPr>
        <w:t>range</w:t>
      </w:r>
      <w:r w:rsidRPr="00314506">
        <w:t xml:space="preserve"> of information, including establishing the key perceived housing market issues in </w:t>
      </w:r>
      <w:r>
        <w:t>Eden</w:t>
      </w:r>
      <w:r w:rsidRPr="00314506">
        <w:t xml:space="preserve">. Stakeholders were asked to respond to any of the questions within the survey that they felt related to their area of knowledge or experience. A total of </w:t>
      </w:r>
      <w:r>
        <w:t>24</w:t>
      </w:r>
      <w:r w:rsidRPr="007912E6">
        <w:t xml:space="preserve"> separate responses to the stakeholder consultation were obtained. This is a qualitative summary of the views expressed by stakeholders responding to the online survey.  </w:t>
      </w:r>
    </w:p>
    <w:p w14:paraId="765BADAC" w14:textId="77777777" w:rsidR="001F27D2" w:rsidRPr="0000263D" w:rsidRDefault="001F27D2" w:rsidP="00F835A8"/>
    <w:p w14:paraId="3622A1A3" w14:textId="77777777" w:rsidR="001F27D2" w:rsidRPr="0000263D" w:rsidRDefault="001F27D2" w:rsidP="00F835A8">
      <w:pPr>
        <w:pStyle w:val="Heading3"/>
      </w:pPr>
      <w:r w:rsidRPr="0000263D">
        <w:t xml:space="preserve">Priorities </w:t>
      </w:r>
    </w:p>
    <w:p w14:paraId="699FB152" w14:textId="06E22EC2" w:rsidR="001F27D2" w:rsidRPr="00F835A8" w:rsidRDefault="001F27D2" w:rsidP="007D2B69">
      <w:pPr>
        <w:pStyle w:val="Maintext"/>
        <w:numPr>
          <w:ilvl w:val="1"/>
          <w:numId w:val="36"/>
        </w:numPr>
        <w:spacing w:before="0"/>
      </w:pPr>
      <w:r w:rsidRPr="00F835A8">
        <w:t xml:space="preserve">Stakeholders were asked to rank a range of housing priorities as high, medium or low, their responses are summarised in Table </w:t>
      </w:r>
      <w:r w:rsidR="00F835A8" w:rsidRPr="00F835A8">
        <w:t>D.1</w:t>
      </w:r>
      <w:r w:rsidRPr="00F835A8">
        <w:t xml:space="preserve">. </w:t>
      </w:r>
    </w:p>
    <w:p w14:paraId="2E627F17" w14:textId="77777777" w:rsidR="001F27D2" w:rsidRPr="00F835A8" w:rsidRDefault="001F27D2" w:rsidP="001F27D2">
      <w:pPr>
        <w:pStyle w:val="Maintext"/>
        <w:numPr>
          <w:ilvl w:val="0"/>
          <w:numId w:val="0"/>
        </w:numPr>
        <w:ind w:left="709"/>
        <w:rPr>
          <w:rFonts w:cs="Calibri"/>
        </w:rPr>
      </w:pP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shd w:val="clear" w:color="auto" w:fill="FFFFFF"/>
        <w:tblCellMar>
          <w:top w:w="30" w:type="dxa"/>
          <w:left w:w="30" w:type="dxa"/>
          <w:bottom w:w="30" w:type="dxa"/>
          <w:right w:w="30" w:type="dxa"/>
        </w:tblCellMar>
        <w:tblLook w:val="04A0" w:firstRow="1" w:lastRow="0" w:firstColumn="1" w:lastColumn="0" w:noHBand="0" w:noVBand="1"/>
      </w:tblPr>
      <w:tblGrid>
        <w:gridCol w:w="5989"/>
        <w:gridCol w:w="1181"/>
        <w:gridCol w:w="1013"/>
        <w:gridCol w:w="997"/>
      </w:tblGrid>
      <w:tr w:rsidR="001F27D2" w:rsidRPr="00F835A8" w14:paraId="3E7AAD2F" w14:textId="77777777" w:rsidTr="00F835A8">
        <w:trPr>
          <w:tblHeader/>
        </w:trPr>
        <w:tc>
          <w:tcPr>
            <w:tcW w:w="5000" w:type="pct"/>
            <w:gridSpan w:val="4"/>
            <w:shd w:val="clear" w:color="auto" w:fill="009999"/>
            <w:tcMar>
              <w:top w:w="120" w:type="dxa"/>
              <w:left w:w="120" w:type="dxa"/>
              <w:bottom w:w="120" w:type="dxa"/>
              <w:right w:w="120" w:type="dxa"/>
            </w:tcMar>
            <w:vAlign w:val="bottom"/>
          </w:tcPr>
          <w:p w14:paraId="13B26934" w14:textId="2A6B65C2" w:rsidR="001F27D2" w:rsidRPr="00F835A8" w:rsidRDefault="001F27D2" w:rsidP="00F835A8">
            <w:pPr>
              <w:pStyle w:val="Tableheading1"/>
              <w:spacing w:before="0" w:after="0"/>
              <w:rPr>
                <w:lang w:eastAsia="en-GB"/>
              </w:rPr>
            </w:pPr>
            <w:bookmarkStart w:id="878" w:name="_Toc532812522"/>
            <w:r w:rsidRPr="00F835A8">
              <w:t xml:space="preserve">Table </w:t>
            </w:r>
            <w:r w:rsidR="00F835A8" w:rsidRPr="00F835A8">
              <w:t>D1</w:t>
            </w:r>
            <w:r w:rsidRPr="00F835A8">
              <w:tab/>
              <w:t>Ranking of priorities by stakeholders</w:t>
            </w:r>
            <w:bookmarkEnd w:id="878"/>
            <w:r w:rsidRPr="00F835A8">
              <w:t xml:space="preserve">  </w:t>
            </w:r>
          </w:p>
        </w:tc>
      </w:tr>
      <w:tr w:rsidR="001F27D2" w:rsidRPr="00F835A8" w14:paraId="3C88F012" w14:textId="77777777" w:rsidTr="00F835A8">
        <w:trPr>
          <w:tblHeader/>
        </w:trPr>
        <w:tc>
          <w:tcPr>
            <w:tcW w:w="3296" w:type="pct"/>
            <w:shd w:val="clear" w:color="auto" w:fill="009999"/>
            <w:tcMar>
              <w:top w:w="120" w:type="dxa"/>
              <w:left w:w="120" w:type="dxa"/>
              <w:bottom w:w="120" w:type="dxa"/>
              <w:right w:w="120" w:type="dxa"/>
            </w:tcMar>
            <w:vAlign w:val="bottom"/>
          </w:tcPr>
          <w:p w14:paraId="0352ADE2" w14:textId="77777777" w:rsidR="001F27D2" w:rsidRPr="00F835A8" w:rsidRDefault="001F27D2" w:rsidP="00F835A8">
            <w:pPr>
              <w:spacing w:before="0" w:after="0"/>
              <w:rPr>
                <w:rFonts w:cs="Calibri"/>
                <w:b/>
                <w:bCs/>
                <w:color w:val="FFFFFF"/>
                <w:sz w:val="22"/>
                <w:szCs w:val="22"/>
                <w:lang w:eastAsia="en-GB"/>
              </w:rPr>
            </w:pPr>
            <w:r w:rsidRPr="00F835A8">
              <w:rPr>
                <w:rFonts w:cs="Calibri"/>
                <w:b/>
                <w:bCs/>
                <w:color w:val="FFFFFF"/>
                <w:sz w:val="22"/>
                <w:szCs w:val="22"/>
                <w:lang w:eastAsia="en-GB"/>
              </w:rPr>
              <w:t>Proposed priorities (base number of responses in brackets)</w:t>
            </w:r>
          </w:p>
        </w:tc>
        <w:tc>
          <w:tcPr>
            <w:tcW w:w="677" w:type="pct"/>
            <w:shd w:val="clear" w:color="auto" w:fill="009999"/>
            <w:tcMar>
              <w:top w:w="120" w:type="dxa"/>
              <w:left w:w="120" w:type="dxa"/>
              <w:bottom w:w="120" w:type="dxa"/>
              <w:right w:w="120" w:type="dxa"/>
            </w:tcMar>
            <w:vAlign w:val="bottom"/>
          </w:tcPr>
          <w:p w14:paraId="15E5675C" w14:textId="77777777" w:rsidR="001F27D2" w:rsidRPr="00F835A8" w:rsidRDefault="001F27D2" w:rsidP="00F835A8">
            <w:pPr>
              <w:spacing w:before="0" w:after="0"/>
              <w:jc w:val="center"/>
              <w:rPr>
                <w:rFonts w:cs="Calibri"/>
                <w:b/>
                <w:bCs/>
                <w:color w:val="FFFFFF"/>
                <w:sz w:val="22"/>
                <w:szCs w:val="22"/>
                <w:lang w:eastAsia="en-GB"/>
              </w:rPr>
            </w:pPr>
            <w:r w:rsidRPr="00F835A8">
              <w:rPr>
                <w:rFonts w:cs="Calibri"/>
                <w:b/>
                <w:bCs/>
                <w:color w:val="FFFFFF"/>
                <w:sz w:val="22"/>
                <w:szCs w:val="22"/>
                <w:lang w:eastAsia="en-GB"/>
              </w:rPr>
              <w:t>Low</w:t>
            </w:r>
          </w:p>
        </w:tc>
        <w:tc>
          <w:tcPr>
            <w:tcW w:w="450" w:type="pct"/>
            <w:shd w:val="clear" w:color="auto" w:fill="009999"/>
            <w:tcMar>
              <w:top w:w="120" w:type="dxa"/>
              <w:left w:w="120" w:type="dxa"/>
              <w:bottom w:w="120" w:type="dxa"/>
              <w:right w:w="120" w:type="dxa"/>
            </w:tcMar>
            <w:vAlign w:val="bottom"/>
          </w:tcPr>
          <w:p w14:paraId="1CBAE701" w14:textId="77777777" w:rsidR="001F27D2" w:rsidRPr="00F835A8" w:rsidRDefault="001F27D2" w:rsidP="00F835A8">
            <w:pPr>
              <w:spacing w:before="0" w:after="0"/>
              <w:jc w:val="center"/>
              <w:rPr>
                <w:rFonts w:cs="Calibri"/>
                <w:b/>
                <w:bCs/>
                <w:color w:val="FFFFFF"/>
                <w:sz w:val="22"/>
                <w:szCs w:val="22"/>
                <w:lang w:eastAsia="en-GB"/>
              </w:rPr>
            </w:pPr>
            <w:r w:rsidRPr="00F835A8">
              <w:rPr>
                <w:rFonts w:cs="Calibri"/>
                <w:b/>
                <w:bCs/>
                <w:color w:val="FFFFFF"/>
                <w:sz w:val="22"/>
                <w:szCs w:val="22"/>
                <w:lang w:eastAsia="en-GB"/>
              </w:rPr>
              <w:t>Medium</w:t>
            </w:r>
          </w:p>
        </w:tc>
        <w:tc>
          <w:tcPr>
            <w:tcW w:w="577" w:type="pct"/>
            <w:shd w:val="clear" w:color="auto" w:fill="009999"/>
            <w:tcMar>
              <w:top w:w="120" w:type="dxa"/>
              <w:left w:w="120" w:type="dxa"/>
              <w:bottom w:w="120" w:type="dxa"/>
              <w:right w:w="120" w:type="dxa"/>
            </w:tcMar>
            <w:vAlign w:val="bottom"/>
          </w:tcPr>
          <w:p w14:paraId="493CCCC8" w14:textId="77777777" w:rsidR="001F27D2" w:rsidRPr="00F835A8" w:rsidRDefault="001F27D2" w:rsidP="00F835A8">
            <w:pPr>
              <w:spacing w:before="0" w:after="0"/>
              <w:jc w:val="center"/>
              <w:rPr>
                <w:rFonts w:cs="Calibri"/>
                <w:b/>
                <w:bCs/>
                <w:color w:val="FFFFFF"/>
                <w:sz w:val="22"/>
                <w:szCs w:val="22"/>
                <w:lang w:eastAsia="en-GB"/>
              </w:rPr>
            </w:pPr>
            <w:r w:rsidRPr="00F835A8">
              <w:rPr>
                <w:rFonts w:cs="Calibri"/>
                <w:b/>
                <w:bCs/>
                <w:color w:val="FFFFFF"/>
                <w:sz w:val="22"/>
                <w:szCs w:val="22"/>
                <w:lang w:eastAsia="en-GB"/>
              </w:rPr>
              <w:t>High</w:t>
            </w:r>
          </w:p>
        </w:tc>
      </w:tr>
      <w:tr w:rsidR="001F27D2" w:rsidRPr="00F835A8" w14:paraId="1D8B3545" w14:textId="77777777" w:rsidTr="00F835A8">
        <w:tc>
          <w:tcPr>
            <w:tcW w:w="3296" w:type="pct"/>
            <w:shd w:val="clear" w:color="auto" w:fill="auto"/>
            <w:tcMar>
              <w:top w:w="75" w:type="dxa"/>
              <w:left w:w="75" w:type="dxa"/>
              <w:bottom w:w="75" w:type="dxa"/>
              <w:right w:w="75" w:type="dxa"/>
            </w:tcMar>
          </w:tcPr>
          <w:p w14:paraId="6C6EAD17" w14:textId="77777777" w:rsidR="001F27D2" w:rsidRPr="00F835A8" w:rsidRDefault="001F27D2" w:rsidP="00F835A8">
            <w:pPr>
              <w:spacing w:before="0" w:after="0"/>
              <w:rPr>
                <w:rFonts w:cs="Calibri"/>
                <w:sz w:val="22"/>
                <w:szCs w:val="22"/>
              </w:rPr>
            </w:pPr>
            <w:r w:rsidRPr="00F835A8">
              <w:rPr>
                <w:rFonts w:cs="Calibri"/>
                <w:sz w:val="22"/>
                <w:szCs w:val="22"/>
              </w:rPr>
              <w:t>Building homes to buy on the open market (21)</w:t>
            </w:r>
          </w:p>
        </w:tc>
        <w:tc>
          <w:tcPr>
            <w:tcW w:w="677" w:type="pct"/>
            <w:shd w:val="clear" w:color="auto" w:fill="auto"/>
            <w:vAlign w:val="center"/>
          </w:tcPr>
          <w:p w14:paraId="6CF3414A" w14:textId="77777777" w:rsidR="001F27D2" w:rsidRPr="00F835A8" w:rsidRDefault="001F27D2" w:rsidP="00F835A8">
            <w:pPr>
              <w:spacing w:before="0" w:after="0"/>
              <w:jc w:val="center"/>
              <w:rPr>
                <w:rFonts w:cs="Calibri"/>
                <w:sz w:val="22"/>
                <w:szCs w:val="22"/>
              </w:rPr>
            </w:pPr>
            <w:r w:rsidRPr="00F835A8">
              <w:rPr>
                <w:rFonts w:cs="Calibri"/>
                <w:sz w:val="22"/>
                <w:szCs w:val="22"/>
              </w:rPr>
              <w:t>23.81%</w:t>
            </w:r>
          </w:p>
        </w:tc>
        <w:tc>
          <w:tcPr>
            <w:tcW w:w="450" w:type="pct"/>
            <w:shd w:val="clear" w:color="auto" w:fill="auto"/>
            <w:vAlign w:val="center"/>
          </w:tcPr>
          <w:p w14:paraId="4B1CB07D" w14:textId="77777777" w:rsidR="001F27D2" w:rsidRPr="00F835A8" w:rsidRDefault="001F27D2" w:rsidP="00F835A8">
            <w:pPr>
              <w:spacing w:before="0" w:after="0"/>
              <w:jc w:val="center"/>
              <w:rPr>
                <w:rFonts w:cs="Calibri"/>
                <w:sz w:val="22"/>
                <w:szCs w:val="22"/>
              </w:rPr>
            </w:pPr>
            <w:r w:rsidRPr="00F835A8">
              <w:rPr>
                <w:rFonts w:cs="Calibri"/>
                <w:sz w:val="22"/>
                <w:szCs w:val="22"/>
              </w:rPr>
              <w:t>42.86%</w:t>
            </w:r>
          </w:p>
        </w:tc>
        <w:tc>
          <w:tcPr>
            <w:tcW w:w="577" w:type="pct"/>
            <w:shd w:val="clear" w:color="auto" w:fill="auto"/>
            <w:vAlign w:val="center"/>
          </w:tcPr>
          <w:p w14:paraId="26AB87F3" w14:textId="77777777" w:rsidR="001F27D2" w:rsidRPr="00F835A8" w:rsidRDefault="001F27D2" w:rsidP="00F835A8">
            <w:pPr>
              <w:spacing w:before="0" w:after="0"/>
              <w:jc w:val="center"/>
              <w:rPr>
                <w:rFonts w:cs="Calibri"/>
                <w:sz w:val="22"/>
                <w:szCs w:val="22"/>
              </w:rPr>
            </w:pPr>
            <w:r w:rsidRPr="00F835A8">
              <w:rPr>
                <w:rFonts w:cs="Calibri"/>
                <w:sz w:val="22"/>
                <w:szCs w:val="22"/>
              </w:rPr>
              <w:t>33.33%</w:t>
            </w:r>
          </w:p>
        </w:tc>
      </w:tr>
      <w:tr w:rsidR="001F27D2" w:rsidRPr="00F835A8" w14:paraId="59B9DD58" w14:textId="77777777" w:rsidTr="00F835A8">
        <w:tc>
          <w:tcPr>
            <w:tcW w:w="3296" w:type="pct"/>
            <w:shd w:val="clear" w:color="auto" w:fill="auto"/>
            <w:tcMar>
              <w:top w:w="75" w:type="dxa"/>
              <w:left w:w="75" w:type="dxa"/>
              <w:bottom w:w="75" w:type="dxa"/>
              <w:right w:w="75" w:type="dxa"/>
            </w:tcMar>
          </w:tcPr>
          <w:p w14:paraId="00875031" w14:textId="77777777" w:rsidR="001F27D2" w:rsidRPr="00F835A8" w:rsidRDefault="001F27D2" w:rsidP="00F835A8">
            <w:pPr>
              <w:spacing w:before="0" w:after="0"/>
              <w:rPr>
                <w:rFonts w:cs="Calibri"/>
                <w:sz w:val="22"/>
                <w:szCs w:val="22"/>
              </w:rPr>
            </w:pPr>
            <w:r w:rsidRPr="00F835A8">
              <w:rPr>
                <w:rFonts w:cs="Calibri"/>
                <w:sz w:val="22"/>
                <w:szCs w:val="22"/>
              </w:rPr>
              <w:t>Building affordable homes to rent (21)</w:t>
            </w:r>
          </w:p>
        </w:tc>
        <w:tc>
          <w:tcPr>
            <w:tcW w:w="677" w:type="pct"/>
            <w:shd w:val="clear" w:color="auto" w:fill="auto"/>
            <w:vAlign w:val="center"/>
          </w:tcPr>
          <w:p w14:paraId="621C1D26" w14:textId="77777777" w:rsidR="001F27D2" w:rsidRPr="00F835A8" w:rsidRDefault="001F27D2" w:rsidP="00F835A8">
            <w:pPr>
              <w:spacing w:before="0" w:after="0"/>
              <w:jc w:val="center"/>
              <w:rPr>
                <w:rFonts w:cs="Calibri"/>
                <w:sz w:val="22"/>
                <w:szCs w:val="22"/>
              </w:rPr>
            </w:pPr>
            <w:r w:rsidRPr="00F835A8">
              <w:rPr>
                <w:rFonts w:cs="Calibri"/>
                <w:sz w:val="22"/>
                <w:szCs w:val="22"/>
              </w:rPr>
              <w:t>4.76%</w:t>
            </w:r>
          </w:p>
        </w:tc>
        <w:tc>
          <w:tcPr>
            <w:tcW w:w="450" w:type="pct"/>
            <w:shd w:val="clear" w:color="auto" w:fill="auto"/>
            <w:vAlign w:val="center"/>
          </w:tcPr>
          <w:p w14:paraId="6B97213B" w14:textId="77777777" w:rsidR="001F27D2" w:rsidRPr="00F835A8" w:rsidRDefault="001F27D2" w:rsidP="00F835A8">
            <w:pPr>
              <w:spacing w:before="0" w:after="0"/>
              <w:jc w:val="center"/>
              <w:rPr>
                <w:rFonts w:cs="Calibri"/>
                <w:sz w:val="22"/>
                <w:szCs w:val="22"/>
              </w:rPr>
            </w:pPr>
            <w:r w:rsidRPr="00F835A8">
              <w:rPr>
                <w:rFonts w:cs="Calibri"/>
                <w:sz w:val="22"/>
                <w:szCs w:val="22"/>
              </w:rPr>
              <w:t>23.81%</w:t>
            </w:r>
          </w:p>
        </w:tc>
        <w:tc>
          <w:tcPr>
            <w:tcW w:w="577" w:type="pct"/>
            <w:shd w:val="clear" w:color="auto" w:fill="auto"/>
            <w:vAlign w:val="center"/>
          </w:tcPr>
          <w:p w14:paraId="1FE2C55A" w14:textId="77777777" w:rsidR="001F27D2" w:rsidRPr="00F835A8" w:rsidRDefault="001F27D2" w:rsidP="00F835A8">
            <w:pPr>
              <w:spacing w:before="0" w:after="0"/>
              <w:jc w:val="center"/>
              <w:rPr>
                <w:rFonts w:cs="Calibri"/>
                <w:sz w:val="22"/>
                <w:szCs w:val="22"/>
              </w:rPr>
            </w:pPr>
            <w:r w:rsidRPr="00F835A8">
              <w:rPr>
                <w:rFonts w:cs="Calibri"/>
                <w:sz w:val="22"/>
                <w:szCs w:val="22"/>
              </w:rPr>
              <w:t>71.43%</w:t>
            </w:r>
          </w:p>
        </w:tc>
      </w:tr>
      <w:tr w:rsidR="001F27D2" w:rsidRPr="00F835A8" w14:paraId="264A5F90" w14:textId="77777777" w:rsidTr="00F835A8">
        <w:tc>
          <w:tcPr>
            <w:tcW w:w="3296" w:type="pct"/>
            <w:shd w:val="clear" w:color="auto" w:fill="auto"/>
            <w:tcMar>
              <w:top w:w="75" w:type="dxa"/>
              <w:left w:w="75" w:type="dxa"/>
              <w:bottom w:w="75" w:type="dxa"/>
              <w:right w:w="75" w:type="dxa"/>
            </w:tcMar>
          </w:tcPr>
          <w:p w14:paraId="4A6D5608" w14:textId="77777777" w:rsidR="001F27D2" w:rsidRPr="00F835A8" w:rsidRDefault="001F27D2" w:rsidP="00F835A8">
            <w:pPr>
              <w:spacing w:before="0" w:after="0"/>
              <w:rPr>
                <w:rFonts w:cs="Calibri"/>
                <w:sz w:val="22"/>
                <w:szCs w:val="22"/>
              </w:rPr>
            </w:pPr>
            <w:r w:rsidRPr="00F835A8">
              <w:rPr>
                <w:rFonts w:cs="Calibri"/>
                <w:sz w:val="22"/>
                <w:szCs w:val="22"/>
              </w:rPr>
              <w:t>Building affordable homes to buy (shared ownership, shared equity, starter homes, discounted sale) (21)</w:t>
            </w:r>
          </w:p>
        </w:tc>
        <w:tc>
          <w:tcPr>
            <w:tcW w:w="677" w:type="pct"/>
            <w:shd w:val="clear" w:color="auto" w:fill="auto"/>
            <w:vAlign w:val="center"/>
          </w:tcPr>
          <w:p w14:paraId="5F8A3B4F" w14:textId="77777777" w:rsidR="001F27D2" w:rsidRPr="00F835A8" w:rsidRDefault="001F27D2" w:rsidP="00F835A8">
            <w:pPr>
              <w:spacing w:before="0" w:after="0"/>
              <w:jc w:val="center"/>
              <w:rPr>
                <w:rFonts w:cs="Calibri"/>
                <w:sz w:val="22"/>
                <w:szCs w:val="22"/>
              </w:rPr>
            </w:pPr>
            <w:r w:rsidRPr="00F835A8">
              <w:rPr>
                <w:rFonts w:cs="Calibri"/>
                <w:sz w:val="22"/>
                <w:szCs w:val="22"/>
              </w:rPr>
              <w:t>4.76%</w:t>
            </w:r>
          </w:p>
        </w:tc>
        <w:tc>
          <w:tcPr>
            <w:tcW w:w="450" w:type="pct"/>
            <w:shd w:val="clear" w:color="auto" w:fill="auto"/>
            <w:vAlign w:val="center"/>
          </w:tcPr>
          <w:p w14:paraId="55122DB3" w14:textId="77777777" w:rsidR="001F27D2" w:rsidRPr="00F835A8" w:rsidRDefault="001F27D2" w:rsidP="00F835A8">
            <w:pPr>
              <w:spacing w:before="0" w:after="0"/>
              <w:jc w:val="center"/>
              <w:rPr>
                <w:rFonts w:cs="Calibri"/>
                <w:sz w:val="22"/>
                <w:szCs w:val="22"/>
              </w:rPr>
            </w:pPr>
            <w:r w:rsidRPr="00F835A8">
              <w:rPr>
                <w:rFonts w:cs="Calibri"/>
                <w:sz w:val="22"/>
                <w:szCs w:val="22"/>
              </w:rPr>
              <w:t>28.57%</w:t>
            </w:r>
          </w:p>
        </w:tc>
        <w:tc>
          <w:tcPr>
            <w:tcW w:w="577" w:type="pct"/>
            <w:shd w:val="clear" w:color="auto" w:fill="auto"/>
            <w:vAlign w:val="center"/>
          </w:tcPr>
          <w:p w14:paraId="35700A5D" w14:textId="77777777" w:rsidR="001F27D2" w:rsidRPr="00F835A8" w:rsidRDefault="001F27D2" w:rsidP="00F835A8">
            <w:pPr>
              <w:spacing w:before="0" w:after="0"/>
              <w:jc w:val="center"/>
              <w:rPr>
                <w:rFonts w:cs="Calibri"/>
                <w:sz w:val="22"/>
                <w:szCs w:val="22"/>
              </w:rPr>
            </w:pPr>
            <w:r w:rsidRPr="00F835A8">
              <w:rPr>
                <w:rFonts w:cs="Calibri"/>
                <w:sz w:val="22"/>
                <w:szCs w:val="22"/>
              </w:rPr>
              <w:t>66.67%</w:t>
            </w:r>
          </w:p>
        </w:tc>
      </w:tr>
      <w:tr w:rsidR="001F27D2" w:rsidRPr="00F835A8" w14:paraId="35BB0432" w14:textId="77777777" w:rsidTr="00F835A8">
        <w:tc>
          <w:tcPr>
            <w:tcW w:w="3296" w:type="pct"/>
            <w:shd w:val="clear" w:color="auto" w:fill="auto"/>
            <w:tcMar>
              <w:top w:w="75" w:type="dxa"/>
              <w:left w:w="75" w:type="dxa"/>
              <w:bottom w:w="75" w:type="dxa"/>
              <w:right w:w="75" w:type="dxa"/>
            </w:tcMar>
          </w:tcPr>
          <w:p w14:paraId="0E40DF9F" w14:textId="77777777" w:rsidR="001F27D2" w:rsidRPr="00F835A8" w:rsidRDefault="001F27D2" w:rsidP="00F835A8">
            <w:pPr>
              <w:spacing w:before="0" w:after="0"/>
              <w:rPr>
                <w:rFonts w:cs="Calibri"/>
                <w:sz w:val="22"/>
                <w:szCs w:val="22"/>
              </w:rPr>
            </w:pPr>
            <w:r w:rsidRPr="00F835A8">
              <w:rPr>
                <w:rFonts w:cs="Calibri"/>
                <w:sz w:val="22"/>
                <w:szCs w:val="22"/>
              </w:rPr>
              <w:t>Building executive homes (20)</w:t>
            </w:r>
          </w:p>
        </w:tc>
        <w:tc>
          <w:tcPr>
            <w:tcW w:w="677" w:type="pct"/>
            <w:shd w:val="clear" w:color="auto" w:fill="auto"/>
            <w:vAlign w:val="center"/>
          </w:tcPr>
          <w:p w14:paraId="69CF951A" w14:textId="77777777" w:rsidR="001F27D2" w:rsidRPr="00F835A8" w:rsidRDefault="001F27D2" w:rsidP="00F835A8">
            <w:pPr>
              <w:spacing w:before="0" w:after="0"/>
              <w:jc w:val="center"/>
              <w:rPr>
                <w:rFonts w:cs="Calibri"/>
                <w:sz w:val="22"/>
                <w:szCs w:val="22"/>
              </w:rPr>
            </w:pPr>
            <w:r w:rsidRPr="00F835A8">
              <w:rPr>
                <w:rFonts w:cs="Calibri"/>
                <w:sz w:val="22"/>
                <w:szCs w:val="22"/>
              </w:rPr>
              <w:t>40%</w:t>
            </w:r>
          </w:p>
        </w:tc>
        <w:tc>
          <w:tcPr>
            <w:tcW w:w="450" w:type="pct"/>
            <w:shd w:val="clear" w:color="auto" w:fill="auto"/>
            <w:vAlign w:val="center"/>
          </w:tcPr>
          <w:p w14:paraId="5B97E514" w14:textId="77777777" w:rsidR="001F27D2" w:rsidRPr="00F835A8" w:rsidRDefault="001F27D2" w:rsidP="00F835A8">
            <w:pPr>
              <w:spacing w:before="0" w:after="0"/>
              <w:jc w:val="center"/>
              <w:rPr>
                <w:rFonts w:cs="Calibri"/>
                <w:sz w:val="22"/>
                <w:szCs w:val="22"/>
              </w:rPr>
            </w:pPr>
            <w:r w:rsidRPr="00F835A8">
              <w:rPr>
                <w:rFonts w:cs="Calibri"/>
                <w:sz w:val="22"/>
                <w:szCs w:val="22"/>
              </w:rPr>
              <w:t>50%</w:t>
            </w:r>
          </w:p>
        </w:tc>
        <w:tc>
          <w:tcPr>
            <w:tcW w:w="577" w:type="pct"/>
            <w:shd w:val="clear" w:color="auto" w:fill="auto"/>
            <w:vAlign w:val="center"/>
          </w:tcPr>
          <w:p w14:paraId="6D3C19E9" w14:textId="77777777" w:rsidR="001F27D2" w:rsidRPr="00F835A8" w:rsidRDefault="001F27D2" w:rsidP="00F835A8">
            <w:pPr>
              <w:spacing w:before="0" w:after="0"/>
              <w:jc w:val="center"/>
              <w:rPr>
                <w:rFonts w:cs="Calibri"/>
                <w:sz w:val="22"/>
                <w:szCs w:val="22"/>
              </w:rPr>
            </w:pPr>
            <w:r w:rsidRPr="00F835A8">
              <w:rPr>
                <w:rFonts w:cs="Calibri"/>
                <w:sz w:val="22"/>
                <w:szCs w:val="22"/>
              </w:rPr>
              <w:t>10%</w:t>
            </w:r>
          </w:p>
        </w:tc>
      </w:tr>
      <w:tr w:rsidR="001F27D2" w:rsidRPr="00F835A8" w14:paraId="5BA82CD7" w14:textId="77777777" w:rsidTr="00F835A8">
        <w:tc>
          <w:tcPr>
            <w:tcW w:w="3296" w:type="pct"/>
            <w:shd w:val="clear" w:color="auto" w:fill="auto"/>
            <w:tcMar>
              <w:top w:w="75" w:type="dxa"/>
              <w:left w:w="75" w:type="dxa"/>
              <w:bottom w:w="75" w:type="dxa"/>
              <w:right w:w="75" w:type="dxa"/>
            </w:tcMar>
          </w:tcPr>
          <w:p w14:paraId="629CB213" w14:textId="77777777" w:rsidR="001F27D2" w:rsidRPr="00F835A8" w:rsidRDefault="001F27D2" w:rsidP="00F835A8">
            <w:pPr>
              <w:spacing w:before="0" w:after="0"/>
              <w:rPr>
                <w:rFonts w:cs="Calibri"/>
                <w:sz w:val="22"/>
                <w:szCs w:val="22"/>
              </w:rPr>
            </w:pPr>
            <w:r w:rsidRPr="00F835A8">
              <w:rPr>
                <w:rFonts w:cs="Calibri"/>
                <w:sz w:val="22"/>
                <w:szCs w:val="22"/>
              </w:rPr>
              <w:t>Building properties designed for older people (21)</w:t>
            </w:r>
          </w:p>
        </w:tc>
        <w:tc>
          <w:tcPr>
            <w:tcW w:w="677" w:type="pct"/>
            <w:shd w:val="clear" w:color="auto" w:fill="auto"/>
            <w:vAlign w:val="center"/>
          </w:tcPr>
          <w:p w14:paraId="306880C8" w14:textId="77777777" w:rsidR="001F27D2" w:rsidRPr="00F835A8" w:rsidRDefault="001F27D2" w:rsidP="00F835A8">
            <w:pPr>
              <w:spacing w:before="0" w:after="0"/>
              <w:jc w:val="center"/>
              <w:rPr>
                <w:rFonts w:cs="Calibri"/>
                <w:sz w:val="22"/>
                <w:szCs w:val="22"/>
              </w:rPr>
            </w:pPr>
            <w:r w:rsidRPr="00F835A8">
              <w:rPr>
                <w:rFonts w:cs="Calibri"/>
                <w:sz w:val="22"/>
                <w:szCs w:val="22"/>
              </w:rPr>
              <w:t>4.76%</w:t>
            </w:r>
          </w:p>
        </w:tc>
        <w:tc>
          <w:tcPr>
            <w:tcW w:w="450" w:type="pct"/>
            <w:shd w:val="clear" w:color="auto" w:fill="auto"/>
            <w:vAlign w:val="center"/>
          </w:tcPr>
          <w:p w14:paraId="3421587E" w14:textId="77777777" w:rsidR="001F27D2" w:rsidRPr="00F835A8" w:rsidRDefault="001F27D2" w:rsidP="00F835A8">
            <w:pPr>
              <w:spacing w:before="0" w:after="0"/>
              <w:jc w:val="center"/>
              <w:rPr>
                <w:rFonts w:cs="Calibri"/>
                <w:sz w:val="22"/>
                <w:szCs w:val="22"/>
              </w:rPr>
            </w:pPr>
            <w:r w:rsidRPr="00F835A8">
              <w:rPr>
                <w:rFonts w:cs="Calibri"/>
                <w:sz w:val="22"/>
                <w:szCs w:val="22"/>
              </w:rPr>
              <w:t>38.10%</w:t>
            </w:r>
          </w:p>
        </w:tc>
        <w:tc>
          <w:tcPr>
            <w:tcW w:w="577" w:type="pct"/>
            <w:shd w:val="clear" w:color="auto" w:fill="auto"/>
            <w:vAlign w:val="center"/>
          </w:tcPr>
          <w:p w14:paraId="7E4C9976" w14:textId="77777777" w:rsidR="001F27D2" w:rsidRPr="00F835A8" w:rsidRDefault="001F27D2" w:rsidP="00F835A8">
            <w:pPr>
              <w:spacing w:before="0" w:after="0"/>
              <w:jc w:val="center"/>
              <w:rPr>
                <w:rFonts w:cs="Calibri"/>
                <w:sz w:val="22"/>
                <w:szCs w:val="22"/>
              </w:rPr>
            </w:pPr>
            <w:r w:rsidRPr="00F835A8">
              <w:rPr>
                <w:rFonts w:cs="Calibri"/>
                <w:sz w:val="22"/>
                <w:szCs w:val="22"/>
              </w:rPr>
              <w:t>57.14%</w:t>
            </w:r>
          </w:p>
        </w:tc>
      </w:tr>
      <w:tr w:rsidR="001F27D2" w:rsidRPr="00F835A8" w14:paraId="7B280430" w14:textId="77777777" w:rsidTr="00F835A8">
        <w:tc>
          <w:tcPr>
            <w:tcW w:w="3296" w:type="pct"/>
            <w:shd w:val="clear" w:color="auto" w:fill="auto"/>
            <w:tcMar>
              <w:top w:w="75" w:type="dxa"/>
              <w:left w:w="75" w:type="dxa"/>
              <w:bottom w:w="75" w:type="dxa"/>
              <w:right w:w="75" w:type="dxa"/>
            </w:tcMar>
          </w:tcPr>
          <w:p w14:paraId="5DCD2060" w14:textId="77777777" w:rsidR="001F27D2" w:rsidRPr="00F835A8" w:rsidRDefault="001F27D2" w:rsidP="00F835A8">
            <w:pPr>
              <w:spacing w:before="0" w:after="0"/>
              <w:rPr>
                <w:rFonts w:cs="Calibri"/>
                <w:sz w:val="22"/>
                <w:szCs w:val="22"/>
              </w:rPr>
            </w:pPr>
            <w:r w:rsidRPr="00F835A8">
              <w:rPr>
                <w:rFonts w:cs="Calibri"/>
                <w:sz w:val="22"/>
                <w:szCs w:val="22"/>
              </w:rPr>
              <w:t>Building properties designed for people with specialist needs (21)</w:t>
            </w:r>
          </w:p>
        </w:tc>
        <w:tc>
          <w:tcPr>
            <w:tcW w:w="677" w:type="pct"/>
            <w:shd w:val="clear" w:color="auto" w:fill="auto"/>
            <w:vAlign w:val="center"/>
          </w:tcPr>
          <w:p w14:paraId="215FEEC6" w14:textId="77777777" w:rsidR="001F27D2" w:rsidRPr="00F835A8" w:rsidRDefault="001F27D2" w:rsidP="00F835A8">
            <w:pPr>
              <w:spacing w:before="0" w:after="0"/>
              <w:jc w:val="center"/>
              <w:rPr>
                <w:rFonts w:cs="Calibri"/>
                <w:sz w:val="22"/>
                <w:szCs w:val="22"/>
              </w:rPr>
            </w:pPr>
            <w:r w:rsidRPr="00F835A8">
              <w:rPr>
                <w:rFonts w:cs="Calibri"/>
                <w:sz w:val="22"/>
                <w:szCs w:val="22"/>
              </w:rPr>
              <w:t>9.52%</w:t>
            </w:r>
          </w:p>
        </w:tc>
        <w:tc>
          <w:tcPr>
            <w:tcW w:w="450" w:type="pct"/>
            <w:shd w:val="clear" w:color="auto" w:fill="auto"/>
            <w:vAlign w:val="center"/>
          </w:tcPr>
          <w:p w14:paraId="7857EAFB" w14:textId="77777777" w:rsidR="001F27D2" w:rsidRPr="00F835A8" w:rsidRDefault="001F27D2" w:rsidP="00F835A8">
            <w:pPr>
              <w:spacing w:before="0" w:after="0"/>
              <w:jc w:val="center"/>
              <w:rPr>
                <w:rFonts w:cs="Calibri"/>
                <w:sz w:val="22"/>
                <w:szCs w:val="22"/>
              </w:rPr>
            </w:pPr>
            <w:r w:rsidRPr="00F835A8">
              <w:rPr>
                <w:rFonts w:cs="Calibri"/>
                <w:sz w:val="22"/>
                <w:szCs w:val="22"/>
              </w:rPr>
              <w:t>47.62%</w:t>
            </w:r>
          </w:p>
        </w:tc>
        <w:tc>
          <w:tcPr>
            <w:tcW w:w="577" w:type="pct"/>
            <w:shd w:val="clear" w:color="auto" w:fill="auto"/>
            <w:vAlign w:val="center"/>
          </w:tcPr>
          <w:p w14:paraId="5FDEA335" w14:textId="77777777" w:rsidR="001F27D2" w:rsidRPr="00F835A8" w:rsidRDefault="001F27D2" w:rsidP="00F835A8">
            <w:pPr>
              <w:spacing w:before="0" w:after="0"/>
              <w:jc w:val="center"/>
              <w:rPr>
                <w:rFonts w:cs="Calibri"/>
                <w:sz w:val="22"/>
                <w:szCs w:val="22"/>
              </w:rPr>
            </w:pPr>
            <w:r w:rsidRPr="00F835A8">
              <w:rPr>
                <w:rFonts w:cs="Calibri"/>
                <w:sz w:val="22"/>
                <w:szCs w:val="22"/>
              </w:rPr>
              <w:t>42.86%</w:t>
            </w:r>
          </w:p>
        </w:tc>
      </w:tr>
      <w:tr w:rsidR="001F27D2" w:rsidRPr="00F835A8" w14:paraId="39077703" w14:textId="77777777" w:rsidTr="00F835A8">
        <w:tc>
          <w:tcPr>
            <w:tcW w:w="3296" w:type="pct"/>
            <w:shd w:val="clear" w:color="auto" w:fill="auto"/>
            <w:tcMar>
              <w:top w:w="75" w:type="dxa"/>
              <w:left w:w="75" w:type="dxa"/>
              <w:bottom w:w="75" w:type="dxa"/>
              <w:right w:w="75" w:type="dxa"/>
            </w:tcMar>
          </w:tcPr>
          <w:p w14:paraId="4935A0C5" w14:textId="77777777" w:rsidR="001F27D2" w:rsidRPr="00F835A8" w:rsidRDefault="001F27D2" w:rsidP="00F835A8">
            <w:pPr>
              <w:spacing w:before="0" w:after="0"/>
              <w:rPr>
                <w:rFonts w:cs="Calibri"/>
                <w:sz w:val="22"/>
                <w:szCs w:val="22"/>
              </w:rPr>
            </w:pPr>
            <w:r w:rsidRPr="00F835A8">
              <w:rPr>
                <w:rFonts w:cs="Calibri"/>
                <w:sz w:val="22"/>
                <w:szCs w:val="22"/>
              </w:rPr>
              <w:t>Improving the quality of existing stock (21)</w:t>
            </w:r>
          </w:p>
        </w:tc>
        <w:tc>
          <w:tcPr>
            <w:tcW w:w="677" w:type="pct"/>
            <w:shd w:val="clear" w:color="auto" w:fill="auto"/>
            <w:vAlign w:val="center"/>
          </w:tcPr>
          <w:p w14:paraId="29657ECF" w14:textId="77777777" w:rsidR="001F27D2" w:rsidRPr="00F835A8" w:rsidRDefault="001F27D2" w:rsidP="00F835A8">
            <w:pPr>
              <w:spacing w:before="0" w:after="0"/>
              <w:jc w:val="center"/>
              <w:rPr>
                <w:rFonts w:cs="Calibri"/>
                <w:sz w:val="22"/>
                <w:szCs w:val="22"/>
              </w:rPr>
            </w:pPr>
            <w:r w:rsidRPr="00F835A8">
              <w:rPr>
                <w:rFonts w:cs="Calibri"/>
                <w:sz w:val="22"/>
                <w:szCs w:val="22"/>
              </w:rPr>
              <w:t>14.29%</w:t>
            </w:r>
          </w:p>
        </w:tc>
        <w:tc>
          <w:tcPr>
            <w:tcW w:w="450" w:type="pct"/>
            <w:shd w:val="clear" w:color="auto" w:fill="auto"/>
            <w:vAlign w:val="center"/>
          </w:tcPr>
          <w:p w14:paraId="35BE8B7D" w14:textId="77777777" w:rsidR="001F27D2" w:rsidRPr="00F835A8" w:rsidRDefault="001F27D2" w:rsidP="00F835A8">
            <w:pPr>
              <w:spacing w:before="0" w:after="0"/>
              <w:jc w:val="center"/>
              <w:rPr>
                <w:rFonts w:cs="Calibri"/>
                <w:sz w:val="22"/>
                <w:szCs w:val="22"/>
              </w:rPr>
            </w:pPr>
            <w:r w:rsidRPr="00F835A8">
              <w:rPr>
                <w:rFonts w:cs="Calibri"/>
                <w:sz w:val="22"/>
                <w:szCs w:val="22"/>
              </w:rPr>
              <w:t>52.38%</w:t>
            </w:r>
          </w:p>
        </w:tc>
        <w:tc>
          <w:tcPr>
            <w:tcW w:w="577" w:type="pct"/>
            <w:shd w:val="clear" w:color="auto" w:fill="auto"/>
            <w:vAlign w:val="center"/>
          </w:tcPr>
          <w:p w14:paraId="69FA0E67" w14:textId="77777777" w:rsidR="001F27D2" w:rsidRPr="00F835A8" w:rsidRDefault="001F27D2" w:rsidP="00F835A8">
            <w:pPr>
              <w:spacing w:before="0" w:after="0"/>
              <w:jc w:val="center"/>
              <w:rPr>
                <w:rFonts w:cs="Calibri"/>
                <w:sz w:val="22"/>
                <w:szCs w:val="22"/>
              </w:rPr>
            </w:pPr>
            <w:r w:rsidRPr="00F835A8">
              <w:rPr>
                <w:rFonts w:cs="Calibri"/>
                <w:sz w:val="22"/>
                <w:szCs w:val="22"/>
              </w:rPr>
              <w:t>33.33%</w:t>
            </w:r>
          </w:p>
        </w:tc>
      </w:tr>
      <w:tr w:rsidR="001F27D2" w:rsidRPr="00F835A8" w14:paraId="17302A1A" w14:textId="77777777" w:rsidTr="00F835A8">
        <w:tc>
          <w:tcPr>
            <w:tcW w:w="3296" w:type="pct"/>
            <w:shd w:val="clear" w:color="auto" w:fill="auto"/>
            <w:tcMar>
              <w:top w:w="75" w:type="dxa"/>
              <w:left w:w="75" w:type="dxa"/>
              <w:bottom w:w="75" w:type="dxa"/>
              <w:right w:w="75" w:type="dxa"/>
            </w:tcMar>
          </w:tcPr>
          <w:p w14:paraId="6E6D6FA6" w14:textId="77777777" w:rsidR="001F27D2" w:rsidRPr="00F835A8" w:rsidRDefault="001F27D2" w:rsidP="00F835A8">
            <w:pPr>
              <w:spacing w:before="0" w:after="0"/>
              <w:rPr>
                <w:rFonts w:cs="Calibri"/>
                <w:sz w:val="22"/>
                <w:szCs w:val="22"/>
              </w:rPr>
            </w:pPr>
            <w:r w:rsidRPr="00F835A8">
              <w:rPr>
                <w:rFonts w:cs="Calibri"/>
                <w:sz w:val="22"/>
                <w:szCs w:val="22"/>
              </w:rPr>
              <w:t>Encouraging and enabling self-build (21)</w:t>
            </w:r>
          </w:p>
        </w:tc>
        <w:tc>
          <w:tcPr>
            <w:tcW w:w="677" w:type="pct"/>
            <w:shd w:val="clear" w:color="auto" w:fill="auto"/>
            <w:vAlign w:val="center"/>
          </w:tcPr>
          <w:p w14:paraId="77613108" w14:textId="77777777" w:rsidR="001F27D2" w:rsidRPr="00F835A8" w:rsidRDefault="001F27D2" w:rsidP="00F835A8">
            <w:pPr>
              <w:spacing w:before="0" w:after="0"/>
              <w:jc w:val="center"/>
              <w:rPr>
                <w:rFonts w:cs="Calibri"/>
                <w:sz w:val="22"/>
                <w:szCs w:val="22"/>
              </w:rPr>
            </w:pPr>
            <w:r w:rsidRPr="00F835A8">
              <w:rPr>
                <w:rFonts w:cs="Calibri"/>
                <w:sz w:val="22"/>
                <w:szCs w:val="22"/>
              </w:rPr>
              <w:t>28.57%</w:t>
            </w:r>
          </w:p>
        </w:tc>
        <w:tc>
          <w:tcPr>
            <w:tcW w:w="450" w:type="pct"/>
            <w:shd w:val="clear" w:color="auto" w:fill="auto"/>
            <w:vAlign w:val="center"/>
          </w:tcPr>
          <w:p w14:paraId="66A2F850" w14:textId="77777777" w:rsidR="001F27D2" w:rsidRPr="00F835A8" w:rsidRDefault="001F27D2" w:rsidP="00F835A8">
            <w:pPr>
              <w:spacing w:before="0" w:after="0"/>
              <w:jc w:val="center"/>
              <w:rPr>
                <w:rFonts w:cs="Calibri"/>
                <w:sz w:val="22"/>
                <w:szCs w:val="22"/>
              </w:rPr>
            </w:pPr>
            <w:r w:rsidRPr="00F835A8">
              <w:rPr>
                <w:rFonts w:cs="Calibri"/>
                <w:sz w:val="22"/>
                <w:szCs w:val="22"/>
              </w:rPr>
              <w:t>52.38%</w:t>
            </w:r>
          </w:p>
        </w:tc>
        <w:tc>
          <w:tcPr>
            <w:tcW w:w="577" w:type="pct"/>
            <w:shd w:val="clear" w:color="auto" w:fill="auto"/>
            <w:vAlign w:val="center"/>
          </w:tcPr>
          <w:p w14:paraId="151D115F" w14:textId="77777777" w:rsidR="001F27D2" w:rsidRPr="00F835A8" w:rsidRDefault="001F27D2" w:rsidP="00F835A8">
            <w:pPr>
              <w:spacing w:before="0" w:after="0"/>
              <w:jc w:val="center"/>
              <w:rPr>
                <w:rFonts w:cs="Calibri"/>
                <w:sz w:val="22"/>
                <w:szCs w:val="22"/>
              </w:rPr>
            </w:pPr>
            <w:r w:rsidRPr="00F835A8">
              <w:rPr>
                <w:rFonts w:cs="Calibri"/>
                <w:sz w:val="22"/>
                <w:szCs w:val="22"/>
              </w:rPr>
              <w:t>19.05%</w:t>
            </w:r>
          </w:p>
        </w:tc>
      </w:tr>
      <w:tr w:rsidR="001F27D2" w:rsidRPr="00F835A8" w14:paraId="190E53DB" w14:textId="77777777" w:rsidTr="00F835A8">
        <w:tc>
          <w:tcPr>
            <w:tcW w:w="3296" w:type="pct"/>
            <w:shd w:val="clear" w:color="auto" w:fill="auto"/>
            <w:tcMar>
              <w:top w:w="75" w:type="dxa"/>
              <w:left w:w="75" w:type="dxa"/>
              <w:bottom w:w="75" w:type="dxa"/>
              <w:right w:w="75" w:type="dxa"/>
            </w:tcMar>
          </w:tcPr>
          <w:p w14:paraId="2DCBF0F4" w14:textId="77777777" w:rsidR="001F27D2" w:rsidRPr="00F835A8" w:rsidRDefault="001F27D2" w:rsidP="00F835A8">
            <w:pPr>
              <w:spacing w:before="0" w:after="0"/>
              <w:rPr>
                <w:rFonts w:cs="Calibri"/>
                <w:sz w:val="22"/>
                <w:szCs w:val="22"/>
              </w:rPr>
            </w:pPr>
            <w:r w:rsidRPr="00F835A8">
              <w:rPr>
                <w:rFonts w:cs="Calibri"/>
                <w:sz w:val="22"/>
                <w:szCs w:val="22"/>
              </w:rPr>
              <w:t>Student housing (21)</w:t>
            </w:r>
          </w:p>
        </w:tc>
        <w:tc>
          <w:tcPr>
            <w:tcW w:w="677" w:type="pct"/>
            <w:shd w:val="clear" w:color="auto" w:fill="auto"/>
            <w:vAlign w:val="center"/>
          </w:tcPr>
          <w:p w14:paraId="03E77B63" w14:textId="77777777" w:rsidR="001F27D2" w:rsidRPr="00F835A8" w:rsidRDefault="001F27D2" w:rsidP="00F835A8">
            <w:pPr>
              <w:spacing w:before="0" w:after="0"/>
              <w:jc w:val="center"/>
              <w:rPr>
                <w:rFonts w:cs="Calibri"/>
                <w:sz w:val="22"/>
                <w:szCs w:val="22"/>
              </w:rPr>
            </w:pPr>
            <w:r w:rsidRPr="00F835A8">
              <w:rPr>
                <w:rFonts w:cs="Calibri"/>
                <w:sz w:val="22"/>
                <w:szCs w:val="22"/>
              </w:rPr>
              <w:t>76.19%</w:t>
            </w:r>
          </w:p>
        </w:tc>
        <w:tc>
          <w:tcPr>
            <w:tcW w:w="450" w:type="pct"/>
            <w:shd w:val="clear" w:color="auto" w:fill="auto"/>
            <w:vAlign w:val="center"/>
          </w:tcPr>
          <w:p w14:paraId="62754806" w14:textId="77777777" w:rsidR="001F27D2" w:rsidRPr="00F835A8" w:rsidRDefault="001F27D2" w:rsidP="00F835A8">
            <w:pPr>
              <w:spacing w:before="0" w:after="0"/>
              <w:jc w:val="center"/>
              <w:rPr>
                <w:rFonts w:cs="Calibri"/>
                <w:sz w:val="22"/>
                <w:szCs w:val="22"/>
              </w:rPr>
            </w:pPr>
            <w:r w:rsidRPr="00F835A8">
              <w:rPr>
                <w:rFonts w:cs="Calibri"/>
                <w:sz w:val="22"/>
                <w:szCs w:val="22"/>
              </w:rPr>
              <w:t>23.81%</w:t>
            </w:r>
          </w:p>
        </w:tc>
        <w:tc>
          <w:tcPr>
            <w:tcW w:w="577" w:type="pct"/>
            <w:shd w:val="clear" w:color="auto" w:fill="auto"/>
            <w:vAlign w:val="center"/>
          </w:tcPr>
          <w:p w14:paraId="4858FDD3" w14:textId="77777777" w:rsidR="001F27D2" w:rsidRPr="00F835A8" w:rsidRDefault="001F27D2" w:rsidP="00F835A8">
            <w:pPr>
              <w:spacing w:before="0" w:after="0"/>
              <w:jc w:val="center"/>
              <w:rPr>
                <w:rFonts w:cs="Calibri"/>
                <w:sz w:val="22"/>
                <w:szCs w:val="22"/>
              </w:rPr>
            </w:pPr>
            <w:r w:rsidRPr="00F835A8">
              <w:rPr>
                <w:rFonts w:cs="Calibri"/>
                <w:sz w:val="22"/>
                <w:szCs w:val="22"/>
              </w:rPr>
              <w:t>0%</w:t>
            </w:r>
          </w:p>
        </w:tc>
      </w:tr>
      <w:tr w:rsidR="001F27D2" w:rsidRPr="00F835A8" w14:paraId="683AED7F" w14:textId="77777777" w:rsidTr="00F835A8">
        <w:tc>
          <w:tcPr>
            <w:tcW w:w="3296" w:type="pct"/>
            <w:shd w:val="clear" w:color="auto" w:fill="auto"/>
            <w:tcMar>
              <w:top w:w="75" w:type="dxa"/>
              <w:left w:w="75" w:type="dxa"/>
              <w:bottom w:w="75" w:type="dxa"/>
              <w:right w:w="75" w:type="dxa"/>
            </w:tcMar>
          </w:tcPr>
          <w:p w14:paraId="55B3C7FB" w14:textId="77777777" w:rsidR="001F27D2" w:rsidRPr="00F835A8" w:rsidRDefault="001F27D2" w:rsidP="00F835A8">
            <w:pPr>
              <w:spacing w:before="0" w:after="0"/>
              <w:rPr>
                <w:rFonts w:cs="Calibri"/>
                <w:sz w:val="22"/>
                <w:szCs w:val="22"/>
              </w:rPr>
            </w:pPr>
            <w:r w:rsidRPr="00F835A8">
              <w:rPr>
                <w:rFonts w:cs="Calibri"/>
                <w:sz w:val="22"/>
                <w:szCs w:val="22"/>
              </w:rPr>
              <w:t>Family housing (20)</w:t>
            </w:r>
          </w:p>
        </w:tc>
        <w:tc>
          <w:tcPr>
            <w:tcW w:w="677" w:type="pct"/>
            <w:shd w:val="clear" w:color="auto" w:fill="auto"/>
            <w:vAlign w:val="center"/>
          </w:tcPr>
          <w:p w14:paraId="6D0BD6B3" w14:textId="77777777" w:rsidR="001F27D2" w:rsidRPr="00F835A8" w:rsidRDefault="001F27D2" w:rsidP="00F835A8">
            <w:pPr>
              <w:spacing w:before="0" w:after="0"/>
              <w:jc w:val="center"/>
              <w:rPr>
                <w:rFonts w:cs="Calibri"/>
                <w:sz w:val="22"/>
                <w:szCs w:val="22"/>
              </w:rPr>
            </w:pPr>
            <w:r w:rsidRPr="00F835A8">
              <w:rPr>
                <w:rFonts w:cs="Calibri"/>
                <w:sz w:val="22"/>
                <w:szCs w:val="22"/>
              </w:rPr>
              <w:t>10%</w:t>
            </w:r>
          </w:p>
        </w:tc>
        <w:tc>
          <w:tcPr>
            <w:tcW w:w="450" w:type="pct"/>
            <w:shd w:val="clear" w:color="auto" w:fill="auto"/>
            <w:vAlign w:val="center"/>
          </w:tcPr>
          <w:p w14:paraId="7A388E28" w14:textId="77777777" w:rsidR="001F27D2" w:rsidRPr="00F835A8" w:rsidRDefault="001F27D2" w:rsidP="00F835A8">
            <w:pPr>
              <w:spacing w:before="0" w:after="0"/>
              <w:jc w:val="center"/>
              <w:rPr>
                <w:rFonts w:cs="Calibri"/>
                <w:sz w:val="22"/>
                <w:szCs w:val="22"/>
              </w:rPr>
            </w:pPr>
            <w:r w:rsidRPr="00F835A8">
              <w:rPr>
                <w:rFonts w:cs="Calibri"/>
                <w:sz w:val="22"/>
                <w:szCs w:val="22"/>
              </w:rPr>
              <w:t>50%</w:t>
            </w:r>
          </w:p>
        </w:tc>
        <w:tc>
          <w:tcPr>
            <w:tcW w:w="577" w:type="pct"/>
            <w:shd w:val="clear" w:color="auto" w:fill="auto"/>
            <w:vAlign w:val="center"/>
          </w:tcPr>
          <w:p w14:paraId="66B27B8E" w14:textId="77777777" w:rsidR="001F27D2" w:rsidRPr="00F835A8" w:rsidRDefault="001F27D2" w:rsidP="00F835A8">
            <w:pPr>
              <w:spacing w:before="0" w:after="0"/>
              <w:jc w:val="center"/>
              <w:rPr>
                <w:rFonts w:cs="Calibri"/>
                <w:sz w:val="22"/>
                <w:szCs w:val="22"/>
              </w:rPr>
            </w:pPr>
            <w:r w:rsidRPr="00F835A8">
              <w:rPr>
                <w:rFonts w:cs="Calibri"/>
                <w:sz w:val="22"/>
                <w:szCs w:val="22"/>
              </w:rPr>
              <w:t>40%</w:t>
            </w:r>
          </w:p>
        </w:tc>
      </w:tr>
      <w:tr w:rsidR="001F27D2" w:rsidRPr="00F835A8" w14:paraId="1EF25D9E" w14:textId="77777777" w:rsidTr="00F835A8">
        <w:tc>
          <w:tcPr>
            <w:tcW w:w="3296" w:type="pct"/>
            <w:shd w:val="clear" w:color="auto" w:fill="auto"/>
            <w:tcMar>
              <w:top w:w="75" w:type="dxa"/>
              <w:left w:w="75" w:type="dxa"/>
              <w:bottom w:w="75" w:type="dxa"/>
              <w:right w:w="75" w:type="dxa"/>
            </w:tcMar>
          </w:tcPr>
          <w:p w14:paraId="37B60518" w14:textId="77777777" w:rsidR="001F27D2" w:rsidRPr="00F835A8" w:rsidRDefault="001F27D2" w:rsidP="00F835A8">
            <w:pPr>
              <w:spacing w:before="0" w:after="0"/>
              <w:rPr>
                <w:rFonts w:cs="Calibri"/>
                <w:sz w:val="22"/>
                <w:szCs w:val="22"/>
              </w:rPr>
            </w:pPr>
            <w:r w:rsidRPr="00F835A8">
              <w:rPr>
                <w:rFonts w:cs="Calibri"/>
                <w:sz w:val="22"/>
                <w:szCs w:val="22"/>
              </w:rPr>
              <w:t>Multiple Occupation homes (HMOs)</w:t>
            </w:r>
          </w:p>
        </w:tc>
        <w:tc>
          <w:tcPr>
            <w:tcW w:w="677" w:type="pct"/>
            <w:shd w:val="clear" w:color="auto" w:fill="auto"/>
            <w:vAlign w:val="center"/>
          </w:tcPr>
          <w:p w14:paraId="5CEE2908" w14:textId="77777777" w:rsidR="001F27D2" w:rsidRPr="00F835A8" w:rsidRDefault="001F27D2" w:rsidP="00F835A8">
            <w:pPr>
              <w:spacing w:before="0" w:after="0"/>
              <w:jc w:val="center"/>
              <w:rPr>
                <w:rFonts w:cs="Calibri"/>
                <w:sz w:val="22"/>
                <w:szCs w:val="22"/>
              </w:rPr>
            </w:pPr>
            <w:r w:rsidRPr="00F835A8">
              <w:rPr>
                <w:rFonts w:cs="Calibri"/>
                <w:sz w:val="22"/>
                <w:szCs w:val="22"/>
              </w:rPr>
              <w:t>71.43%</w:t>
            </w:r>
          </w:p>
        </w:tc>
        <w:tc>
          <w:tcPr>
            <w:tcW w:w="450" w:type="pct"/>
            <w:shd w:val="clear" w:color="auto" w:fill="auto"/>
            <w:vAlign w:val="center"/>
          </w:tcPr>
          <w:p w14:paraId="37A90467" w14:textId="77777777" w:rsidR="001F27D2" w:rsidRPr="00F835A8" w:rsidRDefault="001F27D2" w:rsidP="00F835A8">
            <w:pPr>
              <w:spacing w:before="0" w:after="0"/>
              <w:jc w:val="center"/>
              <w:rPr>
                <w:rFonts w:cs="Calibri"/>
                <w:sz w:val="22"/>
                <w:szCs w:val="22"/>
              </w:rPr>
            </w:pPr>
            <w:r w:rsidRPr="00F835A8">
              <w:rPr>
                <w:rFonts w:cs="Calibri"/>
                <w:sz w:val="22"/>
                <w:szCs w:val="22"/>
              </w:rPr>
              <w:t>19.05%</w:t>
            </w:r>
          </w:p>
        </w:tc>
        <w:tc>
          <w:tcPr>
            <w:tcW w:w="577" w:type="pct"/>
            <w:shd w:val="clear" w:color="auto" w:fill="auto"/>
            <w:vAlign w:val="center"/>
          </w:tcPr>
          <w:p w14:paraId="6A1ABDDB" w14:textId="77777777" w:rsidR="001F27D2" w:rsidRPr="00F835A8" w:rsidRDefault="001F27D2" w:rsidP="00F835A8">
            <w:pPr>
              <w:spacing w:before="0" w:after="0"/>
              <w:jc w:val="center"/>
              <w:rPr>
                <w:rFonts w:cs="Calibri"/>
                <w:sz w:val="22"/>
                <w:szCs w:val="22"/>
              </w:rPr>
            </w:pPr>
            <w:r w:rsidRPr="00F835A8">
              <w:rPr>
                <w:rFonts w:cs="Calibri"/>
                <w:sz w:val="22"/>
                <w:szCs w:val="22"/>
              </w:rPr>
              <w:t>9.52%</w:t>
            </w:r>
          </w:p>
        </w:tc>
      </w:tr>
    </w:tbl>
    <w:p w14:paraId="52FE2ED2" w14:textId="77777777" w:rsidR="001F27D2" w:rsidRPr="00C946C7" w:rsidRDefault="001F27D2" w:rsidP="001F27D2">
      <w:pPr>
        <w:pStyle w:val="Maintext"/>
        <w:numPr>
          <w:ilvl w:val="0"/>
          <w:numId w:val="0"/>
        </w:numPr>
        <w:ind w:left="709"/>
        <w:rPr>
          <w:rFonts w:cs="Calibri"/>
        </w:rPr>
      </w:pPr>
    </w:p>
    <w:p w14:paraId="7C56FF82" w14:textId="77777777" w:rsidR="001F27D2" w:rsidRPr="00326871" w:rsidRDefault="001F27D2" w:rsidP="007D2B69">
      <w:pPr>
        <w:pStyle w:val="Maintext"/>
        <w:numPr>
          <w:ilvl w:val="1"/>
          <w:numId w:val="36"/>
        </w:numPr>
        <w:spacing w:before="0"/>
      </w:pPr>
      <w:r w:rsidRPr="00326871">
        <w:t>Building affordable homes to rent was ranked as the highest priorit</w:t>
      </w:r>
      <w:r>
        <w:t>y</w:t>
      </w:r>
      <w:r w:rsidRPr="00326871">
        <w:t xml:space="preserve"> by stakeholders, with 7</w:t>
      </w:r>
      <w:r>
        <w:t>1.43</w:t>
      </w:r>
      <w:r w:rsidRPr="00326871">
        <w:t>% of respondents considering this as a high priority. Building affordable homes to buy (shared ownership etc</w:t>
      </w:r>
      <w:r>
        <w:t>.</w:t>
      </w:r>
      <w:r w:rsidRPr="00326871">
        <w:t xml:space="preserve">) and building properties designed for </w:t>
      </w:r>
      <w:r>
        <w:t xml:space="preserve">older </w:t>
      </w:r>
      <w:r w:rsidRPr="00326871">
        <w:t xml:space="preserve">people were both ranked as high priorities by </w:t>
      </w:r>
      <w:r>
        <w:t>66.67% and 57.14%</w:t>
      </w:r>
      <w:r w:rsidRPr="00326871">
        <w:t xml:space="preserve"> of respondents</w:t>
      </w:r>
      <w:r>
        <w:t xml:space="preserve"> respectively</w:t>
      </w:r>
      <w:r w:rsidRPr="00326871">
        <w:t xml:space="preserve">. Building properties designed for </w:t>
      </w:r>
      <w:r>
        <w:t xml:space="preserve">people with specialist needs and family housing </w:t>
      </w:r>
      <w:r w:rsidRPr="00326871">
        <w:t>w</w:t>
      </w:r>
      <w:r>
        <w:t>ere</w:t>
      </w:r>
      <w:r w:rsidRPr="00326871">
        <w:t xml:space="preserve"> considered to be a high priority by </w:t>
      </w:r>
      <w:r>
        <w:t>42.86 and 40</w:t>
      </w:r>
      <w:r w:rsidRPr="00326871">
        <w:t>% of respondents</w:t>
      </w:r>
      <w:r>
        <w:t xml:space="preserve"> respectively</w:t>
      </w:r>
      <w:r w:rsidRPr="00326871">
        <w:t>.</w:t>
      </w:r>
    </w:p>
    <w:p w14:paraId="30951A89" w14:textId="77777777" w:rsidR="001F27D2" w:rsidRPr="00326871" w:rsidRDefault="001F27D2" w:rsidP="007D2B69">
      <w:pPr>
        <w:pStyle w:val="Maintext"/>
        <w:numPr>
          <w:ilvl w:val="1"/>
          <w:numId w:val="36"/>
        </w:numPr>
        <w:spacing w:before="0"/>
      </w:pPr>
      <w:r>
        <w:lastRenderedPageBreak/>
        <w:t>I</w:t>
      </w:r>
      <w:r w:rsidRPr="00326871">
        <w:t xml:space="preserve">mproving the quality of existing stock and encouraging </w:t>
      </w:r>
      <w:r>
        <w:t xml:space="preserve">and enabling </w:t>
      </w:r>
      <w:r w:rsidRPr="00326871">
        <w:t>self-build were typically considered as medium priority by the majority of respondents.</w:t>
      </w:r>
    </w:p>
    <w:p w14:paraId="6327BA6E" w14:textId="77777777" w:rsidR="001F27D2" w:rsidRPr="00326871" w:rsidRDefault="001F27D2" w:rsidP="007D2B69">
      <w:pPr>
        <w:pStyle w:val="Maintext"/>
        <w:numPr>
          <w:ilvl w:val="1"/>
          <w:numId w:val="36"/>
        </w:numPr>
        <w:spacing w:before="0"/>
      </w:pPr>
      <w:r w:rsidRPr="00326871">
        <w:t xml:space="preserve">The lowest priority was given to </w:t>
      </w:r>
      <w:r>
        <w:t>student housing by</w:t>
      </w:r>
      <w:r w:rsidRPr="00326871">
        <w:t xml:space="preserve"> </w:t>
      </w:r>
      <w:r>
        <w:t>76.19</w:t>
      </w:r>
      <w:r w:rsidRPr="00326871">
        <w:t xml:space="preserve">% of respondents </w:t>
      </w:r>
      <w:r>
        <w:t xml:space="preserve">and multiple occupation homes by 71.43% of respondents. </w:t>
      </w:r>
    </w:p>
    <w:p w14:paraId="062804CD" w14:textId="77777777" w:rsidR="001F27D2" w:rsidRDefault="001F27D2" w:rsidP="007D2B69">
      <w:pPr>
        <w:pStyle w:val="Maintext"/>
        <w:numPr>
          <w:ilvl w:val="1"/>
          <w:numId w:val="36"/>
        </w:numPr>
        <w:spacing w:before="0"/>
      </w:pPr>
      <w:r w:rsidRPr="000B1EB2">
        <w:t>Stakeholders gave a range of reasons for identifying these priorities, including:</w:t>
      </w:r>
    </w:p>
    <w:p w14:paraId="484CE318" w14:textId="77777777" w:rsidR="001F27D2" w:rsidRPr="00A31D7F" w:rsidRDefault="001F27D2" w:rsidP="001F27D2">
      <w:pPr>
        <w:pStyle w:val="bullet"/>
      </w:pPr>
      <w:r>
        <w:t>We have an ageing population and people are living longer</w:t>
      </w:r>
      <w:r w:rsidRPr="00A31D7F">
        <w:t>;</w:t>
      </w:r>
      <w:r>
        <w:t xml:space="preserve"> increased likelihood of relationship breakdowns; inward migration;</w:t>
      </w:r>
    </w:p>
    <w:p w14:paraId="48B0F984" w14:textId="77777777" w:rsidR="001F27D2" w:rsidRPr="00FD271D" w:rsidRDefault="001F27D2" w:rsidP="001F27D2">
      <w:pPr>
        <w:pStyle w:val="bullet"/>
      </w:pPr>
      <w:r w:rsidRPr="00FD271D">
        <w:t xml:space="preserve">Distinct shortage of specialist needs housing and fit for purpose homes; </w:t>
      </w:r>
    </w:p>
    <w:p w14:paraId="48612913" w14:textId="77777777" w:rsidR="001F27D2" w:rsidRPr="00FD271D" w:rsidRDefault="001F27D2" w:rsidP="001F27D2">
      <w:pPr>
        <w:pStyle w:val="bullet"/>
      </w:pPr>
      <w:r w:rsidRPr="00FD271D">
        <w:t xml:space="preserve">Need to improve housing stock – because high percentages of fuel poverty, numerous houses with solid walls, which are difficult to retrofit; </w:t>
      </w:r>
    </w:p>
    <w:p w14:paraId="52719BDD" w14:textId="77777777" w:rsidR="001F27D2" w:rsidRPr="00FD271D" w:rsidRDefault="001F27D2" w:rsidP="001F27D2">
      <w:pPr>
        <w:pStyle w:val="bullet"/>
      </w:pPr>
      <w:r w:rsidRPr="00FD271D">
        <w:t>House prices are very high compared to average incomes in the area – building more open market housing and affordable housing at the appropriate rate should improve this;</w:t>
      </w:r>
    </w:p>
    <w:p w14:paraId="6B753E94" w14:textId="77777777" w:rsidR="001F27D2" w:rsidRPr="00FD271D" w:rsidRDefault="001F27D2" w:rsidP="001F27D2">
      <w:pPr>
        <w:pStyle w:val="bullet"/>
      </w:pPr>
      <w:r w:rsidRPr="00FD271D">
        <w:t>Self-build opportunities are a way of making ‘buying’ a home more affordable; it also contributes towards a higher standard and variety of housing; it enables modern heating technologies;</w:t>
      </w:r>
    </w:p>
    <w:p w14:paraId="0BEEB70B" w14:textId="77777777" w:rsidR="001F27D2" w:rsidRPr="00FD271D" w:rsidRDefault="001F27D2" w:rsidP="001F27D2">
      <w:pPr>
        <w:pStyle w:val="bullet"/>
      </w:pPr>
      <w:r w:rsidRPr="00D76964">
        <w:t>Improving the energy efficiency of existing homes can help to reduce financial running cost burdens on stretched household incomes in this low waged economy</w:t>
      </w:r>
      <w:r>
        <w:t>;</w:t>
      </w:r>
    </w:p>
    <w:p w14:paraId="5FF0DD76" w14:textId="77777777" w:rsidR="001F27D2" w:rsidRPr="00FD271D" w:rsidRDefault="001F27D2" w:rsidP="001F27D2">
      <w:pPr>
        <w:pStyle w:val="bullet"/>
      </w:pPr>
      <w:r w:rsidRPr="00FD271D">
        <w:t>Eden has become somewhere to retire to rather than start a family due to house inflation etc, therefore there is a higher than average number of older people that will need housing designed for them in the future;</w:t>
      </w:r>
    </w:p>
    <w:p w14:paraId="366CE81C" w14:textId="77777777" w:rsidR="001F27D2" w:rsidRPr="00FD271D" w:rsidRDefault="001F27D2" w:rsidP="001F27D2">
      <w:pPr>
        <w:pStyle w:val="bullet"/>
      </w:pPr>
      <w:r w:rsidRPr="00FD271D">
        <w:t>The Council receives numerous applications and queries from local households for discounted sale and affordable homes, including homes for rent;</w:t>
      </w:r>
    </w:p>
    <w:p w14:paraId="0B1157C3" w14:textId="77777777" w:rsidR="001F27D2" w:rsidRPr="00FD271D" w:rsidRDefault="001F27D2" w:rsidP="001F27D2">
      <w:pPr>
        <w:pStyle w:val="bullet"/>
      </w:pPr>
      <w:r w:rsidRPr="00FD271D">
        <w:t>Developers appear reluctant to build bungalows as they are more expensive, however this is the house type that older people would prefer – as the strategic LA we should require developers to build what is needed, not what gives them the best profit margin;</w:t>
      </w:r>
    </w:p>
    <w:p w14:paraId="3360824C" w14:textId="77777777" w:rsidR="001F27D2" w:rsidRPr="00FD271D" w:rsidRDefault="001F27D2" w:rsidP="001F27D2">
      <w:pPr>
        <w:pStyle w:val="bullet"/>
      </w:pPr>
      <w:r w:rsidRPr="00FD271D">
        <w:t xml:space="preserve">Unless help is provided for working age people to remain in the area they will move away consequently reducing working age residents or they will become reliant upon social housing; and </w:t>
      </w:r>
    </w:p>
    <w:p w14:paraId="187368C4" w14:textId="77777777" w:rsidR="001F27D2" w:rsidRPr="00FD271D" w:rsidRDefault="001F27D2" w:rsidP="001F27D2">
      <w:pPr>
        <w:pStyle w:val="bullet"/>
      </w:pPr>
      <w:r w:rsidRPr="00FD271D">
        <w:t xml:space="preserve">Overcrowding in the family home – increase in family housing may mean young people could stay at home longer. </w:t>
      </w:r>
    </w:p>
    <w:p w14:paraId="1E86E1CD" w14:textId="77777777" w:rsidR="001F27D2" w:rsidRPr="002B20F4" w:rsidRDefault="001F27D2" w:rsidP="007D2B69">
      <w:pPr>
        <w:pStyle w:val="Maintext"/>
        <w:numPr>
          <w:ilvl w:val="1"/>
          <w:numId w:val="36"/>
        </w:numPr>
        <w:spacing w:before="0"/>
      </w:pPr>
      <w:r w:rsidRPr="00093CD1">
        <w:t xml:space="preserve">Asked what </w:t>
      </w:r>
      <w:r w:rsidRPr="002B20F4">
        <w:t xml:space="preserve">other key housing priorities there are in </w:t>
      </w:r>
      <w:r>
        <w:t>Eden</w:t>
      </w:r>
      <w:r w:rsidRPr="002B20F4">
        <w:t>, stakeholders identified the following, in addition to those above:</w:t>
      </w:r>
    </w:p>
    <w:p w14:paraId="37912A99" w14:textId="77777777" w:rsidR="001F27D2" w:rsidRDefault="001F27D2" w:rsidP="001F27D2">
      <w:pPr>
        <w:pStyle w:val="bullet"/>
        <w:rPr>
          <w:rFonts w:cs="Calibri"/>
          <w:szCs w:val="16"/>
        </w:rPr>
      </w:pPr>
      <w:r>
        <w:rPr>
          <w:rFonts w:cs="Calibri"/>
          <w:szCs w:val="16"/>
        </w:rPr>
        <w:t>There is a need to encourage more small and medium housebuilders to invest in Eden;</w:t>
      </w:r>
    </w:p>
    <w:p w14:paraId="571C011A" w14:textId="77777777" w:rsidR="001F27D2" w:rsidRDefault="001F27D2" w:rsidP="001F27D2">
      <w:pPr>
        <w:pStyle w:val="bullet"/>
        <w:rPr>
          <w:rFonts w:cs="Calibri"/>
          <w:szCs w:val="16"/>
        </w:rPr>
      </w:pPr>
      <w:r>
        <w:rPr>
          <w:rFonts w:cs="Calibri"/>
          <w:szCs w:val="16"/>
        </w:rPr>
        <w:t>Choice of housing;</w:t>
      </w:r>
    </w:p>
    <w:p w14:paraId="68633442" w14:textId="77777777" w:rsidR="001F27D2" w:rsidRDefault="001F27D2" w:rsidP="001F27D2">
      <w:pPr>
        <w:pStyle w:val="bullet"/>
        <w:rPr>
          <w:rFonts w:cs="Calibri"/>
          <w:szCs w:val="16"/>
        </w:rPr>
      </w:pPr>
      <w:r>
        <w:rPr>
          <w:rFonts w:cs="Calibri"/>
          <w:szCs w:val="16"/>
        </w:rPr>
        <w:t>Building houses to assist in sustaining and improving existing services and amenities;</w:t>
      </w:r>
    </w:p>
    <w:p w14:paraId="40D8C4CF" w14:textId="77777777" w:rsidR="001F27D2" w:rsidRDefault="001F27D2" w:rsidP="001F27D2">
      <w:pPr>
        <w:pStyle w:val="bullet"/>
        <w:rPr>
          <w:rFonts w:cs="Calibri"/>
          <w:szCs w:val="16"/>
        </w:rPr>
      </w:pPr>
      <w:r>
        <w:rPr>
          <w:rFonts w:cs="Calibri"/>
          <w:szCs w:val="16"/>
        </w:rPr>
        <w:lastRenderedPageBreak/>
        <w:t>Provide grants to help people improve their own homes to keep people safe, independent or keep them in repair to reduce people having to rely upon social housing;</w:t>
      </w:r>
    </w:p>
    <w:p w14:paraId="57030434" w14:textId="77777777" w:rsidR="001F27D2" w:rsidRDefault="001F27D2" w:rsidP="001F27D2">
      <w:pPr>
        <w:pStyle w:val="bullet"/>
        <w:rPr>
          <w:rFonts w:cs="Calibri"/>
          <w:szCs w:val="16"/>
        </w:rPr>
      </w:pPr>
      <w:r>
        <w:rPr>
          <w:rFonts w:cs="Calibri"/>
          <w:szCs w:val="16"/>
        </w:rPr>
        <w:t>Managing existing stock into smaller units where possible – particularly in rural areas;</w:t>
      </w:r>
    </w:p>
    <w:p w14:paraId="29C511EA" w14:textId="77777777" w:rsidR="001F27D2" w:rsidRDefault="001F27D2" w:rsidP="001F27D2">
      <w:pPr>
        <w:pStyle w:val="bullet"/>
        <w:rPr>
          <w:rFonts w:cs="Calibri"/>
          <w:szCs w:val="16"/>
        </w:rPr>
      </w:pPr>
      <w:r>
        <w:rPr>
          <w:rFonts w:cs="Calibri"/>
          <w:szCs w:val="16"/>
        </w:rPr>
        <w:t>Supported housing, especially for people with complex needs such as mental health and substance abuse issues;</w:t>
      </w:r>
    </w:p>
    <w:p w14:paraId="084CFB61" w14:textId="77777777" w:rsidR="001F27D2" w:rsidRDefault="001F27D2" w:rsidP="001F27D2">
      <w:pPr>
        <w:pStyle w:val="bullet"/>
        <w:rPr>
          <w:rFonts w:cs="Calibri"/>
          <w:szCs w:val="16"/>
        </w:rPr>
      </w:pPr>
      <w:r>
        <w:rPr>
          <w:rFonts w:cs="Calibri"/>
          <w:szCs w:val="16"/>
        </w:rPr>
        <w:t>Rural workers;</w:t>
      </w:r>
    </w:p>
    <w:p w14:paraId="0C5462A7" w14:textId="77777777" w:rsidR="001F27D2" w:rsidRDefault="001F27D2" w:rsidP="001F27D2">
      <w:pPr>
        <w:pStyle w:val="bullet"/>
        <w:rPr>
          <w:rFonts w:cs="Calibri"/>
          <w:szCs w:val="16"/>
        </w:rPr>
      </w:pPr>
      <w:r>
        <w:rPr>
          <w:rFonts w:cs="Calibri"/>
          <w:szCs w:val="16"/>
        </w:rPr>
        <w:t>Larger sized family rented properties (4+ bed).</w:t>
      </w:r>
    </w:p>
    <w:p w14:paraId="1C594CCE" w14:textId="77777777" w:rsidR="001F27D2" w:rsidRDefault="001F27D2" w:rsidP="00F835A8">
      <w:pPr>
        <w:rPr>
          <w:lang w:val="en-US"/>
        </w:rPr>
      </w:pPr>
    </w:p>
    <w:p w14:paraId="28E42DCA" w14:textId="77777777" w:rsidR="001F27D2" w:rsidRPr="0054513A" w:rsidRDefault="001F27D2" w:rsidP="00F835A8">
      <w:pPr>
        <w:pStyle w:val="Heading3"/>
        <w:rPr>
          <w:lang w:val="en-US"/>
        </w:rPr>
      </w:pPr>
      <w:r w:rsidRPr="00181CDD">
        <w:rPr>
          <w:lang w:val="en-US"/>
        </w:rPr>
        <w:t>The current and future housing market in Eden and housing market drivers</w:t>
      </w:r>
    </w:p>
    <w:p w14:paraId="54BD65A4" w14:textId="77777777" w:rsidR="001F27D2" w:rsidRDefault="001F27D2" w:rsidP="007D2B69">
      <w:pPr>
        <w:pStyle w:val="Maintext"/>
        <w:numPr>
          <w:ilvl w:val="1"/>
          <w:numId w:val="36"/>
        </w:numPr>
        <w:spacing w:before="0"/>
      </w:pPr>
      <w:r w:rsidRPr="000820E5">
        <w:t xml:space="preserve">Stakeholders were asked whether they are aware of employees who travel to work in </w:t>
      </w:r>
      <w:r>
        <w:t xml:space="preserve">Eden </w:t>
      </w:r>
      <w:r w:rsidRPr="000820E5">
        <w:t xml:space="preserve">from outside the </w:t>
      </w:r>
      <w:r>
        <w:t>District</w:t>
      </w:r>
      <w:r w:rsidRPr="000820E5">
        <w:t xml:space="preserve">. Several respondents were aware of people commuting into the area for work; </w:t>
      </w:r>
      <w:r>
        <w:t xml:space="preserve">however, reasons for this were considered to include partners living elsewhere, family ties outside of Eden, having previously lived outside of Eden, good transport links, affordability and lack of supply and children being settled in schools. </w:t>
      </w:r>
      <w:r w:rsidRPr="001067E3">
        <w:t xml:space="preserve">When asked whether they thought that employees who live outside of the District would move into the </w:t>
      </w:r>
      <w:r>
        <w:t>Eden District Council</w:t>
      </w:r>
      <w:r w:rsidRPr="001067E3">
        <w:t xml:space="preserve"> area if suitable housing was made available, respondents </w:t>
      </w:r>
      <w:r>
        <w:t xml:space="preserve">gave a mixed response. 6 respondents believed this would make a difference to their choice, whereas 4 respondents </w:t>
      </w:r>
      <w:r w:rsidRPr="001067E3">
        <w:t>did not consider that this would make a difference to their choice.</w:t>
      </w:r>
      <w:r>
        <w:t xml:space="preserve"> The remaining respondents did not answer.</w:t>
      </w:r>
    </w:p>
    <w:p w14:paraId="00F11475" w14:textId="77777777" w:rsidR="001F27D2" w:rsidRPr="001067E3" w:rsidRDefault="001F27D2" w:rsidP="007D2B69">
      <w:pPr>
        <w:pStyle w:val="Maintext"/>
        <w:numPr>
          <w:ilvl w:val="1"/>
          <w:numId w:val="36"/>
        </w:numPr>
        <w:spacing w:before="0"/>
      </w:pPr>
      <w:r>
        <w:t xml:space="preserve">Respondents were then asked to tell us why they thought this. Reasons given by respondents who believed that more available suitable housing would make a difference were: Eden being a better area or more convenient base, family ties to the area, the reduced commute, acknowledgment that employment is just one factor in a decision to live somewhere, to adopt more sustainable ways of travelling and quality of life. Those who believed more suitable housing would not make a difference expressed that some choices are informed by wider personal circumstances and commitments, rather than just the availability of a given housing type. </w:t>
      </w:r>
    </w:p>
    <w:p w14:paraId="3BAA71BE" w14:textId="77777777" w:rsidR="001F27D2" w:rsidRPr="005C72AA" w:rsidRDefault="001F27D2" w:rsidP="007D2B69">
      <w:pPr>
        <w:pStyle w:val="Maintext"/>
        <w:numPr>
          <w:ilvl w:val="1"/>
          <w:numId w:val="36"/>
        </w:numPr>
        <w:spacing w:before="0"/>
      </w:pPr>
      <w:r w:rsidRPr="005C72AA">
        <w:t xml:space="preserve">Stakeholders were asked to identify what they perceive to be the main drivers of housing demand in </w:t>
      </w:r>
      <w:r>
        <w:t>Eden</w:t>
      </w:r>
      <w:r w:rsidRPr="005C72AA">
        <w:t>. Drivers identified included:</w:t>
      </w:r>
    </w:p>
    <w:p w14:paraId="14DA6A6E" w14:textId="77777777" w:rsidR="001F27D2" w:rsidRDefault="001F27D2" w:rsidP="001F27D2">
      <w:pPr>
        <w:pStyle w:val="bullet"/>
        <w:rPr>
          <w:rFonts w:cs="Calibri"/>
        </w:rPr>
      </w:pPr>
      <w:r>
        <w:rPr>
          <w:rFonts w:cs="Calibri"/>
        </w:rPr>
        <w:t>People wanting to live independently</w:t>
      </w:r>
      <w:r w:rsidRPr="005C72AA">
        <w:rPr>
          <w:rFonts w:cs="Calibri"/>
        </w:rPr>
        <w:t>;</w:t>
      </w:r>
    </w:p>
    <w:p w14:paraId="1A31CC30" w14:textId="77777777" w:rsidR="001F27D2" w:rsidRDefault="001F27D2" w:rsidP="001F27D2">
      <w:pPr>
        <w:pStyle w:val="bullet"/>
        <w:rPr>
          <w:rFonts w:cs="Calibri"/>
        </w:rPr>
      </w:pPr>
      <w:r>
        <w:rPr>
          <w:rFonts w:cs="Calibri"/>
        </w:rPr>
        <w:t>Relationship breakdown;</w:t>
      </w:r>
    </w:p>
    <w:p w14:paraId="03731932" w14:textId="77777777" w:rsidR="001F27D2" w:rsidRDefault="001F27D2" w:rsidP="001F27D2">
      <w:pPr>
        <w:pStyle w:val="bullet"/>
        <w:rPr>
          <w:rFonts w:cs="Calibri"/>
        </w:rPr>
      </w:pPr>
      <w:r>
        <w:rPr>
          <w:rFonts w:cs="Calibri"/>
        </w:rPr>
        <w:t>Desirability of people retiring to Eden;</w:t>
      </w:r>
    </w:p>
    <w:p w14:paraId="719A38C6" w14:textId="77777777" w:rsidR="001F27D2" w:rsidRDefault="001F27D2" w:rsidP="001F27D2">
      <w:pPr>
        <w:pStyle w:val="bullet"/>
        <w:rPr>
          <w:rFonts w:cs="Calibri"/>
        </w:rPr>
      </w:pPr>
      <w:r>
        <w:rPr>
          <w:rFonts w:cs="Calibri"/>
        </w:rPr>
        <w:t>Transport connections;</w:t>
      </w:r>
    </w:p>
    <w:p w14:paraId="44810B2D" w14:textId="77777777" w:rsidR="001F27D2" w:rsidRDefault="001F27D2" w:rsidP="001F27D2">
      <w:pPr>
        <w:pStyle w:val="bullet"/>
        <w:rPr>
          <w:rFonts w:cs="Calibri"/>
        </w:rPr>
      </w:pPr>
      <w:r>
        <w:rPr>
          <w:rFonts w:cs="Calibri"/>
        </w:rPr>
        <w:t>Eden’s natural beauty, geographical appeal and proximity to national parks;</w:t>
      </w:r>
    </w:p>
    <w:p w14:paraId="259691F2" w14:textId="77777777" w:rsidR="001F27D2" w:rsidRDefault="001F27D2" w:rsidP="001F27D2">
      <w:pPr>
        <w:pStyle w:val="bullet"/>
        <w:rPr>
          <w:rFonts w:cs="Calibri"/>
        </w:rPr>
      </w:pPr>
      <w:r>
        <w:rPr>
          <w:rFonts w:cs="Calibri"/>
        </w:rPr>
        <w:t>Quality of life;</w:t>
      </w:r>
    </w:p>
    <w:p w14:paraId="1C69A72A" w14:textId="77777777" w:rsidR="001F27D2" w:rsidRDefault="001F27D2" w:rsidP="001F27D2">
      <w:pPr>
        <w:pStyle w:val="bullet"/>
        <w:rPr>
          <w:rFonts w:cs="Calibri"/>
        </w:rPr>
      </w:pPr>
      <w:r>
        <w:rPr>
          <w:rFonts w:cs="Calibri"/>
        </w:rPr>
        <w:t>Ageing population;</w:t>
      </w:r>
    </w:p>
    <w:p w14:paraId="1C3EBD38" w14:textId="77777777" w:rsidR="001F27D2" w:rsidRDefault="001F27D2" w:rsidP="001F27D2">
      <w:pPr>
        <w:pStyle w:val="bullet"/>
        <w:rPr>
          <w:rFonts w:cs="Calibri"/>
        </w:rPr>
      </w:pPr>
      <w:r>
        <w:rPr>
          <w:rFonts w:cs="Calibri"/>
        </w:rPr>
        <w:t>Tourism and second homes;</w:t>
      </w:r>
    </w:p>
    <w:p w14:paraId="2DEDC158" w14:textId="77777777" w:rsidR="001F27D2" w:rsidRPr="005C72AA" w:rsidRDefault="001F27D2" w:rsidP="001F27D2">
      <w:pPr>
        <w:pStyle w:val="bullet"/>
        <w:rPr>
          <w:rFonts w:cs="Calibri"/>
        </w:rPr>
      </w:pPr>
      <w:r>
        <w:rPr>
          <w:rFonts w:cs="Calibri"/>
        </w:rPr>
        <w:t>Inward migration.</w:t>
      </w:r>
    </w:p>
    <w:p w14:paraId="151F290F" w14:textId="77777777" w:rsidR="001F27D2" w:rsidRPr="002500C0" w:rsidRDefault="001F27D2" w:rsidP="001F27D2">
      <w:pPr>
        <w:pStyle w:val="Reporttext"/>
        <w:numPr>
          <w:ilvl w:val="0"/>
          <w:numId w:val="0"/>
        </w:numPr>
        <w:ind w:left="709"/>
      </w:pPr>
    </w:p>
    <w:p w14:paraId="6776E0FD" w14:textId="77777777" w:rsidR="001F27D2" w:rsidRPr="00D07052" w:rsidRDefault="001F27D2" w:rsidP="00F835A8">
      <w:pPr>
        <w:pStyle w:val="Heading3"/>
      </w:pPr>
      <w:r>
        <w:t>O</w:t>
      </w:r>
      <w:r w:rsidRPr="00D07052">
        <w:t xml:space="preserve">wner-occupied </w:t>
      </w:r>
      <w:r>
        <w:t xml:space="preserve">sector </w:t>
      </w:r>
    </w:p>
    <w:p w14:paraId="56A2411F" w14:textId="77777777" w:rsidR="001F27D2" w:rsidRPr="00803866" w:rsidRDefault="001F27D2" w:rsidP="007D2B69">
      <w:pPr>
        <w:pStyle w:val="Maintext"/>
        <w:numPr>
          <w:ilvl w:val="1"/>
          <w:numId w:val="36"/>
        </w:numPr>
        <w:spacing w:before="0"/>
      </w:pPr>
      <w:r w:rsidRPr="00D07052">
        <w:t xml:space="preserve">The survey asked stakeholders to identify the areas of high and low demand within the owner occupied sector in </w:t>
      </w:r>
      <w:r>
        <w:t>Eden</w:t>
      </w:r>
      <w:r w:rsidRPr="00D07052">
        <w:t xml:space="preserve">, and </w:t>
      </w:r>
      <w:r w:rsidRPr="000031D6">
        <w:t xml:space="preserve">the factors that influence this. Respondents </w:t>
      </w:r>
      <w:r>
        <w:t xml:space="preserve">seemed to </w:t>
      </w:r>
      <w:r w:rsidRPr="000031D6">
        <w:t>ident</w:t>
      </w:r>
      <w:r>
        <w:t>ify</w:t>
      </w:r>
      <w:r w:rsidRPr="000031D6">
        <w:t xml:space="preserve"> </w:t>
      </w:r>
      <w:r>
        <w:t>Penrith as an area with high demand and reasons for this included good transport links, schools and local services. Respondents identified</w:t>
      </w:r>
      <w:r w:rsidRPr="00803866">
        <w:t xml:space="preserve"> Alston as an area of low demand</w:t>
      </w:r>
      <w:r>
        <w:t xml:space="preserve">, due to it being a deeper rural location which is relatively isolated with fewer transport links and access to schools. </w:t>
      </w:r>
    </w:p>
    <w:p w14:paraId="29A91BBA" w14:textId="77777777" w:rsidR="001F27D2" w:rsidRPr="000031D6" w:rsidRDefault="001F27D2" w:rsidP="007D2B69">
      <w:pPr>
        <w:pStyle w:val="Maintext"/>
        <w:numPr>
          <w:ilvl w:val="1"/>
          <w:numId w:val="36"/>
        </w:numPr>
        <w:spacing w:before="0"/>
      </w:pPr>
      <w:r w:rsidRPr="000031D6">
        <w:t xml:space="preserve">Asked what they considered the current limitations of the housing market to be across the District, stakeholders mentioned </w:t>
      </w:r>
      <w:r>
        <w:t xml:space="preserve">variety of land available for allocation and variety of house builders, too many unaffordable new builds, too many small houses with little storage space and lack of adequate parking facilities, cost of developments in national park and conservation areas and a lack of lifetime homes. </w:t>
      </w:r>
    </w:p>
    <w:p w14:paraId="579983C3" w14:textId="77777777" w:rsidR="001F27D2" w:rsidRPr="000031D6" w:rsidRDefault="001F27D2" w:rsidP="007D2B69">
      <w:pPr>
        <w:pStyle w:val="Maintext"/>
        <w:numPr>
          <w:ilvl w:val="1"/>
          <w:numId w:val="36"/>
        </w:numPr>
        <w:spacing w:before="0"/>
      </w:pPr>
      <w:r w:rsidRPr="000031D6">
        <w:t xml:space="preserve">In terms of </w:t>
      </w:r>
      <w:r>
        <w:t xml:space="preserve">characteristics of </w:t>
      </w:r>
      <w:r w:rsidRPr="000031D6">
        <w:t xml:space="preserve">demand, first-time buyers and </w:t>
      </w:r>
      <w:r>
        <w:t>younger families</w:t>
      </w:r>
      <w:r w:rsidRPr="000031D6">
        <w:t xml:space="preserve"> were identified</w:t>
      </w:r>
      <w:r>
        <w:t xml:space="preserve">. </w:t>
      </w:r>
      <w:r w:rsidRPr="000031D6">
        <w:t xml:space="preserve"> </w:t>
      </w:r>
      <w:r>
        <w:t xml:space="preserve">As well as this, </w:t>
      </w:r>
      <w:r w:rsidRPr="000031D6">
        <w:t xml:space="preserve">housing for older generations who are looking to downsize, </w:t>
      </w:r>
      <w:r>
        <w:t>and those looking to retire in the area are driving demand</w:t>
      </w:r>
      <w:r w:rsidRPr="000031D6">
        <w:t xml:space="preserve">. </w:t>
      </w:r>
      <w:r>
        <w:t>Households</w:t>
      </w:r>
      <w:r w:rsidRPr="000031D6">
        <w:t xml:space="preserve"> seeking secure family accommodation </w:t>
      </w:r>
      <w:r>
        <w:t>following a</w:t>
      </w:r>
      <w:r w:rsidRPr="000031D6">
        <w:t xml:space="preserve"> relationship breakdown </w:t>
      </w:r>
      <w:r>
        <w:t>were</w:t>
      </w:r>
      <w:r w:rsidRPr="000031D6">
        <w:t xml:space="preserve"> also highlighted.</w:t>
      </w:r>
    </w:p>
    <w:p w14:paraId="3760BDD6" w14:textId="77777777" w:rsidR="001F27D2" w:rsidRDefault="001F27D2" w:rsidP="007D2B69">
      <w:pPr>
        <w:pStyle w:val="Maintext"/>
        <w:numPr>
          <w:ilvl w:val="1"/>
          <w:numId w:val="36"/>
        </w:numPr>
        <w:spacing w:before="0"/>
      </w:pPr>
      <w:r>
        <w:t xml:space="preserve">When asked about their </w:t>
      </w:r>
      <w:r w:rsidRPr="000031D6">
        <w:t>views on house price and rental price trends in the survey area, including the impact of changes in mortgage finances</w:t>
      </w:r>
      <w:r>
        <w:t>,</w:t>
      </w:r>
      <w:r w:rsidRPr="000031D6">
        <w:t xml:space="preserve"> </w:t>
      </w:r>
      <w:r>
        <w:t xml:space="preserve">respondents mentioned the high house prices in the area compared with local wages, and the difficulties faced in obtaining deposits. </w:t>
      </w:r>
    </w:p>
    <w:p w14:paraId="155F8719" w14:textId="77777777" w:rsidR="001F27D2" w:rsidRPr="004E4A5B" w:rsidRDefault="001F27D2" w:rsidP="007D2B69">
      <w:pPr>
        <w:pStyle w:val="Maintext"/>
        <w:numPr>
          <w:ilvl w:val="1"/>
          <w:numId w:val="36"/>
        </w:numPr>
        <w:spacing w:before="0"/>
      </w:pPr>
      <w:r>
        <w:t>All respondents believed anti-social behaviour not to be a major problem within Eden.</w:t>
      </w:r>
    </w:p>
    <w:p w14:paraId="0CCE8115" w14:textId="77777777" w:rsidR="001F27D2" w:rsidRDefault="001F27D2" w:rsidP="007D2B69">
      <w:pPr>
        <w:pStyle w:val="Maintext"/>
        <w:numPr>
          <w:ilvl w:val="1"/>
          <w:numId w:val="36"/>
        </w:numPr>
        <w:spacing w:before="0"/>
      </w:pPr>
      <w:r>
        <w:t>Asked if affordability is an issue across the Eden District Council area, most stakeholders agreed. Reference was given to Eden being a low waged economy with high house prices in relation to average wages and the difficulties in assembling required deposits. O</w:t>
      </w:r>
      <w:r w:rsidRPr="003D7673">
        <w:t xml:space="preserve">ne stakeholder expressed the view that affordability </w:t>
      </w:r>
      <w:r>
        <w:t xml:space="preserve">is an issue across most of the District, but higher in villages in or bordering the Lake District and in the Eden Valley. </w:t>
      </w:r>
    </w:p>
    <w:p w14:paraId="693AC28A" w14:textId="77777777" w:rsidR="001F27D2" w:rsidRDefault="001F27D2" w:rsidP="001F27D2">
      <w:pPr>
        <w:pStyle w:val="Reporttext"/>
        <w:numPr>
          <w:ilvl w:val="0"/>
          <w:numId w:val="0"/>
        </w:numPr>
        <w:ind w:left="709"/>
      </w:pPr>
    </w:p>
    <w:p w14:paraId="0E462604" w14:textId="77777777" w:rsidR="001F27D2" w:rsidRPr="00FD271D" w:rsidRDefault="001F27D2" w:rsidP="00F835A8">
      <w:pPr>
        <w:pStyle w:val="Heading3"/>
      </w:pPr>
      <w:r w:rsidRPr="00FD271D">
        <w:t>New development</w:t>
      </w:r>
    </w:p>
    <w:p w14:paraId="342D20ED" w14:textId="77777777" w:rsidR="001F27D2" w:rsidRDefault="001F27D2" w:rsidP="007D2B69">
      <w:pPr>
        <w:pStyle w:val="Maintext"/>
        <w:numPr>
          <w:ilvl w:val="1"/>
          <w:numId w:val="36"/>
        </w:numPr>
        <w:spacing w:before="0"/>
      </w:pPr>
      <w:r>
        <w:t xml:space="preserve">In terms of new-build development at the present time, stakeholders mentioned the significant new build taking place in Penrith. Some respondents also mentioned the development taking place in outlying villages. </w:t>
      </w:r>
    </w:p>
    <w:p w14:paraId="4254E3C9" w14:textId="77777777" w:rsidR="001F27D2" w:rsidRPr="00FA5614" w:rsidRDefault="001F27D2" w:rsidP="007D2B69">
      <w:pPr>
        <w:pStyle w:val="Maintext"/>
        <w:numPr>
          <w:ilvl w:val="1"/>
          <w:numId w:val="36"/>
        </w:numPr>
        <w:spacing w:before="0"/>
      </w:pPr>
      <w:r w:rsidRPr="00FA5614">
        <w:t xml:space="preserve">Demand for new-build homes was </w:t>
      </w:r>
      <w:r>
        <w:t xml:space="preserve">again </w:t>
      </w:r>
      <w:r w:rsidRPr="00FA5614">
        <w:t xml:space="preserve">mentioned in Penrith, and one stakeholder mentioned the potential declining demand in Alston. Reasons for this included the ease of accessing services and transport links. </w:t>
      </w:r>
      <w:r>
        <w:t>The demand profile for these new build homes was considered to be mixed with people buying and renting, and the demand coming from families typically for 3 bed homes, and for smaller units for older people.</w:t>
      </w:r>
    </w:p>
    <w:p w14:paraId="4DB37EFE" w14:textId="27C0736A" w:rsidR="001F27D2" w:rsidRDefault="001F27D2" w:rsidP="007D2B69">
      <w:pPr>
        <w:pStyle w:val="Maintext"/>
        <w:numPr>
          <w:ilvl w:val="1"/>
          <w:numId w:val="36"/>
        </w:numPr>
        <w:spacing w:before="0"/>
      </w:pPr>
      <w:r>
        <w:t xml:space="preserve">Asked whether demand for new build housing is from households currently living within Eden District Council area or from people seeking to move into the </w:t>
      </w:r>
      <w:r w:rsidR="007A6718">
        <w:t>D</w:t>
      </w:r>
      <w:r>
        <w:t>istrict, respondents replied by saying this was mixed. A few stakeholders expressed the view that demand is largely from households currently living in the area, particularly older people and small families.</w:t>
      </w:r>
    </w:p>
    <w:p w14:paraId="7A1BC277" w14:textId="77777777" w:rsidR="001F27D2" w:rsidRPr="006A41B2" w:rsidRDefault="001F27D2" w:rsidP="007D2B69">
      <w:pPr>
        <w:pStyle w:val="Maintext"/>
        <w:numPr>
          <w:ilvl w:val="1"/>
          <w:numId w:val="36"/>
        </w:numPr>
        <w:spacing w:before="0"/>
      </w:pPr>
      <w:r>
        <w:lastRenderedPageBreak/>
        <w:t xml:space="preserve">In terms of recommended locations for new build housing, stakeholders suggested land with </w:t>
      </w:r>
      <w:r w:rsidRPr="006A41B2">
        <w:t>good access to the transport network</w:t>
      </w:r>
      <w:r>
        <w:t xml:space="preserve">, </w:t>
      </w:r>
      <w:r w:rsidRPr="006A41B2">
        <w:t>close to local schools</w:t>
      </w:r>
      <w:r>
        <w:t xml:space="preserve"> and other services</w:t>
      </w:r>
      <w:r w:rsidRPr="006A41B2">
        <w:t xml:space="preserve">. </w:t>
      </w:r>
      <w:r>
        <w:t>Penrith</w:t>
      </w:r>
      <w:r w:rsidRPr="006A41B2">
        <w:t xml:space="preserve"> was </w:t>
      </w:r>
      <w:r>
        <w:t xml:space="preserve">mainly </w:t>
      </w:r>
      <w:r w:rsidRPr="006A41B2">
        <w:t>highlighted as a good location. With respect to housing types, the following were mentioned:</w:t>
      </w:r>
    </w:p>
    <w:p w14:paraId="16005A86" w14:textId="77777777" w:rsidR="001F27D2" w:rsidRDefault="001F27D2" w:rsidP="001F27D2">
      <w:pPr>
        <w:pStyle w:val="bullet"/>
        <w:rPr>
          <w:rFonts w:cs="Calibri"/>
        </w:rPr>
      </w:pPr>
      <w:r>
        <w:rPr>
          <w:rFonts w:cs="Calibri"/>
        </w:rPr>
        <w:t>Decent sized family homes;</w:t>
      </w:r>
    </w:p>
    <w:p w14:paraId="269D93EF" w14:textId="77777777" w:rsidR="001F27D2" w:rsidRDefault="001F27D2" w:rsidP="001F27D2">
      <w:pPr>
        <w:pStyle w:val="bullet"/>
        <w:rPr>
          <w:rFonts w:cs="Calibri"/>
        </w:rPr>
      </w:pPr>
      <w:r>
        <w:rPr>
          <w:rFonts w:cs="Calibri"/>
        </w:rPr>
        <w:t>2/3 bed starter homes;</w:t>
      </w:r>
    </w:p>
    <w:p w14:paraId="0640F5B8" w14:textId="77777777" w:rsidR="001F27D2" w:rsidRDefault="001F27D2" w:rsidP="001F27D2">
      <w:pPr>
        <w:pStyle w:val="bullet"/>
        <w:rPr>
          <w:rFonts w:cs="Calibri"/>
        </w:rPr>
      </w:pPr>
      <w:r>
        <w:rPr>
          <w:rFonts w:cs="Calibri"/>
        </w:rPr>
        <w:t>More executive housing;</w:t>
      </w:r>
    </w:p>
    <w:p w14:paraId="051F48AC" w14:textId="77777777" w:rsidR="001F27D2" w:rsidRDefault="001F27D2" w:rsidP="001F27D2">
      <w:pPr>
        <w:pStyle w:val="bullet"/>
        <w:rPr>
          <w:rFonts w:cs="Calibri"/>
        </w:rPr>
      </w:pPr>
      <w:r>
        <w:rPr>
          <w:rFonts w:cs="Calibri"/>
        </w:rPr>
        <w:t>A full range of affordable homes;</w:t>
      </w:r>
    </w:p>
    <w:p w14:paraId="1C33A423" w14:textId="77777777" w:rsidR="001F27D2" w:rsidRPr="00AF2741" w:rsidRDefault="001F27D2" w:rsidP="001F27D2">
      <w:pPr>
        <w:pStyle w:val="bullet"/>
        <w:rPr>
          <w:rFonts w:cs="Calibri"/>
        </w:rPr>
      </w:pPr>
      <w:r>
        <w:rPr>
          <w:rFonts w:cs="Calibri"/>
        </w:rPr>
        <w:t>1, 2 and 3 bed bungalows – particularly dormer style to cater also for families;</w:t>
      </w:r>
    </w:p>
    <w:p w14:paraId="042C884B" w14:textId="77777777" w:rsidR="001F27D2" w:rsidRDefault="001F27D2" w:rsidP="001F27D2">
      <w:pPr>
        <w:pStyle w:val="bullet"/>
        <w:rPr>
          <w:rFonts w:cs="Calibri"/>
        </w:rPr>
      </w:pPr>
      <w:r>
        <w:rPr>
          <w:rFonts w:cs="Calibri"/>
        </w:rPr>
        <w:t>Life time homes, properties with level access, wider internal doors, designed to accept stair lifts etc;</w:t>
      </w:r>
    </w:p>
    <w:p w14:paraId="3B7553DA" w14:textId="77777777" w:rsidR="001F27D2" w:rsidRDefault="001F27D2" w:rsidP="001F27D2">
      <w:pPr>
        <w:pStyle w:val="bullet"/>
        <w:rPr>
          <w:rFonts w:cs="Calibri"/>
        </w:rPr>
      </w:pPr>
      <w:r>
        <w:rPr>
          <w:rFonts w:cs="Calibri"/>
        </w:rPr>
        <w:t>A mixture of family housing and smaller properties suitable for single people and couples; and</w:t>
      </w:r>
    </w:p>
    <w:p w14:paraId="1F1EAB4A" w14:textId="77777777" w:rsidR="001F27D2" w:rsidRDefault="001F27D2" w:rsidP="001F27D2">
      <w:pPr>
        <w:pStyle w:val="bullet"/>
        <w:rPr>
          <w:rFonts w:cs="Calibri"/>
        </w:rPr>
      </w:pPr>
      <w:r>
        <w:rPr>
          <w:rFonts w:cs="Calibri"/>
        </w:rPr>
        <w:t>1 bed flats.</w:t>
      </w:r>
    </w:p>
    <w:p w14:paraId="769DE83B" w14:textId="77777777" w:rsidR="001F27D2" w:rsidRDefault="001F27D2" w:rsidP="007D2B69">
      <w:pPr>
        <w:pStyle w:val="Maintext"/>
        <w:numPr>
          <w:ilvl w:val="1"/>
          <w:numId w:val="36"/>
        </w:numPr>
        <w:spacing w:before="0"/>
      </w:pPr>
      <w:r w:rsidRPr="00FB394D">
        <w:t>Some of</w:t>
      </w:r>
      <w:r>
        <w:t xml:space="preserve"> the stakeholders expressed an interest in working with community groups to develop new build housing in the Eden area. When asked why they are interested in developing in this area, respondents noted the strong demand for housing in Eden as well as already being large providers of housing in the area. When asked what type of land they are holding/developing, only one respondent replied, saying that it is a mixture of brownfield/greenfield. </w:t>
      </w:r>
    </w:p>
    <w:p w14:paraId="22E32209" w14:textId="77777777" w:rsidR="001F27D2" w:rsidRDefault="001F27D2" w:rsidP="007D2B69">
      <w:pPr>
        <w:pStyle w:val="Maintext"/>
        <w:numPr>
          <w:ilvl w:val="1"/>
          <w:numId w:val="36"/>
        </w:numPr>
        <w:spacing w:before="0"/>
      </w:pPr>
      <w:r>
        <w:t>Barriers to development were identified as including:</w:t>
      </w:r>
    </w:p>
    <w:p w14:paraId="7E9D7DD2" w14:textId="77777777" w:rsidR="001F27D2" w:rsidRDefault="001F27D2" w:rsidP="001F27D2">
      <w:pPr>
        <w:pStyle w:val="bullet"/>
        <w:rPr>
          <w:rFonts w:cs="Calibri"/>
        </w:rPr>
      </w:pPr>
      <w:r>
        <w:rPr>
          <w:rFonts w:cs="Calibri"/>
        </w:rPr>
        <w:t>Planning policy;</w:t>
      </w:r>
    </w:p>
    <w:p w14:paraId="7AF0D739" w14:textId="77777777" w:rsidR="001F27D2" w:rsidRDefault="001F27D2" w:rsidP="001F27D2">
      <w:pPr>
        <w:pStyle w:val="bullet"/>
        <w:rPr>
          <w:rFonts w:cs="Calibri"/>
        </w:rPr>
      </w:pPr>
      <w:r>
        <w:rPr>
          <w:rFonts w:cs="Calibri"/>
        </w:rPr>
        <w:t>The size and topography of land allocated;</w:t>
      </w:r>
    </w:p>
    <w:p w14:paraId="047DA251" w14:textId="77777777" w:rsidR="001F27D2" w:rsidRDefault="001F27D2" w:rsidP="001F27D2">
      <w:pPr>
        <w:pStyle w:val="bullet"/>
        <w:rPr>
          <w:rFonts w:cs="Calibri"/>
        </w:rPr>
      </w:pPr>
      <w:r>
        <w:rPr>
          <w:rFonts w:cs="Calibri"/>
        </w:rPr>
        <w:t>Site assembly issues as many areas are dominated by large scale landowners;</w:t>
      </w:r>
    </w:p>
    <w:p w14:paraId="62C8B399" w14:textId="77777777" w:rsidR="001F27D2" w:rsidRDefault="001F27D2" w:rsidP="001F27D2">
      <w:pPr>
        <w:pStyle w:val="bullet"/>
        <w:rPr>
          <w:rFonts w:cs="Calibri"/>
        </w:rPr>
      </w:pPr>
      <w:r>
        <w:rPr>
          <w:rFonts w:cs="Calibri"/>
        </w:rPr>
        <w:t>Long timescales;</w:t>
      </w:r>
    </w:p>
    <w:p w14:paraId="489EDAEF" w14:textId="77777777" w:rsidR="001F27D2" w:rsidRDefault="001F27D2" w:rsidP="001F27D2">
      <w:pPr>
        <w:pStyle w:val="bullet"/>
        <w:rPr>
          <w:rFonts w:cs="Calibri"/>
        </w:rPr>
      </w:pPr>
      <w:r>
        <w:rPr>
          <w:rFonts w:cs="Calibri"/>
        </w:rPr>
        <w:t>Challenging funding environment and regulation; and</w:t>
      </w:r>
    </w:p>
    <w:p w14:paraId="1141E150" w14:textId="77777777" w:rsidR="001F27D2" w:rsidRDefault="001F27D2" w:rsidP="001F27D2">
      <w:pPr>
        <w:pStyle w:val="bullet"/>
        <w:rPr>
          <w:rFonts w:cs="Calibri"/>
        </w:rPr>
      </w:pPr>
      <w:r>
        <w:rPr>
          <w:rFonts w:cs="Calibri"/>
        </w:rPr>
        <w:t>Cost of land and availability of affordable land.</w:t>
      </w:r>
    </w:p>
    <w:p w14:paraId="276D6F6A" w14:textId="77777777" w:rsidR="001F27D2" w:rsidRDefault="001F27D2" w:rsidP="007D2B69">
      <w:pPr>
        <w:pStyle w:val="Maintext"/>
        <w:numPr>
          <w:ilvl w:val="1"/>
          <w:numId w:val="36"/>
        </w:numPr>
        <w:spacing w:before="0"/>
      </w:pPr>
      <w:r>
        <w:t xml:space="preserve">Respondents were asked how they envisage the market for new build dwellings will develop over the short (to end 2021), medium (to 2026) and long term (to 2035). One respondent believes that due to Eden’s position geographically the market demand will grow exponentially. Others believe the market to the medium term will remain buoyant but are unsure as to the longer term. Another respondent expressed that it entirely depends on supply. </w:t>
      </w:r>
    </w:p>
    <w:p w14:paraId="2C57F593" w14:textId="77777777" w:rsidR="001F27D2" w:rsidRDefault="001F27D2" w:rsidP="007D2B69">
      <w:pPr>
        <w:pStyle w:val="Maintext"/>
        <w:numPr>
          <w:ilvl w:val="1"/>
          <w:numId w:val="36"/>
        </w:numPr>
        <w:spacing w:before="0"/>
      </w:pPr>
      <w:r>
        <w:t>No respondents revealed that they have accessed and used any Homes England initiatives.</w:t>
      </w:r>
    </w:p>
    <w:p w14:paraId="4574C77E" w14:textId="77777777" w:rsidR="001F27D2" w:rsidRDefault="001F27D2" w:rsidP="007D2B69">
      <w:pPr>
        <w:pStyle w:val="Maintext"/>
        <w:numPr>
          <w:ilvl w:val="1"/>
          <w:numId w:val="36"/>
        </w:numPr>
        <w:spacing w:before="0"/>
      </w:pPr>
      <w:r>
        <w:t xml:space="preserve">Several respondents stated that they are not developing affordable housing products, whilst a couple of respondents stated that they do provide affordable housing. Others responded that they are looking at developing these in relation to shared ownership and another in relation to an offer for empty properties. </w:t>
      </w:r>
    </w:p>
    <w:p w14:paraId="2C16045E" w14:textId="77777777" w:rsidR="001F27D2" w:rsidRDefault="001F27D2" w:rsidP="007D2B69">
      <w:pPr>
        <w:pStyle w:val="Maintext"/>
        <w:numPr>
          <w:ilvl w:val="1"/>
          <w:numId w:val="36"/>
        </w:numPr>
        <w:spacing w:before="0"/>
      </w:pPr>
      <w:r>
        <w:lastRenderedPageBreak/>
        <w:t xml:space="preserve">When asked about their experience with Help to Buy and discounted sale schemes/products, we received a mixed response. Some respondents said that they utilise these schemes or have done in the past. Another expressed that discount sale schemes are the best products as they are easy to understand for all concerned. However, another respondent did not like the idea as it fuels rises in house prices, since the schemes encourage purchases according to what they can pay, not what the home is worth and developers’ price accordingly. Another respondent expressed that these are useful products to help people onto the market, but often the interest rates are higher than regular mortgages, which is counterproductive. </w:t>
      </w:r>
    </w:p>
    <w:p w14:paraId="63B24A96" w14:textId="77777777" w:rsidR="001F27D2" w:rsidRDefault="001F27D2" w:rsidP="007D2B69">
      <w:pPr>
        <w:pStyle w:val="Maintext"/>
        <w:numPr>
          <w:ilvl w:val="1"/>
          <w:numId w:val="36"/>
        </w:numPr>
        <w:spacing w:before="0"/>
      </w:pPr>
      <w:r>
        <w:t>Some of the key messages that respondents wish to be considered regarding housing markets in the Housing Study were:</w:t>
      </w:r>
    </w:p>
    <w:p w14:paraId="49E43E6C" w14:textId="77777777" w:rsidR="001F27D2" w:rsidRDefault="001F27D2" w:rsidP="00F835A8">
      <w:pPr>
        <w:pStyle w:val="bullet"/>
      </w:pPr>
      <w:r>
        <w:t>Provide a wider choice of land to be developed on;</w:t>
      </w:r>
    </w:p>
    <w:p w14:paraId="543B9E95" w14:textId="77777777" w:rsidR="001F27D2" w:rsidRDefault="001F27D2" w:rsidP="00F835A8">
      <w:pPr>
        <w:pStyle w:val="bullet"/>
      </w:pPr>
      <w:r>
        <w:t>T</w:t>
      </w:r>
      <w:r w:rsidRPr="001271F3">
        <w:t>here is a definite need for more flexible accommodation that can change as circumstances change</w:t>
      </w:r>
      <w:r>
        <w:t xml:space="preserve">. </w:t>
      </w:r>
      <w:r w:rsidRPr="001271F3">
        <w:t>Developers have to listen to the housing need of the area and stop building homes that generate the most profit</w:t>
      </w:r>
      <w:r>
        <w:t>;</w:t>
      </w:r>
    </w:p>
    <w:p w14:paraId="0E3FA2CF" w14:textId="77777777" w:rsidR="001F27D2" w:rsidRDefault="001F27D2" w:rsidP="00F835A8">
      <w:pPr>
        <w:pStyle w:val="bullet"/>
      </w:pPr>
      <w:r>
        <w:t>Housing policy should be evidence-based and ideally shaped by local communities;</w:t>
      </w:r>
    </w:p>
    <w:p w14:paraId="3A558929" w14:textId="77777777" w:rsidR="001F27D2" w:rsidRDefault="001F27D2" w:rsidP="00F835A8">
      <w:pPr>
        <w:pStyle w:val="bullet"/>
      </w:pPr>
      <w:r>
        <w:t>Developing houses should be balanced with existing housing stock, including market price and affordable housing;</w:t>
      </w:r>
    </w:p>
    <w:p w14:paraId="7E7BB8F1" w14:textId="77777777" w:rsidR="001F27D2" w:rsidRDefault="001F27D2" w:rsidP="00F835A8">
      <w:pPr>
        <w:pStyle w:val="bullet"/>
      </w:pPr>
      <w:r>
        <w:t>Supported access for all;</w:t>
      </w:r>
    </w:p>
    <w:p w14:paraId="6B72E797" w14:textId="77777777" w:rsidR="001F27D2" w:rsidRDefault="001F27D2" w:rsidP="00F835A8">
      <w:pPr>
        <w:pStyle w:val="bullet"/>
      </w:pPr>
      <w:r w:rsidRPr="001271F3">
        <w:t>Do not conform to government mantra</w:t>
      </w:r>
      <w:r>
        <w:t>s</w:t>
      </w:r>
      <w:r w:rsidRPr="001271F3">
        <w:t xml:space="preserve"> concerning concentration of development in towns. Allow for village development but housing should not be planning in isolation from other needs and requirements</w:t>
      </w:r>
      <w:r>
        <w:t>;</w:t>
      </w:r>
    </w:p>
    <w:p w14:paraId="322B7761" w14:textId="77777777" w:rsidR="001F27D2" w:rsidRDefault="001F27D2" w:rsidP="00F835A8">
      <w:pPr>
        <w:pStyle w:val="bullet"/>
      </w:pPr>
      <w:r w:rsidRPr="001271F3">
        <w:t>It</w:t>
      </w:r>
      <w:r>
        <w:t>’</w:t>
      </w:r>
      <w:r w:rsidRPr="001271F3">
        <w:t>s not about the numbers it</w:t>
      </w:r>
      <w:r>
        <w:t>’</w:t>
      </w:r>
      <w:r w:rsidRPr="001271F3">
        <w:t>s about the right homes to the right quality in the right places that will be of value over a long period of time.</w:t>
      </w:r>
    </w:p>
    <w:p w14:paraId="488F90E4" w14:textId="77777777" w:rsidR="001F27D2" w:rsidRDefault="001F27D2" w:rsidP="00F835A8"/>
    <w:p w14:paraId="46B64DB3" w14:textId="77777777" w:rsidR="001F27D2" w:rsidRPr="00A43DB0" w:rsidRDefault="001F27D2" w:rsidP="00F835A8">
      <w:pPr>
        <w:pStyle w:val="Heading3"/>
      </w:pPr>
      <w:r w:rsidRPr="00A43DB0">
        <w:t>Private rented sector</w:t>
      </w:r>
    </w:p>
    <w:p w14:paraId="5ACFA1D2" w14:textId="77777777" w:rsidR="001F27D2" w:rsidRPr="001975ED" w:rsidRDefault="001F27D2" w:rsidP="007D2B69">
      <w:pPr>
        <w:pStyle w:val="Maintext"/>
        <w:numPr>
          <w:ilvl w:val="1"/>
          <w:numId w:val="36"/>
        </w:numPr>
        <w:spacing w:before="0"/>
      </w:pPr>
      <w:r w:rsidRPr="00A43DB0">
        <w:t xml:space="preserve">Regarding the private rented sector, stakeholders were asked about its size in </w:t>
      </w:r>
      <w:r>
        <w:t>Eden</w:t>
      </w:r>
      <w:r w:rsidRPr="00A43DB0">
        <w:t xml:space="preserve">, and whether they felt it is too big, too small or about right. </w:t>
      </w:r>
      <w:r>
        <w:t xml:space="preserve">All stakeholders seemed to think the PRS in Eden is too small. Some stakeholders expanded on this by saying that there are very few family homes available for rent across the District, and the buoyant holiday let market takes properties out of the longer term rental market. Other concerns regarded private sector rents as too high and unachievable for those on low incomes and there being little choice for those wishing to access the private rented sector. </w:t>
      </w:r>
      <w:r w:rsidRPr="001975ED">
        <w:t xml:space="preserve"> </w:t>
      </w:r>
      <w:r>
        <w:t>One respondent believed that PRS could be increased, but that the main issues are regarding housing quality and affordable warmth.</w:t>
      </w:r>
    </w:p>
    <w:p w14:paraId="6A7FCE4D" w14:textId="77777777" w:rsidR="001F27D2" w:rsidRPr="0087274D" w:rsidRDefault="001F27D2" w:rsidP="007D2B69">
      <w:pPr>
        <w:pStyle w:val="Maintext"/>
        <w:numPr>
          <w:ilvl w:val="1"/>
          <w:numId w:val="36"/>
        </w:numPr>
        <w:spacing w:before="0"/>
      </w:pPr>
      <w:r>
        <w:t xml:space="preserve">Respondents reported differing </w:t>
      </w:r>
      <w:r w:rsidRPr="001975ED">
        <w:t xml:space="preserve">characteristics of the PRS in </w:t>
      </w:r>
      <w:r>
        <w:t>Eden,</w:t>
      </w:r>
      <w:r w:rsidRPr="001975ED">
        <w:t xml:space="preserve"> </w:t>
      </w:r>
      <w:r>
        <w:t xml:space="preserve">including: mainly smaller properties (1-2 bed flats); general poor quality housing; varied stock; and expensive, sometimes larger properties in villages. </w:t>
      </w:r>
      <w:r w:rsidRPr="0087274D">
        <w:t xml:space="preserve">In terms of locations, PRS stock </w:t>
      </w:r>
      <w:r>
        <w:t>was said to be</w:t>
      </w:r>
      <w:r w:rsidRPr="0087274D">
        <w:t xml:space="preserve"> found</w:t>
      </w:r>
      <w:r>
        <w:t xml:space="preserve"> spread across the District, and some gave particular mention to Penrith, and Appleby.</w:t>
      </w:r>
    </w:p>
    <w:p w14:paraId="441A5815" w14:textId="77777777" w:rsidR="001F27D2" w:rsidRPr="00543A6B" w:rsidRDefault="001F27D2" w:rsidP="007D2B69">
      <w:pPr>
        <w:pStyle w:val="Maintext"/>
        <w:numPr>
          <w:ilvl w:val="1"/>
          <w:numId w:val="36"/>
        </w:numPr>
        <w:spacing w:before="0"/>
      </w:pPr>
      <w:r w:rsidRPr="0087274D">
        <w:lastRenderedPageBreak/>
        <w:t xml:space="preserve">Demand for PRS was considered to be strongest </w:t>
      </w:r>
      <w:r>
        <w:t>in Penrith due to transport links and access to services</w:t>
      </w:r>
      <w:r w:rsidRPr="0087274D">
        <w:t xml:space="preserve">, although </w:t>
      </w:r>
      <w:r>
        <w:t>one respondent noted high demand</w:t>
      </w:r>
      <w:r w:rsidRPr="0087274D">
        <w:t xml:space="preserve"> </w:t>
      </w:r>
      <w:r>
        <w:t xml:space="preserve">in rural areas created by shortage of supply. </w:t>
      </w:r>
      <w:r w:rsidRPr="00543A6B">
        <w:t xml:space="preserve"> </w:t>
      </w:r>
    </w:p>
    <w:p w14:paraId="41B1FDFD" w14:textId="77777777" w:rsidR="001F27D2" w:rsidRDefault="001F27D2" w:rsidP="007D2B69">
      <w:pPr>
        <w:pStyle w:val="Maintext"/>
        <w:numPr>
          <w:ilvl w:val="1"/>
          <w:numId w:val="36"/>
        </w:numPr>
        <w:spacing w:before="0"/>
      </w:pPr>
      <w:r>
        <w:t>There was limited response i</w:t>
      </w:r>
      <w:r w:rsidRPr="00543A6B">
        <w:t>n terms of buy-to-let</w:t>
      </w:r>
      <w:r>
        <w:t xml:space="preserve"> in the local market</w:t>
      </w:r>
      <w:r w:rsidRPr="00543A6B">
        <w:t xml:space="preserve">, </w:t>
      </w:r>
      <w:r>
        <w:t>with only one respondent commenting that there is some presence of this, but that the main element is the private landlord rather than the investor, and that there are no key trends and the current scale of buy-to-let is low to medium.</w:t>
      </w:r>
    </w:p>
    <w:p w14:paraId="64699D03" w14:textId="77777777" w:rsidR="001F27D2" w:rsidRDefault="001F27D2" w:rsidP="007D2B69">
      <w:pPr>
        <w:pStyle w:val="Maintext"/>
        <w:numPr>
          <w:ilvl w:val="1"/>
          <w:numId w:val="36"/>
        </w:numPr>
        <w:spacing w:before="0"/>
      </w:pPr>
      <w:r>
        <w:t>Stakeholders were asked about the type of households that are seeking private rented housing and the responses show that demand is led by households on lower incomes, particularly young single people and young families. No respondents commented on the question of high demand for PRS from ethnic minority groups.</w:t>
      </w:r>
    </w:p>
    <w:p w14:paraId="42B96E95" w14:textId="77777777" w:rsidR="001F27D2" w:rsidRDefault="001F27D2" w:rsidP="007D2B69">
      <w:pPr>
        <w:pStyle w:val="Maintext"/>
        <w:numPr>
          <w:ilvl w:val="1"/>
          <w:numId w:val="36"/>
        </w:numPr>
        <w:spacing w:before="0"/>
      </w:pPr>
      <w:r>
        <w:t>When asked about how changes in the economy and welfare have impacted on the private rented market, one respondent mentioned that there is an increase in the number of households being threatened with homelessness as a result of assured shorthold tenancies ending and the LHA restricts the ability of people to afford private rents which can indirectly increase the levels of potentially homeless households. One respondent noted that PRS has become even more inaccessible due to the amount of time taken to process universal credit claims. Another mentioned the loss of EU nationals due to Brexit.</w:t>
      </w:r>
    </w:p>
    <w:p w14:paraId="5ED41295" w14:textId="77777777" w:rsidR="001F27D2" w:rsidRPr="003D713C" w:rsidRDefault="001F27D2" w:rsidP="007D2B69">
      <w:pPr>
        <w:pStyle w:val="Maintext"/>
        <w:numPr>
          <w:ilvl w:val="1"/>
          <w:numId w:val="36"/>
        </w:numPr>
        <w:spacing w:before="0"/>
      </w:pPr>
      <w:r w:rsidRPr="003D713C">
        <w:t>Stakeholders were asked what they felt the key messages are that they want to be considered regarding the PRS</w:t>
      </w:r>
      <w:r>
        <w:t xml:space="preserve"> in the Housing Study</w:t>
      </w:r>
      <w:r w:rsidRPr="003D713C">
        <w:t>. The following were mentioned:</w:t>
      </w:r>
    </w:p>
    <w:p w14:paraId="08D9D0C6" w14:textId="77777777" w:rsidR="001F27D2" w:rsidRDefault="001F27D2" w:rsidP="001F27D2">
      <w:pPr>
        <w:pStyle w:val="bullet"/>
        <w:rPr>
          <w:rFonts w:cs="Calibri"/>
        </w:rPr>
      </w:pPr>
      <w:r>
        <w:rPr>
          <w:rFonts w:cs="Calibri"/>
        </w:rPr>
        <w:t>The PRS has been neglected by the Council over recent years due to a lack of resources and staffing; there is a significant amount of work to do in terms of improving PRS, making it more attractive to local people and improving the knowledge of private landlords around their responsibilities;</w:t>
      </w:r>
    </w:p>
    <w:p w14:paraId="272AEBF6" w14:textId="77777777" w:rsidR="001F27D2" w:rsidRDefault="001F27D2" w:rsidP="001F27D2">
      <w:pPr>
        <w:pStyle w:val="bullet"/>
        <w:rPr>
          <w:rFonts w:cs="Calibri"/>
        </w:rPr>
      </w:pPr>
      <w:r>
        <w:rPr>
          <w:rFonts w:cs="Calibri"/>
        </w:rPr>
        <w:t>Improve the quality and affordability of PRS;</w:t>
      </w:r>
    </w:p>
    <w:p w14:paraId="34AB0067" w14:textId="77777777" w:rsidR="001F27D2" w:rsidRDefault="001F27D2" w:rsidP="001F27D2">
      <w:pPr>
        <w:pStyle w:val="bullet"/>
        <w:rPr>
          <w:rFonts w:cs="Calibri"/>
        </w:rPr>
      </w:pPr>
      <w:r>
        <w:rPr>
          <w:rFonts w:cs="Calibri"/>
        </w:rPr>
        <w:t>Consolidate the existing rules and codify them – the sector requires stability, sensible regulation and balance in legislative treatment;</w:t>
      </w:r>
    </w:p>
    <w:p w14:paraId="1F3B4690" w14:textId="77777777" w:rsidR="001F27D2" w:rsidRDefault="001F27D2" w:rsidP="001F27D2">
      <w:pPr>
        <w:pStyle w:val="bullet"/>
        <w:rPr>
          <w:rFonts w:cs="Calibri"/>
        </w:rPr>
      </w:pPr>
      <w:r>
        <w:rPr>
          <w:rFonts w:cs="Calibri"/>
        </w:rPr>
        <w:t>There should be more promotion of a certification scheme, a quality kitemark, which could be used to signal good landlords offering good quality accommodation on longer term tenancies; and</w:t>
      </w:r>
    </w:p>
    <w:p w14:paraId="400EBF4E" w14:textId="77777777" w:rsidR="001F27D2" w:rsidRDefault="001F27D2" w:rsidP="001F27D2">
      <w:pPr>
        <w:pStyle w:val="bullet"/>
        <w:rPr>
          <w:rFonts w:cs="Calibri"/>
        </w:rPr>
      </w:pPr>
      <w:r>
        <w:rPr>
          <w:rFonts w:cs="Calibri"/>
        </w:rPr>
        <w:t>Easier access to PRS to support those who are on low incomes and experiencing housing difficulties.</w:t>
      </w:r>
    </w:p>
    <w:p w14:paraId="10CDE7A2" w14:textId="77777777" w:rsidR="001F27D2" w:rsidRPr="00111AB7" w:rsidRDefault="001F27D2" w:rsidP="001F27D2">
      <w:pPr>
        <w:pStyle w:val="Maintext"/>
        <w:numPr>
          <w:ilvl w:val="0"/>
          <w:numId w:val="0"/>
        </w:numPr>
        <w:rPr>
          <w:rFonts w:cs="Calibri"/>
        </w:rPr>
      </w:pPr>
    </w:p>
    <w:p w14:paraId="463BF297" w14:textId="77777777" w:rsidR="001F27D2" w:rsidRPr="00F835A8" w:rsidRDefault="001F27D2" w:rsidP="00F835A8">
      <w:pPr>
        <w:pStyle w:val="Heading3"/>
      </w:pPr>
      <w:r w:rsidRPr="00F835A8">
        <w:t xml:space="preserve">Social housing </w:t>
      </w:r>
    </w:p>
    <w:p w14:paraId="04D6624D" w14:textId="77777777" w:rsidR="001F27D2" w:rsidRPr="0081533B" w:rsidRDefault="001F27D2" w:rsidP="007D2B69">
      <w:pPr>
        <w:pStyle w:val="Maintext"/>
        <w:numPr>
          <w:ilvl w:val="1"/>
          <w:numId w:val="36"/>
        </w:numPr>
        <w:spacing w:before="0"/>
      </w:pPr>
      <w:r w:rsidRPr="00111AB7">
        <w:t xml:space="preserve">The stakeholder survey included </w:t>
      </w:r>
      <w:r>
        <w:t>some</w:t>
      </w:r>
      <w:r w:rsidRPr="00111AB7">
        <w:t xml:space="preserve"> registered providers and housing associations who operate within </w:t>
      </w:r>
      <w:r>
        <w:t>Eden, however responses were scarce in relation to such directed questions</w:t>
      </w:r>
      <w:r w:rsidRPr="00111AB7">
        <w:t xml:space="preserve">. </w:t>
      </w:r>
      <w:r>
        <w:t xml:space="preserve">Of those who responded, they </w:t>
      </w:r>
      <w:r w:rsidRPr="00111AB7">
        <w:t xml:space="preserve">reported managing general needs </w:t>
      </w:r>
      <w:r>
        <w:t xml:space="preserve">family sized homes (2 and 3 bed houses and flats), </w:t>
      </w:r>
      <w:r w:rsidRPr="00111AB7">
        <w:t xml:space="preserve">sheltered </w:t>
      </w:r>
      <w:r>
        <w:t>and extra care schemes and some older persons’ bungalows</w:t>
      </w:r>
      <w:r w:rsidRPr="00111AB7">
        <w:t>.</w:t>
      </w:r>
      <w:r>
        <w:t xml:space="preserve"> In relation to whether such organisations </w:t>
      </w:r>
      <w:r w:rsidRPr="0081533B">
        <w:t>had achieved Decent Homes targets</w:t>
      </w:r>
      <w:r>
        <w:t xml:space="preserve">, only </w:t>
      </w:r>
      <w:r w:rsidRPr="0081533B">
        <w:t>one respondent noted that the</w:t>
      </w:r>
      <w:r>
        <w:t>ir organisation</w:t>
      </w:r>
      <w:r w:rsidRPr="0081533B">
        <w:t xml:space="preserve"> ha</w:t>
      </w:r>
      <w:r>
        <w:t>d</w:t>
      </w:r>
      <w:r w:rsidRPr="0081533B">
        <w:t xml:space="preserve"> achieved these targets. </w:t>
      </w:r>
      <w:r>
        <w:t>They went on to say that o</w:t>
      </w:r>
      <w:r w:rsidRPr="0081533B">
        <w:t xml:space="preserve">nly a very small proportion of their stock are considered non-decent, but this is due to financial unviability and this organisation has </w:t>
      </w:r>
      <w:r w:rsidRPr="0081533B">
        <w:lastRenderedPageBreak/>
        <w:t xml:space="preserve">conducted options appraisals on such property and have plans to address them in different ways. </w:t>
      </w:r>
    </w:p>
    <w:p w14:paraId="2F85D67A" w14:textId="77777777" w:rsidR="001F27D2" w:rsidRPr="0081533B" w:rsidRDefault="001F27D2" w:rsidP="007D2B69">
      <w:pPr>
        <w:pStyle w:val="Maintext"/>
        <w:numPr>
          <w:ilvl w:val="1"/>
          <w:numId w:val="36"/>
        </w:numPr>
        <w:spacing w:before="0"/>
      </w:pPr>
      <w:r>
        <w:t>Again, there was limited response in relation to the standard at which organisations are building to at the moment, following the introduction of National Space Standards/Building Regulation changes and the end of Lifetime Homes Standards. One respondent replied that they are building to the minimum of Building Regulations.</w:t>
      </w:r>
    </w:p>
    <w:p w14:paraId="3C81CA22" w14:textId="77777777" w:rsidR="001F27D2" w:rsidRDefault="001F27D2" w:rsidP="007D2B69">
      <w:pPr>
        <w:pStyle w:val="Maintext"/>
        <w:numPr>
          <w:ilvl w:val="1"/>
          <w:numId w:val="36"/>
        </w:numPr>
        <w:spacing w:before="0"/>
      </w:pPr>
      <w:r>
        <w:t>High d</w:t>
      </w:r>
      <w:r w:rsidRPr="00AF768D">
        <w:t>emand for social rented and affordable housing was</w:t>
      </w:r>
      <w:r>
        <w:t xml:space="preserve"> reported in Penrith, due to employment, schools, transport etc. One respondent mentioned that there has been a move away from demand for deeper rural locations due to the higher cost of living there, poor access to services and limited public transport. </w:t>
      </w:r>
    </w:p>
    <w:p w14:paraId="5A343C96" w14:textId="77777777" w:rsidR="001F27D2" w:rsidRPr="00562B06" w:rsidRDefault="001F27D2" w:rsidP="007D2B69">
      <w:pPr>
        <w:pStyle w:val="Maintext"/>
        <w:numPr>
          <w:ilvl w:val="1"/>
          <w:numId w:val="36"/>
        </w:numPr>
        <w:spacing w:before="0"/>
      </w:pPr>
      <w:r>
        <w:t xml:space="preserve">One stakeholder reported that they are developing new social housing, one stakeholder reported that they were not, and one other stakeholder reported that they are developing very limited new social housing due to a lack of funding. </w:t>
      </w:r>
    </w:p>
    <w:p w14:paraId="21053636" w14:textId="77777777" w:rsidR="001F27D2" w:rsidRPr="00562B06" w:rsidRDefault="001F27D2" w:rsidP="007D2B69">
      <w:pPr>
        <w:pStyle w:val="Maintext"/>
        <w:numPr>
          <w:ilvl w:val="1"/>
          <w:numId w:val="36"/>
        </w:numPr>
        <w:spacing w:before="0"/>
      </w:pPr>
      <w:r w:rsidRPr="00562B06">
        <w:t>The survey asked stakeholders whether they felt that the reductions in rental income imposed by the Government in July 2015 have had an effect on the number and type of affordable housing developed since. Two stakeholders respond</w:t>
      </w:r>
      <w:r>
        <w:t>ed</w:t>
      </w:r>
      <w:r w:rsidRPr="00562B06">
        <w:t xml:space="preserve"> reporting impact. </w:t>
      </w:r>
      <w:r>
        <w:t>One of these expanded on their answer by saying that it reduced their financial capacity massively and new development investment reduced as a result, as well as noting that investment in extra care schemes curtailed. In relation to a question on the recently reinstated rent settlement (Consumer Price Index plus 1% from 2020) by the government and whether this would encourage RPs to develop further social housing in the District, one stakeholder responded. They said that their organisation will always be looking to invest in Eden; the rent settlement is a positive step, but more subsidy is required to make homes more affordable and investment in other services we provide as a local service provider.</w:t>
      </w:r>
    </w:p>
    <w:p w14:paraId="5FFD88C9" w14:textId="77777777" w:rsidR="001F27D2" w:rsidRDefault="001F27D2" w:rsidP="007D2B69">
      <w:pPr>
        <w:pStyle w:val="Maintext"/>
        <w:numPr>
          <w:ilvl w:val="1"/>
          <w:numId w:val="36"/>
        </w:numPr>
        <w:spacing w:before="0"/>
      </w:pPr>
      <w:r>
        <w:t>Two</w:t>
      </w:r>
      <w:r w:rsidRPr="00AF768D">
        <w:t xml:space="preserve"> of the stakeholders reported that their organisation is developing affordable housing products. These include: </w:t>
      </w:r>
      <w:r>
        <w:t xml:space="preserve">shared ownership and discounted sale. These </w:t>
      </w:r>
      <w:r w:rsidRPr="009A6A7B">
        <w:t xml:space="preserve">affordable home ownership products are mainly being bought by </w:t>
      </w:r>
      <w:r>
        <w:t>younger families and single people.</w:t>
      </w:r>
    </w:p>
    <w:p w14:paraId="1C7578B0" w14:textId="77777777" w:rsidR="001F27D2" w:rsidRDefault="001F27D2" w:rsidP="007D2B69">
      <w:pPr>
        <w:pStyle w:val="Maintext"/>
        <w:numPr>
          <w:ilvl w:val="1"/>
          <w:numId w:val="36"/>
        </w:numPr>
        <w:spacing w:before="0"/>
      </w:pPr>
      <w:r>
        <w:t xml:space="preserve">In terms of popularity, bungalows were noted as being very popular, as well as 2 and 3 bed houses to buy at a discount and properties for older people. Again, it was noted that Penrith is a high demand area, and Alston is low demand. </w:t>
      </w:r>
    </w:p>
    <w:p w14:paraId="61A3C077" w14:textId="77777777" w:rsidR="001F27D2" w:rsidRPr="009A6A7B" w:rsidRDefault="001F27D2" w:rsidP="007D2B69">
      <w:pPr>
        <w:pStyle w:val="Maintext"/>
        <w:numPr>
          <w:ilvl w:val="1"/>
          <w:numId w:val="36"/>
        </w:numPr>
        <w:spacing w:before="0"/>
      </w:pPr>
      <w:r>
        <w:t>Only one respondent answered the question relating to the characteristics of people moving in and out of their housing stock, by responding that this is mainly singles, couples (young and old) and small families. No respondents answered the question around housing related issues with Black Minority Ethnic groups.</w:t>
      </w:r>
    </w:p>
    <w:p w14:paraId="621B8ED6" w14:textId="77777777" w:rsidR="001F27D2" w:rsidRPr="009A6A7B" w:rsidRDefault="001F27D2" w:rsidP="007D2B69">
      <w:pPr>
        <w:pStyle w:val="Maintext"/>
        <w:numPr>
          <w:ilvl w:val="1"/>
          <w:numId w:val="36"/>
        </w:numPr>
        <w:spacing w:before="0"/>
      </w:pPr>
      <w:r w:rsidRPr="009A6A7B">
        <w:t xml:space="preserve">Anti-social behaviour issues were not considered to be a problem within the affordable stock in </w:t>
      </w:r>
      <w:r>
        <w:t>Eden</w:t>
      </w:r>
      <w:r w:rsidRPr="009A6A7B">
        <w:t>. Stakeholders reported good levels of customer satisfaction.</w:t>
      </w:r>
    </w:p>
    <w:p w14:paraId="5643A060" w14:textId="77777777" w:rsidR="001F27D2" w:rsidRPr="009A6A7B" w:rsidRDefault="001F27D2" w:rsidP="007D2B69">
      <w:pPr>
        <w:pStyle w:val="Maintext"/>
        <w:numPr>
          <w:ilvl w:val="1"/>
          <w:numId w:val="36"/>
        </w:numPr>
        <w:spacing w:before="0"/>
      </w:pPr>
      <w:r w:rsidRPr="009A6A7B">
        <w:t>Asked what they considered the key messages should be regarding affordable housing, the following were mentioned:</w:t>
      </w:r>
    </w:p>
    <w:p w14:paraId="7B6C6DA5" w14:textId="77777777" w:rsidR="001F27D2" w:rsidRDefault="001F27D2" w:rsidP="001F27D2">
      <w:pPr>
        <w:pStyle w:val="bullet"/>
        <w:rPr>
          <w:rFonts w:cs="Calibri"/>
          <w:lang w:val="en-US"/>
        </w:rPr>
      </w:pPr>
      <w:r>
        <w:rPr>
          <w:rFonts w:cs="Calibri"/>
          <w:lang w:val="en-US"/>
        </w:rPr>
        <w:t>We need more affordable housing products, particularly discounted sale;</w:t>
      </w:r>
    </w:p>
    <w:p w14:paraId="09B74CEE" w14:textId="77777777" w:rsidR="001F27D2" w:rsidRDefault="001F27D2" w:rsidP="001F27D2">
      <w:pPr>
        <w:pStyle w:val="bullet"/>
        <w:rPr>
          <w:rFonts w:cs="Calibri"/>
          <w:lang w:val="en-US"/>
        </w:rPr>
      </w:pPr>
      <w:r>
        <w:rPr>
          <w:rFonts w:cs="Calibri"/>
          <w:lang w:val="en-US"/>
        </w:rPr>
        <w:t>Build in sustainable areas – not isolated areas; and</w:t>
      </w:r>
    </w:p>
    <w:p w14:paraId="580EEED9" w14:textId="77777777" w:rsidR="001F27D2" w:rsidRPr="009B0801" w:rsidRDefault="001F27D2" w:rsidP="001F27D2">
      <w:pPr>
        <w:pStyle w:val="bullet"/>
        <w:rPr>
          <w:rFonts w:cs="Calibri"/>
          <w:lang w:val="en-US"/>
        </w:rPr>
      </w:pPr>
      <w:r>
        <w:rPr>
          <w:rFonts w:cs="Calibri"/>
          <w:lang w:val="en-US"/>
        </w:rPr>
        <w:lastRenderedPageBreak/>
        <w:t>The local authority should do all within its planning powers and housing policies to maintain quality and space standards and long term value.</w:t>
      </w:r>
    </w:p>
    <w:p w14:paraId="4FEDD100" w14:textId="77777777" w:rsidR="001F27D2" w:rsidRDefault="001F27D2" w:rsidP="00F835A8">
      <w:pPr>
        <w:rPr>
          <w:lang w:val="en-US"/>
        </w:rPr>
      </w:pPr>
    </w:p>
    <w:p w14:paraId="7177C27E" w14:textId="77777777" w:rsidR="001F27D2" w:rsidRPr="00F835A8" w:rsidRDefault="001F27D2" w:rsidP="00F835A8">
      <w:pPr>
        <w:pStyle w:val="Heading3"/>
      </w:pPr>
      <w:r w:rsidRPr="00F835A8">
        <w:t>Specialist Housing</w:t>
      </w:r>
    </w:p>
    <w:p w14:paraId="1A6D3F48" w14:textId="77777777" w:rsidR="001F27D2" w:rsidRPr="00FD3144" w:rsidRDefault="001F27D2" w:rsidP="007D2B69">
      <w:pPr>
        <w:pStyle w:val="Maintext"/>
        <w:numPr>
          <w:ilvl w:val="1"/>
          <w:numId w:val="36"/>
        </w:numPr>
        <w:spacing w:before="0"/>
      </w:pPr>
      <w:r w:rsidRPr="00FD3144">
        <w:t xml:space="preserve">Several of the stakeholder survey respondents are directly involved in the </w:t>
      </w:r>
      <w:r>
        <w:t>s</w:t>
      </w:r>
      <w:r w:rsidRPr="00FD3144">
        <w:t xml:space="preserve">pecialist housing sector. They work with a range of client groups including: older people, </w:t>
      </w:r>
      <w:r>
        <w:t xml:space="preserve">young people, </w:t>
      </w:r>
      <w:r w:rsidRPr="00FD3144">
        <w:t xml:space="preserve">people with </w:t>
      </w:r>
      <w:r>
        <w:t>mental health issues</w:t>
      </w:r>
      <w:r w:rsidRPr="00FD3144">
        <w:t>, people with learning disabilities</w:t>
      </w:r>
      <w:r>
        <w:t>,</w:t>
      </w:r>
      <w:r w:rsidRPr="00FD3144">
        <w:t xml:space="preserve"> </w:t>
      </w:r>
      <w:r>
        <w:t xml:space="preserve">people with physical disabilities, care leavers, those suffering from drug/alcohol addiction and those suffering from domestic abuse and other violence. </w:t>
      </w:r>
    </w:p>
    <w:p w14:paraId="6C216906" w14:textId="77777777" w:rsidR="001F27D2" w:rsidRDefault="001F27D2" w:rsidP="007D2B69">
      <w:pPr>
        <w:pStyle w:val="Maintext"/>
        <w:numPr>
          <w:ilvl w:val="1"/>
          <w:numId w:val="36"/>
        </w:numPr>
        <w:spacing w:before="0"/>
      </w:pPr>
      <w:r w:rsidRPr="00FD3144">
        <w:t xml:space="preserve">Specialist housing stakeholders were asked to provide information on the accommodation that is currently available to these client groups. The feedback included </w:t>
      </w:r>
      <w:r>
        <w:t>extra care schemes, sheltered schemes, and supported accommodation for those with drug, alcohol or mental health support needs. One respondent expressed that there is not enough accommodation throughout Eden specifically for vulnerable clients and the provision of support is also very limited.</w:t>
      </w:r>
    </w:p>
    <w:p w14:paraId="58C6EA0A" w14:textId="77777777" w:rsidR="001F27D2" w:rsidRDefault="001F27D2" w:rsidP="007D2B69">
      <w:pPr>
        <w:pStyle w:val="Maintext"/>
        <w:numPr>
          <w:ilvl w:val="1"/>
          <w:numId w:val="36"/>
        </w:numPr>
        <w:spacing w:before="0"/>
      </w:pPr>
      <w:r>
        <w:t xml:space="preserve">Stakeholders were asked about current (over next 5 years) and longer-term need for specialist accommodation within Eden. Respondents noted a shortage of extra care provision, residential care facilities, lifetime homes and ‘move on’ accommodation. One respondent expressed that the increase in vulnerable people with complex needs coming through the homelessness route is an indication of additional need. Respondents also agreed that there is a longer-term need for specialist accommodation in Eden due to the ageing population and numerous people choosing to retire in Eden; there was also an identified need for ‘move on’ accommodation. </w:t>
      </w:r>
    </w:p>
    <w:p w14:paraId="620D59F9" w14:textId="77777777" w:rsidR="001F27D2" w:rsidRDefault="001F27D2" w:rsidP="007D2B69">
      <w:pPr>
        <w:pStyle w:val="Maintext"/>
        <w:numPr>
          <w:ilvl w:val="1"/>
          <w:numId w:val="36"/>
        </w:numPr>
        <w:spacing w:before="0"/>
      </w:pPr>
      <w:r w:rsidRPr="004E45FF">
        <w:t xml:space="preserve">Stakeholders were asked how housing policy changes have affected their ability to deliver services to vulnerable groups over recent years. One stakeholder commented that </w:t>
      </w:r>
      <w:r>
        <w:t xml:space="preserve">changes to housing benefit and the welfare reforms do not support the more vulnerable clients. Funding cuts from Supporting People mean that less support is available and less supported housing providers are operating in the county. This creates less choice for service users and less competition resulting in lower standards. Another respondent also noted the lack of funding which hinders the ability to provide ongoing support to these vulnerable groups. Another respondent stated that their organisation has suspended extra care scheme plans because of the high risk over future revenue funding.  </w:t>
      </w:r>
    </w:p>
    <w:p w14:paraId="35418537" w14:textId="77777777" w:rsidR="001F27D2" w:rsidRDefault="001F27D2" w:rsidP="007D2B69">
      <w:pPr>
        <w:pStyle w:val="Maintext"/>
        <w:numPr>
          <w:ilvl w:val="1"/>
          <w:numId w:val="36"/>
        </w:numPr>
        <w:spacing w:before="0"/>
      </w:pPr>
      <w:r>
        <w:t>R</w:t>
      </w:r>
      <w:r w:rsidRPr="00FC5484">
        <w:t>espondent</w:t>
      </w:r>
      <w:r>
        <w:t>s</w:t>
      </w:r>
      <w:r w:rsidRPr="00FC5484">
        <w:t xml:space="preserve"> commented that </w:t>
      </w:r>
      <w:r>
        <w:t xml:space="preserve">Penrith is an area of high </w:t>
      </w:r>
      <w:r w:rsidRPr="00FC5484">
        <w:t xml:space="preserve">demand </w:t>
      </w:r>
      <w:r>
        <w:t>for specialist housing.</w:t>
      </w:r>
    </w:p>
    <w:p w14:paraId="2DA06E11" w14:textId="77777777" w:rsidR="001F27D2" w:rsidRPr="00FC5484" w:rsidRDefault="001F27D2" w:rsidP="007D2B69">
      <w:pPr>
        <w:pStyle w:val="Maintext"/>
        <w:numPr>
          <w:ilvl w:val="1"/>
          <w:numId w:val="36"/>
        </w:numPr>
        <w:spacing w:before="0"/>
      </w:pPr>
      <w:r>
        <w:t xml:space="preserve">Respondents were asked what changes, if any, were they seeing in their client groups including volume and flows. One respondent stated that more vulnerable and chaotic clients were accessing the homelessness service. This is due to an increase in domestic abuse clients representing as homeless, increasing number of applicants excluded from CBL or not eligible to bid due to high level rent arrears and an increasing number of vulnerable clients being evicted or asked to leave supported housing schemes. Another respondent mentioned the increasing numbers of people fleeing from domestic abuse, and there was a mention of the lack of resources and support organisations to help. Another respondent noted that people are living longer, becoming less mobile and needing more support resulting in higher demand for adaptations. </w:t>
      </w:r>
    </w:p>
    <w:p w14:paraId="7EAB48E8" w14:textId="77777777" w:rsidR="001F27D2" w:rsidRDefault="001F27D2" w:rsidP="007D2B69">
      <w:pPr>
        <w:pStyle w:val="Maintext"/>
        <w:numPr>
          <w:ilvl w:val="1"/>
          <w:numId w:val="36"/>
        </w:numPr>
        <w:spacing w:before="0"/>
      </w:pPr>
      <w:r w:rsidRPr="00FC5484">
        <w:lastRenderedPageBreak/>
        <w:t xml:space="preserve">Barriers to the development of further </w:t>
      </w:r>
      <w:r>
        <w:t>s</w:t>
      </w:r>
      <w:r w:rsidRPr="00FC5484">
        <w:t xml:space="preserve">upported housing and/or support services were </w:t>
      </w:r>
      <w:r>
        <w:t xml:space="preserve">predominantly centred around a lack of funding (capital and revenue). Anti-social behaviour was not considered to be a major problem. </w:t>
      </w:r>
    </w:p>
    <w:p w14:paraId="0C18D81B" w14:textId="77777777" w:rsidR="001F27D2" w:rsidRPr="00D368A7" w:rsidRDefault="001F27D2" w:rsidP="007D2B69">
      <w:pPr>
        <w:pStyle w:val="Maintext"/>
        <w:numPr>
          <w:ilvl w:val="1"/>
          <w:numId w:val="36"/>
        </w:numPr>
        <w:spacing w:before="0"/>
      </w:pPr>
      <w:r w:rsidRPr="00D368A7">
        <w:t xml:space="preserve">Stakeholders were asked about their biggest housing stock shortages for </w:t>
      </w:r>
      <w:r>
        <w:t>i</w:t>
      </w:r>
      <w:r w:rsidRPr="00D368A7">
        <w:t xml:space="preserve">ndependent </w:t>
      </w:r>
      <w:r>
        <w:t>l</w:t>
      </w:r>
      <w:r w:rsidRPr="00D368A7">
        <w:t xml:space="preserve">iving. The following were noted: </w:t>
      </w:r>
      <w:r>
        <w:t>e</w:t>
      </w:r>
      <w:r w:rsidRPr="00D368A7">
        <w:t xml:space="preserve">xtra </w:t>
      </w:r>
      <w:r>
        <w:t>c</w:t>
      </w:r>
      <w:r w:rsidRPr="00D368A7">
        <w:t>are,</w:t>
      </w:r>
      <w:r>
        <w:t xml:space="preserve"> older persons’ accommodation, supported housing for vulnerable groups and move on accommodation. </w:t>
      </w:r>
    </w:p>
    <w:p w14:paraId="302745F9" w14:textId="5E92385F" w:rsidR="001F27D2" w:rsidRPr="00A50BAA" w:rsidRDefault="001F27D2" w:rsidP="007D2B69">
      <w:pPr>
        <w:pStyle w:val="Maintext"/>
        <w:numPr>
          <w:ilvl w:val="1"/>
          <w:numId w:val="36"/>
        </w:numPr>
        <w:spacing w:before="0"/>
      </w:pPr>
      <w:r w:rsidRPr="00A50BAA">
        <w:t xml:space="preserve">One stakeholder responded to the survey question asking about the key issues regarding the physical adaptation of properties. They stated that </w:t>
      </w:r>
      <w:r>
        <w:t xml:space="preserve">Eden has a shortage of funding from central </w:t>
      </w:r>
      <w:r w:rsidR="00454195">
        <w:t>G</w:t>
      </w:r>
      <w:r>
        <w:t xml:space="preserve">overnment to facilitate the level of Disability Grant funding requested. They also went on to say that old properties, with solid internal walls are difficult to adapt retrospectively. </w:t>
      </w:r>
    </w:p>
    <w:p w14:paraId="6DB423D7" w14:textId="77777777" w:rsidR="001F27D2" w:rsidRPr="00A50BAA" w:rsidRDefault="001F27D2" w:rsidP="007D2B69">
      <w:pPr>
        <w:pStyle w:val="Maintext"/>
        <w:numPr>
          <w:ilvl w:val="1"/>
          <w:numId w:val="36"/>
        </w:numPr>
        <w:spacing w:before="0"/>
      </w:pPr>
      <w:r w:rsidRPr="00A50BAA">
        <w:t>An increase in demand for support services over the past three years was reported among elderly people</w:t>
      </w:r>
      <w:r>
        <w:t>, those suffering from domestic abuse and homeless households.</w:t>
      </w:r>
    </w:p>
    <w:p w14:paraId="32CFECC3" w14:textId="77777777" w:rsidR="001F27D2" w:rsidRDefault="001F27D2" w:rsidP="007D2B69">
      <w:pPr>
        <w:pStyle w:val="Maintext"/>
        <w:numPr>
          <w:ilvl w:val="1"/>
          <w:numId w:val="36"/>
        </w:numPr>
        <w:spacing w:before="0"/>
      </w:pPr>
      <w:r w:rsidRPr="00A50BAA">
        <w:t xml:space="preserve">In terms of additional comments and key messages in relation to </w:t>
      </w:r>
      <w:r>
        <w:t>s</w:t>
      </w:r>
      <w:r w:rsidRPr="00A50BAA">
        <w:t xml:space="preserve">upported living, </w:t>
      </w:r>
      <w:r>
        <w:t>i</w:t>
      </w:r>
      <w:r w:rsidRPr="00A50BAA">
        <w:t xml:space="preserve">ndependent living and older people’s housing, </w:t>
      </w:r>
      <w:r>
        <w:t>respondents stated that:</w:t>
      </w:r>
    </w:p>
    <w:p w14:paraId="6DBABFD7" w14:textId="77777777" w:rsidR="001F27D2" w:rsidRDefault="001F27D2" w:rsidP="00F835A8">
      <w:pPr>
        <w:pStyle w:val="bullet"/>
      </w:pPr>
      <w:r>
        <w:t>We need more supported accommodation for homeless households, those with mental health or drug/alcohol issues, families fleeing domestic abuse, ex-offenders, older and young people; due to funding cuts resulting in these client groups being neglected and there being very limited services/accommodation available in Eden;</w:t>
      </w:r>
    </w:p>
    <w:p w14:paraId="305E947E" w14:textId="77777777" w:rsidR="001F27D2" w:rsidRDefault="001F27D2" w:rsidP="00F835A8">
      <w:pPr>
        <w:pStyle w:val="bullet"/>
      </w:pPr>
      <w:r>
        <w:t>Supporting People funding has reduced significantly over the last few years which will impact on the support available for people who need it;</w:t>
      </w:r>
    </w:p>
    <w:p w14:paraId="37736324" w14:textId="77777777" w:rsidR="001F27D2" w:rsidRDefault="001F27D2" w:rsidP="00F835A8">
      <w:pPr>
        <w:pStyle w:val="bullet"/>
      </w:pPr>
      <w:r>
        <w:t>The ageing population is increasing and with that in mind, homes that are fit for purpose need to be built;</w:t>
      </w:r>
    </w:p>
    <w:p w14:paraId="60AF2CD9" w14:textId="77777777" w:rsidR="001F27D2" w:rsidRPr="009D3F78" w:rsidRDefault="001F27D2" w:rsidP="00F835A8">
      <w:pPr>
        <w:pStyle w:val="bullet"/>
      </w:pPr>
      <w:r>
        <w:t>Additional move on/supported accommodation would most definitely be beneficial in Penrith.</w:t>
      </w:r>
    </w:p>
    <w:p w14:paraId="3B5879B1" w14:textId="77777777" w:rsidR="001F27D2" w:rsidRDefault="001F27D2" w:rsidP="001F27D2">
      <w:pPr>
        <w:pStyle w:val="Reporttext"/>
        <w:numPr>
          <w:ilvl w:val="0"/>
          <w:numId w:val="0"/>
        </w:numPr>
        <w:ind w:left="709"/>
      </w:pPr>
    </w:p>
    <w:p w14:paraId="26EB14E8" w14:textId="104C191E" w:rsidR="001F27D2" w:rsidRPr="00314506" w:rsidRDefault="001F27D2" w:rsidP="00F835A8">
      <w:pPr>
        <w:pStyle w:val="Heading2"/>
        <w:rPr>
          <w:color w:val="FF0000"/>
        </w:rPr>
      </w:pPr>
      <w:bookmarkStart w:id="879" w:name="_Toc532812459"/>
      <w:r w:rsidRPr="00FD271D">
        <w:t>Parish Council</w:t>
      </w:r>
      <w:r w:rsidR="0050262C">
        <w:t>s</w:t>
      </w:r>
      <w:r w:rsidRPr="00FD271D">
        <w:t>’</w:t>
      </w:r>
      <w:r>
        <w:t xml:space="preserve"> </w:t>
      </w:r>
      <w:r w:rsidRPr="00314506">
        <w:t>Stakeholder Responses Summary</w:t>
      </w:r>
      <w:bookmarkEnd w:id="879"/>
      <w:r w:rsidRPr="00314506">
        <w:t xml:space="preserve"> </w:t>
      </w:r>
    </w:p>
    <w:p w14:paraId="13067503" w14:textId="77777777" w:rsidR="001F27D2" w:rsidRPr="007912E6" w:rsidRDefault="001F27D2" w:rsidP="007D2B69">
      <w:pPr>
        <w:pStyle w:val="Maintext"/>
        <w:numPr>
          <w:ilvl w:val="1"/>
          <w:numId w:val="36"/>
        </w:numPr>
        <w:spacing w:before="0"/>
      </w:pPr>
      <w:r w:rsidRPr="00314506">
        <w:t xml:space="preserve">Stakeholders </w:t>
      </w:r>
      <w:r>
        <w:t xml:space="preserve">from parish councils in the Eden District Council area and elsewhere in Cumbria </w:t>
      </w:r>
      <w:r w:rsidRPr="00314506">
        <w:t xml:space="preserve">were invited to participate in a questionnaire survey aimed at identifying a range of information, including establishing the key perceived housing market issues in </w:t>
      </w:r>
      <w:r>
        <w:t>Eden</w:t>
      </w:r>
      <w:r w:rsidRPr="00314506">
        <w:t xml:space="preserve">. A total of </w:t>
      </w:r>
      <w:r>
        <w:t>27</w:t>
      </w:r>
      <w:r w:rsidRPr="007912E6">
        <w:t xml:space="preserve"> separate responses to the stakeholder consultation were obtained. Respondents were asked to answer only the questions that they felt were relevant to their knowledge and experience. This is a qualitative summary of the views expressed by stakeholders responding to the online survey.  </w:t>
      </w:r>
    </w:p>
    <w:p w14:paraId="79C39F22" w14:textId="77777777" w:rsidR="001F27D2" w:rsidRPr="0000263D" w:rsidRDefault="001F27D2" w:rsidP="00F835A8"/>
    <w:p w14:paraId="60BCD5E5" w14:textId="77777777" w:rsidR="001F27D2" w:rsidRPr="0000263D" w:rsidRDefault="001F27D2" w:rsidP="00F835A8">
      <w:pPr>
        <w:pStyle w:val="Heading3"/>
      </w:pPr>
      <w:r w:rsidRPr="0000263D">
        <w:t xml:space="preserve">Priorities </w:t>
      </w:r>
    </w:p>
    <w:p w14:paraId="4766A20F" w14:textId="4CCEB65E" w:rsidR="001F27D2" w:rsidRPr="0000263D" w:rsidRDefault="001F27D2" w:rsidP="007D2B69">
      <w:pPr>
        <w:pStyle w:val="Maintext"/>
        <w:numPr>
          <w:ilvl w:val="1"/>
          <w:numId w:val="36"/>
        </w:numPr>
        <w:spacing w:before="0"/>
      </w:pPr>
      <w:r w:rsidRPr="0000263D">
        <w:t>Stakeholders were asked to rank a range of housing priorities as high, medium or low, their responses are summarised in Table</w:t>
      </w:r>
      <w:r w:rsidR="00F835A8">
        <w:t xml:space="preserve"> D.2</w:t>
      </w:r>
      <w:r w:rsidRPr="0000263D">
        <w:t xml:space="preserve">. </w:t>
      </w:r>
    </w:p>
    <w:p w14:paraId="4763FA8E" w14:textId="77777777" w:rsidR="001F27D2" w:rsidRPr="00314506" w:rsidRDefault="001F27D2" w:rsidP="001F27D2">
      <w:pPr>
        <w:pStyle w:val="Maintext"/>
        <w:numPr>
          <w:ilvl w:val="0"/>
          <w:numId w:val="0"/>
        </w:numPr>
        <w:ind w:left="709"/>
        <w:rPr>
          <w:rFonts w:cs="Calibri"/>
          <w:highlight w:val="red"/>
        </w:rPr>
      </w:pP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shd w:val="clear" w:color="auto" w:fill="FFFFFF"/>
        <w:tblCellMar>
          <w:top w:w="30" w:type="dxa"/>
          <w:left w:w="30" w:type="dxa"/>
          <w:bottom w:w="30" w:type="dxa"/>
          <w:right w:w="30" w:type="dxa"/>
        </w:tblCellMar>
        <w:tblLook w:val="04A0" w:firstRow="1" w:lastRow="0" w:firstColumn="1" w:lastColumn="0" w:noHBand="0" w:noVBand="1"/>
      </w:tblPr>
      <w:tblGrid>
        <w:gridCol w:w="5884"/>
        <w:gridCol w:w="1021"/>
        <w:gridCol w:w="1221"/>
        <w:gridCol w:w="1054"/>
      </w:tblGrid>
      <w:tr w:rsidR="001F27D2" w:rsidRPr="00113DAC" w14:paraId="6CD0535E" w14:textId="77777777" w:rsidTr="00113DAC">
        <w:trPr>
          <w:tblHeader/>
        </w:trPr>
        <w:tc>
          <w:tcPr>
            <w:tcW w:w="5000" w:type="pct"/>
            <w:gridSpan w:val="4"/>
            <w:shd w:val="clear" w:color="auto" w:fill="009999"/>
            <w:tcMar>
              <w:top w:w="120" w:type="dxa"/>
              <w:left w:w="120" w:type="dxa"/>
              <w:bottom w:w="120" w:type="dxa"/>
              <w:right w:w="120" w:type="dxa"/>
            </w:tcMar>
            <w:vAlign w:val="bottom"/>
          </w:tcPr>
          <w:p w14:paraId="61900302" w14:textId="752B9166" w:rsidR="001F27D2" w:rsidRPr="00113DAC" w:rsidRDefault="001F27D2" w:rsidP="00113DAC">
            <w:pPr>
              <w:pStyle w:val="Tableheading1"/>
              <w:spacing w:before="0" w:after="0"/>
              <w:rPr>
                <w:rFonts w:cs="Calibri"/>
                <w:szCs w:val="22"/>
                <w:lang w:eastAsia="en-GB"/>
              </w:rPr>
            </w:pPr>
            <w:bookmarkStart w:id="880" w:name="_Toc532812523"/>
            <w:r w:rsidRPr="00113DAC">
              <w:rPr>
                <w:rFonts w:cs="Calibri"/>
                <w:szCs w:val="22"/>
              </w:rPr>
              <w:lastRenderedPageBreak/>
              <w:t>Table</w:t>
            </w:r>
            <w:r w:rsidR="00F835A8" w:rsidRPr="00113DAC">
              <w:rPr>
                <w:rFonts w:cs="Calibri"/>
                <w:szCs w:val="22"/>
              </w:rPr>
              <w:t xml:space="preserve"> D2</w:t>
            </w:r>
            <w:r w:rsidRPr="00113DAC">
              <w:rPr>
                <w:rFonts w:cs="Calibri"/>
                <w:szCs w:val="22"/>
              </w:rPr>
              <w:tab/>
              <w:t>Ranking of priorities by stakeholders</w:t>
            </w:r>
            <w:bookmarkEnd w:id="880"/>
            <w:r w:rsidRPr="00113DAC">
              <w:rPr>
                <w:rFonts w:cs="Calibri"/>
                <w:szCs w:val="22"/>
              </w:rPr>
              <w:t xml:space="preserve">  </w:t>
            </w:r>
          </w:p>
        </w:tc>
      </w:tr>
      <w:tr w:rsidR="001F27D2" w:rsidRPr="00113DAC" w14:paraId="0073CE4D" w14:textId="77777777" w:rsidTr="00113DAC">
        <w:trPr>
          <w:tblHeader/>
        </w:trPr>
        <w:tc>
          <w:tcPr>
            <w:tcW w:w="3205" w:type="pct"/>
            <w:shd w:val="clear" w:color="auto" w:fill="009999"/>
            <w:tcMar>
              <w:top w:w="120" w:type="dxa"/>
              <w:left w:w="120" w:type="dxa"/>
              <w:bottom w:w="120" w:type="dxa"/>
              <w:right w:w="120" w:type="dxa"/>
            </w:tcMar>
            <w:vAlign w:val="bottom"/>
          </w:tcPr>
          <w:p w14:paraId="0F1B2FB8" w14:textId="77777777" w:rsidR="001F27D2" w:rsidRPr="00113DAC" w:rsidRDefault="001F27D2" w:rsidP="00113DAC">
            <w:pPr>
              <w:spacing w:before="0" w:after="0"/>
              <w:rPr>
                <w:rFonts w:cs="Calibri"/>
                <w:b/>
                <w:bCs/>
                <w:color w:val="FFFFFF"/>
                <w:sz w:val="22"/>
                <w:szCs w:val="22"/>
                <w:lang w:eastAsia="en-GB"/>
              </w:rPr>
            </w:pPr>
            <w:r w:rsidRPr="00113DAC">
              <w:rPr>
                <w:rFonts w:cs="Calibri"/>
                <w:b/>
                <w:bCs/>
                <w:color w:val="FFFFFF"/>
                <w:sz w:val="22"/>
                <w:szCs w:val="22"/>
                <w:lang w:eastAsia="en-GB"/>
              </w:rPr>
              <w:t>Proposed priorities (base number of responses in brackets)</w:t>
            </w:r>
          </w:p>
        </w:tc>
        <w:tc>
          <w:tcPr>
            <w:tcW w:w="556" w:type="pct"/>
            <w:shd w:val="clear" w:color="auto" w:fill="009999"/>
            <w:tcMar>
              <w:top w:w="120" w:type="dxa"/>
              <w:left w:w="120" w:type="dxa"/>
              <w:bottom w:w="120" w:type="dxa"/>
              <w:right w:w="120" w:type="dxa"/>
            </w:tcMar>
            <w:vAlign w:val="bottom"/>
          </w:tcPr>
          <w:p w14:paraId="21024EFB" w14:textId="77777777" w:rsidR="001F27D2" w:rsidRPr="00113DAC" w:rsidRDefault="001F27D2" w:rsidP="00113DAC">
            <w:pPr>
              <w:spacing w:before="0" w:after="0"/>
              <w:jc w:val="center"/>
              <w:rPr>
                <w:rFonts w:cs="Calibri"/>
                <w:b/>
                <w:bCs/>
                <w:color w:val="FFFFFF"/>
                <w:sz w:val="22"/>
                <w:szCs w:val="22"/>
                <w:lang w:eastAsia="en-GB"/>
              </w:rPr>
            </w:pPr>
            <w:r w:rsidRPr="00113DAC">
              <w:rPr>
                <w:rFonts w:cs="Calibri"/>
                <w:b/>
                <w:bCs/>
                <w:color w:val="FFFFFF"/>
                <w:sz w:val="22"/>
                <w:szCs w:val="22"/>
                <w:lang w:eastAsia="en-GB"/>
              </w:rPr>
              <w:t>Low</w:t>
            </w:r>
          </w:p>
        </w:tc>
        <w:tc>
          <w:tcPr>
            <w:tcW w:w="665" w:type="pct"/>
            <w:shd w:val="clear" w:color="auto" w:fill="009999"/>
            <w:tcMar>
              <w:top w:w="120" w:type="dxa"/>
              <w:left w:w="120" w:type="dxa"/>
              <w:bottom w:w="120" w:type="dxa"/>
              <w:right w:w="120" w:type="dxa"/>
            </w:tcMar>
            <w:vAlign w:val="bottom"/>
          </w:tcPr>
          <w:p w14:paraId="709CC24E" w14:textId="77777777" w:rsidR="001F27D2" w:rsidRPr="00113DAC" w:rsidRDefault="001F27D2" w:rsidP="00113DAC">
            <w:pPr>
              <w:spacing w:before="0" w:after="0"/>
              <w:jc w:val="center"/>
              <w:rPr>
                <w:rFonts w:cs="Calibri"/>
                <w:b/>
                <w:bCs/>
                <w:color w:val="FFFFFF"/>
                <w:sz w:val="22"/>
                <w:szCs w:val="22"/>
                <w:lang w:eastAsia="en-GB"/>
              </w:rPr>
            </w:pPr>
            <w:r w:rsidRPr="00113DAC">
              <w:rPr>
                <w:rFonts w:cs="Calibri"/>
                <w:b/>
                <w:bCs/>
                <w:color w:val="FFFFFF"/>
                <w:sz w:val="22"/>
                <w:szCs w:val="22"/>
                <w:lang w:eastAsia="en-GB"/>
              </w:rPr>
              <w:t>Medium</w:t>
            </w:r>
          </w:p>
        </w:tc>
        <w:tc>
          <w:tcPr>
            <w:tcW w:w="574" w:type="pct"/>
            <w:shd w:val="clear" w:color="auto" w:fill="009999"/>
            <w:tcMar>
              <w:top w:w="120" w:type="dxa"/>
              <w:left w:w="120" w:type="dxa"/>
              <w:bottom w:w="120" w:type="dxa"/>
              <w:right w:w="120" w:type="dxa"/>
            </w:tcMar>
            <w:vAlign w:val="bottom"/>
          </w:tcPr>
          <w:p w14:paraId="48D72358" w14:textId="77777777" w:rsidR="001F27D2" w:rsidRPr="00113DAC" w:rsidRDefault="001F27D2" w:rsidP="00113DAC">
            <w:pPr>
              <w:spacing w:before="0" w:after="0"/>
              <w:jc w:val="center"/>
              <w:rPr>
                <w:rFonts w:cs="Calibri"/>
                <w:b/>
                <w:bCs/>
                <w:color w:val="FFFFFF"/>
                <w:sz w:val="22"/>
                <w:szCs w:val="22"/>
                <w:lang w:eastAsia="en-GB"/>
              </w:rPr>
            </w:pPr>
            <w:r w:rsidRPr="00113DAC">
              <w:rPr>
                <w:rFonts w:cs="Calibri"/>
                <w:b/>
                <w:bCs/>
                <w:color w:val="FFFFFF"/>
                <w:sz w:val="22"/>
                <w:szCs w:val="22"/>
                <w:lang w:eastAsia="en-GB"/>
              </w:rPr>
              <w:t>High</w:t>
            </w:r>
          </w:p>
        </w:tc>
      </w:tr>
      <w:tr w:rsidR="001F27D2" w:rsidRPr="00113DAC" w14:paraId="1258A0DB" w14:textId="77777777" w:rsidTr="00113DAC">
        <w:tc>
          <w:tcPr>
            <w:tcW w:w="3205" w:type="pct"/>
            <w:shd w:val="clear" w:color="auto" w:fill="auto"/>
            <w:tcMar>
              <w:top w:w="75" w:type="dxa"/>
              <w:left w:w="75" w:type="dxa"/>
              <w:bottom w:w="75" w:type="dxa"/>
              <w:right w:w="75" w:type="dxa"/>
            </w:tcMar>
          </w:tcPr>
          <w:p w14:paraId="75BDFF97" w14:textId="77777777" w:rsidR="001F27D2" w:rsidRPr="00113DAC" w:rsidRDefault="001F27D2" w:rsidP="00113DAC">
            <w:pPr>
              <w:spacing w:before="0" w:after="0"/>
              <w:rPr>
                <w:rFonts w:cs="Calibri"/>
                <w:sz w:val="22"/>
                <w:szCs w:val="22"/>
              </w:rPr>
            </w:pPr>
            <w:r w:rsidRPr="00113DAC">
              <w:rPr>
                <w:rFonts w:cs="Calibri"/>
                <w:sz w:val="22"/>
                <w:szCs w:val="22"/>
              </w:rPr>
              <w:t>Building homes to buy on the open market (22)</w:t>
            </w:r>
          </w:p>
        </w:tc>
        <w:tc>
          <w:tcPr>
            <w:tcW w:w="556" w:type="pct"/>
            <w:shd w:val="clear" w:color="auto" w:fill="FAFAFA"/>
            <w:vAlign w:val="center"/>
          </w:tcPr>
          <w:p w14:paraId="150336BA" w14:textId="77777777" w:rsidR="001F27D2" w:rsidRPr="00113DAC" w:rsidRDefault="001F27D2" w:rsidP="00113DAC">
            <w:pPr>
              <w:spacing w:before="0" w:after="0"/>
              <w:jc w:val="center"/>
              <w:rPr>
                <w:rFonts w:cs="Calibri"/>
                <w:sz w:val="22"/>
                <w:szCs w:val="22"/>
              </w:rPr>
            </w:pPr>
            <w:r w:rsidRPr="00113DAC">
              <w:rPr>
                <w:rFonts w:cs="Calibri"/>
                <w:sz w:val="22"/>
                <w:szCs w:val="22"/>
              </w:rPr>
              <w:t>40.91%</w:t>
            </w:r>
          </w:p>
        </w:tc>
        <w:tc>
          <w:tcPr>
            <w:tcW w:w="665" w:type="pct"/>
            <w:shd w:val="clear" w:color="auto" w:fill="FAFAFA"/>
            <w:vAlign w:val="center"/>
          </w:tcPr>
          <w:p w14:paraId="375727C1" w14:textId="77777777" w:rsidR="001F27D2" w:rsidRPr="00113DAC" w:rsidRDefault="001F27D2" w:rsidP="00113DAC">
            <w:pPr>
              <w:spacing w:before="0" w:after="0"/>
              <w:jc w:val="center"/>
              <w:rPr>
                <w:rFonts w:cs="Calibri"/>
                <w:sz w:val="22"/>
                <w:szCs w:val="22"/>
              </w:rPr>
            </w:pPr>
            <w:r w:rsidRPr="00113DAC">
              <w:rPr>
                <w:rFonts w:cs="Calibri"/>
                <w:sz w:val="22"/>
                <w:szCs w:val="22"/>
              </w:rPr>
              <w:t>50%</w:t>
            </w:r>
          </w:p>
        </w:tc>
        <w:tc>
          <w:tcPr>
            <w:tcW w:w="574" w:type="pct"/>
            <w:shd w:val="clear" w:color="auto" w:fill="FAFAFA"/>
            <w:vAlign w:val="center"/>
          </w:tcPr>
          <w:p w14:paraId="259CFB12" w14:textId="77777777" w:rsidR="001F27D2" w:rsidRPr="00113DAC" w:rsidRDefault="001F27D2" w:rsidP="00113DAC">
            <w:pPr>
              <w:spacing w:before="0" w:after="0"/>
              <w:jc w:val="center"/>
              <w:rPr>
                <w:rFonts w:cs="Calibri"/>
                <w:sz w:val="22"/>
                <w:szCs w:val="22"/>
              </w:rPr>
            </w:pPr>
            <w:r w:rsidRPr="00113DAC">
              <w:rPr>
                <w:rFonts w:cs="Calibri"/>
                <w:sz w:val="22"/>
                <w:szCs w:val="22"/>
              </w:rPr>
              <w:t>9.09%</w:t>
            </w:r>
          </w:p>
        </w:tc>
      </w:tr>
      <w:tr w:rsidR="001F27D2" w:rsidRPr="00113DAC" w14:paraId="50EB6EC3" w14:textId="77777777" w:rsidTr="00113DAC">
        <w:tc>
          <w:tcPr>
            <w:tcW w:w="3205" w:type="pct"/>
            <w:shd w:val="clear" w:color="auto" w:fill="auto"/>
            <w:tcMar>
              <w:top w:w="75" w:type="dxa"/>
              <w:left w:w="75" w:type="dxa"/>
              <w:bottom w:w="75" w:type="dxa"/>
              <w:right w:w="75" w:type="dxa"/>
            </w:tcMar>
          </w:tcPr>
          <w:p w14:paraId="6D1FB7B0" w14:textId="77777777" w:rsidR="001F27D2" w:rsidRPr="00113DAC" w:rsidRDefault="001F27D2" w:rsidP="00113DAC">
            <w:pPr>
              <w:spacing w:before="0" w:after="0"/>
              <w:rPr>
                <w:rFonts w:cs="Calibri"/>
                <w:sz w:val="22"/>
                <w:szCs w:val="22"/>
              </w:rPr>
            </w:pPr>
            <w:r w:rsidRPr="00113DAC">
              <w:rPr>
                <w:rFonts w:cs="Calibri"/>
                <w:sz w:val="22"/>
                <w:szCs w:val="22"/>
              </w:rPr>
              <w:t>Building affordable homes to rent (25)</w:t>
            </w:r>
          </w:p>
        </w:tc>
        <w:tc>
          <w:tcPr>
            <w:tcW w:w="556" w:type="pct"/>
            <w:shd w:val="clear" w:color="auto" w:fill="FFFFFF"/>
            <w:vAlign w:val="center"/>
          </w:tcPr>
          <w:p w14:paraId="74D6DBBD" w14:textId="77777777" w:rsidR="001F27D2" w:rsidRPr="00113DAC" w:rsidRDefault="001F27D2" w:rsidP="00113DAC">
            <w:pPr>
              <w:spacing w:before="0" w:after="0"/>
              <w:jc w:val="center"/>
              <w:rPr>
                <w:rFonts w:cs="Calibri"/>
                <w:sz w:val="22"/>
                <w:szCs w:val="22"/>
              </w:rPr>
            </w:pPr>
            <w:r w:rsidRPr="00113DAC">
              <w:rPr>
                <w:rFonts w:cs="Calibri"/>
                <w:sz w:val="22"/>
                <w:szCs w:val="22"/>
              </w:rPr>
              <w:t>4%</w:t>
            </w:r>
          </w:p>
        </w:tc>
        <w:tc>
          <w:tcPr>
            <w:tcW w:w="665" w:type="pct"/>
            <w:shd w:val="clear" w:color="auto" w:fill="FFFFFF"/>
            <w:vAlign w:val="center"/>
          </w:tcPr>
          <w:p w14:paraId="71B8C4CA" w14:textId="77777777" w:rsidR="001F27D2" w:rsidRPr="00113DAC" w:rsidRDefault="001F27D2" w:rsidP="00113DAC">
            <w:pPr>
              <w:spacing w:before="0" w:after="0"/>
              <w:jc w:val="center"/>
              <w:rPr>
                <w:rFonts w:cs="Calibri"/>
                <w:sz w:val="22"/>
                <w:szCs w:val="22"/>
              </w:rPr>
            </w:pPr>
            <w:r w:rsidRPr="00113DAC">
              <w:rPr>
                <w:rFonts w:cs="Calibri"/>
                <w:sz w:val="22"/>
                <w:szCs w:val="22"/>
              </w:rPr>
              <w:t>20%</w:t>
            </w:r>
          </w:p>
        </w:tc>
        <w:tc>
          <w:tcPr>
            <w:tcW w:w="574" w:type="pct"/>
            <w:shd w:val="clear" w:color="auto" w:fill="FFFFFF"/>
            <w:vAlign w:val="center"/>
          </w:tcPr>
          <w:p w14:paraId="58625F36" w14:textId="77777777" w:rsidR="001F27D2" w:rsidRPr="00113DAC" w:rsidRDefault="001F27D2" w:rsidP="00113DAC">
            <w:pPr>
              <w:spacing w:before="0" w:after="0"/>
              <w:jc w:val="center"/>
              <w:rPr>
                <w:rFonts w:cs="Calibri"/>
                <w:sz w:val="22"/>
                <w:szCs w:val="22"/>
              </w:rPr>
            </w:pPr>
            <w:r w:rsidRPr="00113DAC">
              <w:rPr>
                <w:rFonts w:cs="Calibri"/>
                <w:sz w:val="22"/>
                <w:szCs w:val="22"/>
              </w:rPr>
              <w:t>76%</w:t>
            </w:r>
          </w:p>
        </w:tc>
      </w:tr>
      <w:tr w:rsidR="001F27D2" w:rsidRPr="00113DAC" w14:paraId="7D4D3E52" w14:textId="77777777" w:rsidTr="00113DAC">
        <w:tc>
          <w:tcPr>
            <w:tcW w:w="3205" w:type="pct"/>
            <w:shd w:val="clear" w:color="auto" w:fill="auto"/>
            <w:tcMar>
              <w:top w:w="75" w:type="dxa"/>
              <w:left w:w="75" w:type="dxa"/>
              <w:bottom w:w="75" w:type="dxa"/>
              <w:right w:w="75" w:type="dxa"/>
            </w:tcMar>
          </w:tcPr>
          <w:p w14:paraId="73050800" w14:textId="77777777" w:rsidR="001F27D2" w:rsidRPr="00113DAC" w:rsidRDefault="001F27D2" w:rsidP="00113DAC">
            <w:pPr>
              <w:spacing w:before="0" w:after="0"/>
              <w:rPr>
                <w:rFonts w:cs="Calibri"/>
                <w:sz w:val="22"/>
                <w:szCs w:val="22"/>
              </w:rPr>
            </w:pPr>
            <w:r w:rsidRPr="00113DAC">
              <w:rPr>
                <w:rFonts w:cs="Calibri"/>
                <w:sz w:val="22"/>
                <w:szCs w:val="22"/>
              </w:rPr>
              <w:t>Building affordable homes to buy (shared ownership, shared equity, starter homes, discounted sale) (24)</w:t>
            </w:r>
          </w:p>
        </w:tc>
        <w:tc>
          <w:tcPr>
            <w:tcW w:w="556" w:type="pct"/>
            <w:shd w:val="clear" w:color="auto" w:fill="FAFAFA"/>
            <w:vAlign w:val="center"/>
          </w:tcPr>
          <w:p w14:paraId="2310EE0C" w14:textId="77777777" w:rsidR="001F27D2" w:rsidRPr="00113DAC" w:rsidRDefault="001F27D2" w:rsidP="00113DAC">
            <w:pPr>
              <w:spacing w:before="0" w:after="0"/>
              <w:jc w:val="center"/>
              <w:rPr>
                <w:rFonts w:cs="Calibri"/>
                <w:sz w:val="22"/>
                <w:szCs w:val="22"/>
              </w:rPr>
            </w:pPr>
            <w:r w:rsidRPr="00113DAC">
              <w:rPr>
                <w:rFonts w:cs="Calibri"/>
                <w:sz w:val="22"/>
                <w:szCs w:val="22"/>
              </w:rPr>
              <w:t>4.17%</w:t>
            </w:r>
          </w:p>
        </w:tc>
        <w:tc>
          <w:tcPr>
            <w:tcW w:w="665" w:type="pct"/>
            <w:shd w:val="clear" w:color="auto" w:fill="FAFAFA"/>
            <w:vAlign w:val="center"/>
          </w:tcPr>
          <w:p w14:paraId="5B891A8C" w14:textId="77777777" w:rsidR="001F27D2" w:rsidRPr="00113DAC" w:rsidRDefault="001F27D2" w:rsidP="00113DAC">
            <w:pPr>
              <w:spacing w:before="0" w:after="0"/>
              <w:jc w:val="center"/>
              <w:rPr>
                <w:rFonts w:cs="Calibri"/>
                <w:sz w:val="22"/>
                <w:szCs w:val="22"/>
              </w:rPr>
            </w:pPr>
            <w:r w:rsidRPr="00113DAC">
              <w:rPr>
                <w:rFonts w:cs="Calibri"/>
                <w:sz w:val="22"/>
                <w:szCs w:val="22"/>
              </w:rPr>
              <w:t>33.33%</w:t>
            </w:r>
          </w:p>
        </w:tc>
        <w:tc>
          <w:tcPr>
            <w:tcW w:w="574" w:type="pct"/>
            <w:shd w:val="clear" w:color="auto" w:fill="FAFAFA"/>
            <w:vAlign w:val="center"/>
          </w:tcPr>
          <w:p w14:paraId="35CC650C" w14:textId="77777777" w:rsidR="001F27D2" w:rsidRPr="00113DAC" w:rsidRDefault="001F27D2" w:rsidP="00113DAC">
            <w:pPr>
              <w:spacing w:before="0" w:after="0"/>
              <w:jc w:val="center"/>
              <w:rPr>
                <w:rFonts w:cs="Calibri"/>
                <w:sz w:val="22"/>
                <w:szCs w:val="22"/>
              </w:rPr>
            </w:pPr>
            <w:r w:rsidRPr="00113DAC">
              <w:rPr>
                <w:rFonts w:cs="Calibri"/>
                <w:sz w:val="22"/>
                <w:szCs w:val="22"/>
              </w:rPr>
              <w:t>62.50%</w:t>
            </w:r>
          </w:p>
        </w:tc>
      </w:tr>
      <w:tr w:rsidR="001F27D2" w:rsidRPr="00113DAC" w14:paraId="03A2FEB1" w14:textId="77777777" w:rsidTr="00113DAC">
        <w:tc>
          <w:tcPr>
            <w:tcW w:w="3205" w:type="pct"/>
            <w:shd w:val="clear" w:color="auto" w:fill="auto"/>
            <w:tcMar>
              <w:top w:w="75" w:type="dxa"/>
              <w:left w:w="75" w:type="dxa"/>
              <w:bottom w:w="75" w:type="dxa"/>
              <w:right w:w="75" w:type="dxa"/>
            </w:tcMar>
          </w:tcPr>
          <w:p w14:paraId="175CBC23" w14:textId="77777777" w:rsidR="001F27D2" w:rsidRPr="00113DAC" w:rsidRDefault="001F27D2" w:rsidP="00113DAC">
            <w:pPr>
              <w:spacing w:before="0" w:after="0"/>
              <w:rPr>
                <w:rFonts w:cs="Calibri"/>
                <w:sz w:val="22"/>
                <w:szCs w:val="22"/>
              </w:rPr>
            </w:pPr>
            <w:r w:rsidRPr="00113DAC">
              <w:rPr>
                <w:rFonts w:cs="Calibri"/>
                <w:sz w:val="22"/>
                <w:szCs w:val="22"/>
              </w:rPr>
              <w:t>Building executive homes (23)</w:t>
            </w:r>
          </w:p>
        </w:tc>
        <w:tc>
          <w:tcPr>
            <w:tcW w:w="556" w:type="pct"/>
            <w:shd w:val="clear" w:color="auto" w:fill="FFFFFF"/>
            <w:vAlign w:val="center"/>
          </w:tcPr>
          <w:p w14:paraId="5BAA575D" w14:textId="77777777" w:rsidR="001F27D2" w:rsidRPr="00113DAC" w:rsidRDefault="001F27D2" w:rsidP="00113DAC">
            <w:pPr>
              <w:spacing w:before="0" w:after="0"/>
              <w:jc w:val="center"/>
              <w:rPr>
                <w:rFonts w:cs="Calibri"/>
                <w:sz w:val="22"/>
                <w:szCs w:val="22"/>
              </w:rPr>
            </w:pPr>
            <w:r w:rsidRPr="00113DAC">
              <w:rPr>
                <w:rFonts w:cs="Calibri"/>
                <w:sz w:val="22"/>
                <w:szCs w:val="22"/>
              </w:rPr>
              <w:t>82.61%</w:t>
            </w:r>
          </w:p>
        </w:tc>
        <w:tc>
          <w:tcPr>
            <w:tcW w:w="665" w:type="pct"/>
            <w:shd w:val="clear" w:color="auto" w:fill="FFFFFF"/>
            <w:vAlign w:val="center"/>
          </w:tcPr>
          <w:p w14:paraId="30E68405" w14:textId="77777777" w:rsidR="001F27D2" w:rsidRPr="00113DAC" w:rsidRDefault="001F27D2" w:rsidP="00113DAC">
            <w:pPr>
              <w:spacing w:before="0" w:after="0"/>
              <w:jc w:val="center"/>
              <w:rPr>
                <w:rFonts w:cs="Calibri"/>
                <w:sz w:val="22"/>
                <w:szCs w:val="22"/>
              </w:rPr>
            </w:pPr>
            <w:r w:rsidRPr="00113DAC">
              <w:rPr>
                <w:rFonts w:cs="Calibri"/>
                <w:sz w:val="22"/>
                <w:szCs w:val="22"/>
              </w:rPr>
              <w:t>13.04%</w:t>
            </w:r>
          </w:p>
        </w:tc>
        <w:tc>
          <w:tcPr>
            <w:tcW w:w="574" w:type="pct"/>
            <w:shd w:val="clear" w:color="auto" w:fill="FFFFFF"/>
            <w:vAlign w:val="center"/>
          </w:tcPr>
          <w:p w14:paraId="1663899D" w14:textId="77777777" w:rsidR="001F27D2" w:rsidRPr="00113DAC" w:rsidRDefault="001F27D2" w:rsidP="00113DAC">
            <w:pPr>
              <w:spacing w:before="0" w:after="0"/>
              <w:jc w:val="center"/>
              <w:rPr>
                <w:rFonts w:cs="Calibri"/>
                <w:sz w:val="22"/>
                <w:szCs w:val="22"/>
              </w:rPr>
            </w:pPr>
            <w:r w:rsidRPr="00113DAC">
              <w:rPr>
                <w:rFonts w:cs="Calibri"/>
                <w:sz w:val="22"/>
                <w:szCs w:val="22"/>
              </w:rPr>
              <w:t>4.35%</w:t>
            </w:r>
          </w:p>
        </w:tc>
      </w:tr>
      <w:tr w:rsidR="001F27D2" w:rsidRPr="00113DAC" w14:paraId="408EB52F" w14:textId="77777777" w:rsidTr="00113DAC">
        <w:tc>
          <w:tcPr>
            <w:tcW w:w="3205" w:type="pct"/>
            <w:shd w:val="clear" w:color="auto" w:fill="auto"/>
            <w:tcMar>
              <w:top w:w="75" w:type="dxa"/>
              <w:left w:w="75" w:type="dxa"/>
              <w:bottom w:w="75" w:type="dxa"/>
              <w:right w:w="75" w:type="dxa"/>
            </w:tcMar>
          </w:tcPr>
          <w:p w14:paraId="1F1177B0" w14:textId="77777777" w:rsidR="001F27D2" w:rsidRPr="00113DAC" w:rsidRDefault="001F27D2" w:rsidP="00113DAC">
            <w:pPr>
              <w:spacing w:before="0" w:after="0"/>
              <w:rPr>
                <w:rFonts w:cs="Calibri"/>
                <w:sz w:val="22"/>
                <w:szCs w:val="22"/>
              </w:rPr>
            </w:pPr>
            <w:r w:rsidRPr="00113DAC">
              <w:rPr>
                <w:rFonts w:cs="Calibri"/>
                <w:sz w:val="22"/>
                <w:szCs w:val="22"/>
              </w:rPr>
              <w:t>Building properties designed for older people (26)</w:t>
            </w:r>
          </w:p>
        </w:tc>
        <w:tc>
          <w:tcPr>
            <w:tcW w:w="556" w:type="pct"/>
            <w:shd w:val="clear" w:color="auto" w:fill="FAFAFA"/>
            <w:vAlign w:val="center"/>
          </w:tcPr>
          <w:p w14:paraId="7C2954EE" w14:textId="77777777" w:rsidR="001F27D2" w:rsidRPr="00113DAC" w:rsidRDefault="001F27D2" w:rsidP="00113DAC">
            <w:pPr>
              <w:spacing w:before="0" w:after="0"/>
              <w:jc w:val="center"/>
              <w:rPr>
                <w:rFonts w:cs="Calibri"/>
                <w:sz w:val="22"/>
                <w:szCs w:val="22"/>
              </w:rPr>
            </w:pPr>
            <w:r w:rsidRPr="00113DAC">
              <w:rPr>
                <w:rFonts w:cs="Calibri"/>
                <w:sz w:val="22"/>
                <w:szCs w:val="22"/>
              </w:rPr>
              <w:t>7.69%</w:t>
            </w:r>
          </w:p>
        </w:tc>
        <w:tc>
          <w:tcPr>
            <w:tcW w:w="665" w:type="pct"/>
            <w:shd w:val="clear" w:color="auto" w:fill="FAFAFA"/>
            <w:vAlign w:val="center"/>
          </w:tcPr>
          <w:p w14:paraId="58AC1EED" w14:textId="77777777" w:rsidR="001F27D2" w:rsidRPr="00113DAC" w:rsidRDefault="001F27D2" w:rsidP="00113DAC">
            <w:pPr>
              <w:spacing w:before="0" w:after="0"/>
              <w:jc w:val="center"/>
              <w:rPr>
                <w:rFonts w:cs="Calibri"/>
                <w:sz w:val="22"/>
                <w:szCs w:val="22"/>
              </w:rPr>
            </w:pPr>
            <w:r w:rsidRPr="00113DAC">
              <w:rPr>
                <w:rFonts w:cs="Calibri"/>
                <w:sz w:val="22"/>
                <w:szCs w:val="22"/>
              </w:rPr>
              <w:t>26.92%</w:t>
            </w:r>
          </w:p>
        </w:tc>
        <w:tc>
          <w:tcPr>
            <w:tcW w:w="574" w:type="pct"/>
            <w:shd w:val="clear" w:color="auto" w:fill="FAFAFA"/>
            <w:vAlign w:val="center"/>
          </w:tcPr>
          <w:p w14:paraId="5E2B5CA9" w14:textId="77777777" w:rsidR="001F27D2" w:rsidRPr="00113DAC" w:rsidRDefault="001F27D2" w:rsidP="00113DAC">
            <w:pPr>
              <w:spacing w:before="0" w:after="0"/>
              <w:jc w:val="center"/>
              <w:rPr>
                <w:rFonts w:cs="Calibri"/>
                <w:sz w:val="22"/>
                <w:szCs w:val="22"/>
              </w:rPr>
            </w:pPr>
            <w:r w:rsidRPr="00113DAC">
              <w:rPr>
                <w:rFonts w:cs="Calibri"/>
                <w:sz w:val="22"/>
                <w:szCs w:val="22"/>
              </w:rPr>
              <w:t>65.38%</w:t>
            </w:r>
          </w:p>
        </w:tc>
      </w:tr>
      <w:tr w:rsidR="001F27D2" w:rsidRPr="00113DAC" w14:paraId="39B23D9A" w14:textId="77777777" w:rsidTr="00113DAC">
        <w:tc>
          <w:tcPr>
            <w:tcW w:w="3205" w:type="pct"/>
            <w:shd w:val="clear" w:color="auto" w:fill="auto"/>
            <w:tcMar>
              <w:top w:w="75" w:type="dxa"/>
              <w:left w:w="75" w:type="dxa"/>
              <w:bottom w:w="75" w:type="dxa"/>
              <w:right w:w="75" w:type="dxa"/>
            </w:tcMar>
          </w:tcPr>
          <w:p w14:paraId="3DC9943B" w14:textId="77777777" w:rsidR="001F27D2" w:rsidRPr="00113DAC" w:rsidRDefault="001F27D2" w:rsidP="00113DAC">
            <w:pPr>
              <w:spacing w:before="0" w:after="0"/>
              <w:rPr>
                <w:rFonts w:cs="Calibri"/>
                <w:sz w:val="22"/>
                <w:szCs w:val="22"/>
              </w:rPr>
            </w:pPr>
            <w:r w:rsidRPr="00113DAC">
              <w:rPr>
                <w:rFonts w:cs="Calibri"/>
                <w:sz w:val="22"/>
                <w:szCs w:val="22"/>
              </w:rPr>
              <w:t>Building properties designed for people with specialist needs (23)</w:t>
            </w:r>
          </w:p>
        </w:tc>
        <w:tc>
          <w:tcPr>
            <w:tcW w:w="556" w:type="pct"/>
            <w:shd w:val="clear" w:color="auto" w:fill="FFFFFF"/>
            <w:vAlign w:val="center"/>
          </w:tcPr>
          <w:p w14:paraId="79487233" w14:textId="77777777" w:rsidR="001F27D2" w:rsidRPr="00113DAC" w:rsidRDefault="001F27D2" w:rsidP="00113DAC">
            <w:pPr>
              <w:spacing w:before="0" w:after="0"/>
              <w:jc w:val="center"/>
              <w:rPr>
                <w:rFonts w:cs="Calibri"/>
                <w:sz w:val="22"/>
                <w:szCs w:val="22"/>
              </w:rPr>
            </w:pPr>
            <w:r w:rsidRPr="00113DAC">
              <w:rPr>
                <w:rFonts w:cs="Calibri"/>
                <w:sz w:val="22"/>
                <w:szCs w:val="22"/>
              </w:rPr>
              <w:t>21.74%</w:t>
            </w:r>
          </w:p>
        </w:tc>
        <w:tc>
          <w:tcPr>
            <w:tcW w:w="665" w:type="pct"/>
            <w:shd w:val="clear" w:color="auto" w:fill="FFFFFF"/>
            <w:vAlign w:val="center"/>
          </w:tcPr>
          <w:p w14:paraId="6B51F567" w14:textId="77777777" w:rsidR="001F27D2" w:rsidRPr="00113DAC" w:rsidRDefault="001F27D2" w:rsidP="00113DAC">
            <w:pPr>
              <w:spacing w:before="0" w:after="0"/>
              <w:jc w:val="center"/>
              <w:rPr>
                <w:rFonts w:cs="Calibri"/>
                <w:sz w:val="22"/>
                <w:szCs w:val="22"/>
              </w:rPr>
            </w:pPr>
            <w:r w:rsidRPr="00113DAC">
              <w:rPr>
                <w:rFonts w:cs="Calibri"/>
                <w:sz w:val="22"/>
                <w:szCs w:val="22"/>
              </w:rPr>
              <w:t>39.13%</w:t>
            </w:r>
          </w:p>
        </w:tc>
        <w:tc>
          <w:tcPr>
            <w:tcW w:w="574" w:type="pct"/>
            <w:shd w:val="clear" w:color="auto" w:fill="FFFFFF"/>
            <w:vAlign w:val="center"/>
          </w:tcPr>
          <w:p w14:paraId="42405965" w14:textId="77777777" w:rsidR="001F27D2" w:rsidRPr="00113DAC" w:rsidRDefault="001F27D2" w:rsidP="00113DAC">
            <w:pPr>
              <w:spacing w:before="0" w:after="0"/>
              <w:jc w:val="center"/>
              <w:rPr>
                <w:rFonts w:cs="Calibri"/>
                <w:sz w:val="22"/>
                <w:szCs w:val="22"/>
              </w:rPr>
            </w:pPr>
            <w:r w:rsidRPr="00113DAC">
              <w:rPr>
                <w:rFonts w:cs="Calibri"/>
                <w:sz w:val="22"/>
                <w:szCs w:val="22"/>
              </w:rPr>
              <w:t>39.13%</w:t>
            </w:r>
          </w:p>
        </w:tc>
      </w:tr>
      <w:tr w:rsidR="001F27D2" w:rsidRPr="00113DAC" w14:paraId="737FCADF" w14:textId="77777777" w:rsidTr="00113DAC">
        <w:tc>
          <w:tcPr>
            <w:tcW w:w="3205" w:type="pct"/>
            <w:shd w:val="clear" w:color="auto" w:fill="auto"/>
            <w:tcMar>
              <w:top w:w="75" w:type="dxa"/>
              <w:left w:w="75" w:type="dxa"/>
              <w:bottom w:w="75" w:type="dxa"/>
              <w:right w:w="75" w:type="dxa"/>
            </w:tcMar>
          </w:tcPr>
          <w:p w14:paraId="05F2027C" w14:textId="77777777" w:rsidR="001F27D2" w:rsidRPr="00113DAC" w:rsidRDefault="001F27D2" w:rsidP="00113DAC">
            <w:pPr>
              <w:spacing w:before="0" w:after="0"/>
              <w:rPr>
                <w:rFonts w:cs="Calibri"/>
                <w:sz w:val="22"/>
                <w:szCs w:val="22"/>
              </w:rPr>
            </w:pPr>
            <w:r w:rsidRPr="00113DAC">
              <w:rPr>
                <w:rFonts w:cs="Calibri"/>
                <w:sz w:val="22"/>
                <w:szCs w:val="22"/>
              </w:rPr>
              <w:t>Improving the quality of existing stock (24)</w:t>
            </w:r>
          </w:p>
        </w:tc>
        <w:tc>
          <w:tcPr>
            <w:tcW w:w="556" w:type="pct"/>
            <w:shd w:val="clear" w:color="auto" w:fill="FAFAFA"/>
            <w:vAlign w:val="center"/>
          </w:tcPr>
          <w:p w14:paraId="3055F1BD" w14:textId="77777777" w:rsidR="001F27D2" w:rsidRPr="00113DAC" w:rsidRDefault="001F27D2" w:rsidP="00113DAC">
            <w:pPr>
              <w:spacing w:before="0" w:after="0"/>
              <w:jc w:val="center"/>
              <w:rPr>
                <w:rFonts w:cs="Calibri"/>
                <w:sz w:val="22"/>
                <w:szCs w:val="22"/>
              </w:rPr>
            </w:pPr>
            <w:r w:rsidRPr="00113DAC">
              <w:rPr>
                <w:rFonts w:cs="Calibri"/>
                <w:sz w:val="22"/>
                <w:szCs w:val="22"/>
              </w:rPr>
              <w:t>4.17%</w:t>
            </w:r>
          </w:p>
        </w:tc>
        <w:tc>
          <w:tcPr>
            <w:tcW w:w="665" w:type="pct"/>
            <w:shd w:val="clear" w:color="auto" w:fill="FAFAFA"/>
            <w:vAlign w:val="center"/>
          </w:tcPr>
          <w:p w14:paraId="6C27BD51" w14:textId="77777777" w:rsidR="001F27D2" w:rsidRPr="00113DAC" w:rsidRDefault="001F27D2" w:rsidP="00113DAC">
            <w:pPr>
              <w:spacing w:before="0" w:after="0"/>
              <w:jc w:val="center"/>
              <w:rPr>
                <w:rFonts w:cs="Calibri"/>
                <w:sz w:val="22"/>
                <w:szCs w:val="22"/>
              </w:rPr>
            </w:pPr>
            <w:r w:rsidRPr="00113DAC">
              <w:rPr>
                <w:rFonts w:cs="Calibri"/>
                <w:sz w:val="22"/>
                <w:szCs w:val="22"/>
              </w:rPr>
              <w:t>41.67%</w:t>
            </w:r>
          </w:p>
        </w:tc>
        <w:tc>
          <w:tcPr>
            <w:tcW w:w="574" w:type="pct"/>
            <w:shd w:val="clear" w:color="auto" w:fill="FAFAFA"/>
            <w:vAlign w:val="center"/>
          </w:tcPr>
          <w:p w14:paraId="4B96CE93" w14:textId="77777777" w:rsidR="001F27D2" w:rsidRPr="00113DAC" w:rsidRDefault="001F27D2" w:rsidP="00113DAC">
            <w:pPr>
              <w:spacing w:before="0" w:after="0"/>
              <w:jc w:val="center"/>
              <w:rPr>
                <w:rFonts w:cs="Calibri"/>
                <w:sz w:val="22"/>
                <w:szCs w:val="22"/>
              </w:rPr>
            </w:pPr>
            <w:r w:rsidRPr="00113DAC">
              <w:rPr>
                <w:rFonts w:cs="Calibri"/>
                <w:sz w:val="22"/>
                <w:szCs w:val="22"/>
              </w:rPr>
              <w:t>54.17%</w:t>
            </w:r>
          </w:p>
        </w:tc>
      </w:tr>
      <w:tr w:rsidR="001F27D2" w:rsidRPr="00113DAC" w14:paraId="77F69AE3" w14:textId="77777777" w:rsidTr="00113DAC">
        <w:tc>
          <w:tcPr>
            <w:tcW w:w="3205" w:type="pct"/>
            <w:shd w:val="clear" w:color="auto" w:fill="auto"/>
            <w:tcMar>
              <w:top w:w="75" w:type="dxa"/>
              <w:left w:w="75" w:type="dxa"/>
              <w:bottom w:w="75" w:type="dxa"/>
              <w:right w:w="75" w:type="dxa"/>
            </w:tcMar>
          </w:tcPr>
          <w:p w14:paraId="0896B551" w14:textId="77777777" w:rsidR="001F27D2" w:rsidRPr="00113DAC" w:rsidRDefault="001F27D2" w:rsidP="00113DAC">
            <w:pPr>
              <w:spacing w:before="0" w:after="0"/>
              <w:rPr>
                <w:rFonts w:cs="Calibri"/>
                <w:sz w:val="22"/>
                <w:szCs w:val="22"/>
              </w:rPr>
            </w:pPr>
            <w:r w:rsidRPr="00113DAC">
              <w:rPr>
                <w:rFonts w:cs="Calibri"/>
                <w:sz w:val="22"/>
                <w:szCs w:val="22"/>
              </w:rPr>
              <w:t>Encouraging and enabling self-build (24)</w:t>
            </w:r>
          </w:p>
        </w:tc>
        <w:tc>
          <w:tcPr>
            <w:tcW w:w="556" w:type="pct"/>
            <w:shd w:val="clear" w:color="auto" w:fill="auto"/>
            <w:vAlign w:val="center"/>
          </w:tcPr>
          <w:p w14:paraId="18B691E9" w14:textId="77777777" w:rsidR="001F27D2" w:rsidRPr="00113DAC" w:rsidRDefault="001F27D2" w:rsidP="00113DAC">
            <w:pPr>
              <w:spacing w:before="0" w:after="0"/>
              <w:jc w:val="center"/>
              <w:rPr>
                <w:rFonts w:cs="Calibri"/>
                <w:sz w:val="22"/>
                <w:szCs w:val="22"/>
              </w:rPr>
            </w:pPr>
            <w:r w:rsidRPr="00113DAC">
              <w:rPr>
                <w:rFonts w:cs="Calibri"/>
                <w:sz w:val="22"/>
                <w:szCs w:val="22"/>
              </w:rPr>
              <w:t>16.67%</w:t>
            </w:r>
          </w:p>
        </w:tc>
        <w:tc>
          <w:tcPr>
            <w:tcW w:w="665" w:type="pct"/>
            <w:shd w:val="clear" w:color="auto" w:fill="auto"/>
            <w:vAlign w:val="center"/>
          </w:tcPr>
          <w:p w14:paraId="2F0854F0" w14:textId="77777777" w:rsidR="001F27D2" w:rsidRPr="00113DAC" w:rsidRDefault="001F27D2" w:rsidP="00113DAC">
            <w:pPr>
              <w:spacing w:before="0" w:after="0"/>
              <w:jc w:val="center"/>
              <w:rPr>
                <w:rFonts w:cs="Calibri"/>
                <w:sz w:val="22"/>
                <w:szCs w:val="22"/>
              </w:rPr>
            </w:pPr>
            <w:r w:rsidRPr="00113DAC">
              <w:rPr>
                <w:rFonts w:cs="Calibri"/>
                <w:sz w:val="22"/>
                <w:szCs w:val="22"/>
              </w:rPr>
              <w:t>41.67%</w:t>
            </w:r>
          </w:p>
        </w:tc>
        <w:tc>
          <w:tcPr>
            <w:tcW w:w="574" w:type="pct"/>
            <w:shd w:val="clear" w:color="auto" w:fill="auto"/>
            <w:vAlign w:val="center"/>
          </w:tcPr>
          <w:p w14:paraId="6DAF44FD" w14:textId="77777777" w:rsidR="001F27D2" w:rsidRPr="00113DAC" w:rsidRDefault="001F27D2" w:rsidP="00113DAC">
            <w:pPr>
              <w:spacing w:before="0" w:after="0"/>
              <w:jc w:val="center"/>
              <w:rPr>
                <w:rFonts w:cs="Calibri"/>
                <w:sz w:val="22"/>
                <w:szCs w:val="22"/>
              </w:rPr>
            </w:pPr>
            <w:r w:rsidRPr="00113DAC">
              <w:rPr>
                <w:rFonts w:cs="Calibri"/>
                <w:sz w:val="22"/>
                <w:szCs w:val="22"/>
              </w:rPr>
              <w:t>41.67%</w:t>
            </w:r>
          </w:p>
        </w:tc>
      </w:tr>
      <w:tr w:rsidR="001F27D2" w:rsidRPr="00113DAC" w14:paraId="379EB527" w14:textId="77777777" w:rsidTr="00113DAC">
        <w:tc>
          <w:tcPr>
            <w:tcW w:w="3205" w:type="pct"/>
            <w:shd w:val="clear" w:color="auto" w:fill="auto"/>
            <w:tcMar>
              <w:top w:w="75" w:type="dxa"/>
              <w:left w:w="75" w:type="dxa"/>
              <w:bottom w:w="75" w:type="dxa"/>
              <w:right w:w="75" w:type="dxa"/>
            </w:tcMar>
          </w:tcPr>
          <w:p w14:paraId="4AA0F5C5" w14:textId="77777777" w:rsidR="001F27D2" w:rsidRPr="00113DAC" w:rsidRDefault="001F27D2" w:rsidP="00113DAC">
            <w:pPr>
              <w:spacing w:before="0" w:after="0"/>
              <w:rPr>
                <w:rFonts w:cs="Calibri"/>
                <w:sz w:val="22"/>
                <w:szCs w:val="22"/>
              </w:rPr>
            </w:pPr>
            <w:r w:rsidRPr="00113DAC">
              <w:rPr>
                <w:rFonts w:cs="Calibri"/>
                <w:sz w:val="22"/>
                <w:szCs w:val="22"/>
              </w:rPr>
              <w:t>Student housing (23)</w:t>
            </w:r>
          </w:p>
        </w:tc>
        <w:tc>
          <w:tcPr>
            <w:tcW w:w="556" w:type="pct"/>
            <w:shd w:val="clear" w:color="auto" w:fill="FAFAFA"/>
            <w:vAlign w:val="center"/>
          </w:tcPr>
          <w:p w14:paraId="1C01516C" w14:textId="77777777" w:rsidR="001F27D2" w:rsidRPr="00113DAC" w:rsidRDefault="001F27D2" w:rsidP="00113DAC">
            <w:pPr>
              <w:spacing w:before="0" w:after="0"/>
              <w:jc w:val="center"/>
              <w:rPr>
                <w:rFonts w:cs="Calibri"/>
                <w:sz w:val="22"/>
                <w:szCs w:val="22"/>
              </w:rPr>
            </w:pPr>
            <w:r w:rsidRPr="00113DAC">
              <w:rPr>
                <w:rFonts w:cs="Calibri"/>
                <w:sz w:val="22"/>
                <w:szCs w:val="22"/>
              </w:rPr>
              <w:t>78.26%</w:t>
            </w:r>
          </w:p>
        </w:tc>
        <w:tc>
          <w:tcPr>
            <w:tcW w:w="665" w:type="pct"/>
            <w:shd w:val="clear" w:color="auto" w:fill="FAFAFA"/>
            <w:vAlign w:val="center"/>
          </w:tcPr>
          <w:p w14:paraId="799D6151" w14:textId="77777777" w:rsidR="001F27D2" w:rsidRPr="00113DAC" w:rsidRDefault="001F27D2" w:rsidP="00113DAC">
            <w:pPr>
              <w:spacing w:before="0" w:after="0"/>
              <w:jc w:val="center"/>
              <w:rPr>
                <w:rFonts w:cs="Calibri"/>
                <w:sz w:val="22"/>
                <w:szCs w:val="22"/>
              </w:rPr>
            </w:pPr>
            <w:r w:rsidRPr="00113DAC">
              <w:rPr>
                <w:rFonts w:cs="Calibri"/>
                <w:sz w:val="22"/>
                <w:szCs w:val="22"/>
              </w:rPr>
              <w:t>17.39%</w:t>
            </w:r>
          </w:p>
        </w:tc>
        <w:tc>
          <w:tcPr>
            <w:tcW w:w="574" w:type="pct"/>
            <w:shd w:val="clear" w:color="auto" w:fill="FAFAFA"/>
            <w:vAlign w:val="center"/>
          </w:tcPr>
          <w:p w14:paraId="25AB4C66" w14:textId="77777777" w:rsidR="001F27D2" w:rsidRPr="00113DAC" w:rsidRDefault="001F27D2" w:rsidP="00113DAC">
            <w:pPr>
              <w:spacing w:before="0" w:after="0"/>
              <w:jc w:val="center"/>
              <w:rPr>
                <w:rFonts w:cs="Calibri"/>
                <w:sz w:val="22"/>
                <w:szCs w:val="22"/>
              </w:rPr>
            </w:pPr>
            <w:r w:rsidRPr="00113DAC">
              <w:rPr>
                <w:rFonts w:cs="Calibri"/>
                <w:sz w:val="22"/>
                <w:szCs w:val="22"/>
              </w:rPr>
              <w:t>4.35%</w:t>
            </w:r>
          </w:p>
        </w:tc>
      </w:tr>
      <w:tr w:rsidR="001F27D2" w:rsidRPr="00113DAC" w14:paraId="103AE12D" w14:textId="77777777" w:rsidTr="00113DAC">
        <w:tc>
          <w:tcPr>
            <w:tcW w:w="3205" w:type="pct"/>
            <w:shd w:val="clear" w:color="auto" w:fill="auto"/>
            <w:tcMar>
              <w:top w:w="75" w:type="dxa"/>
              <w:left w:w="75" w:type="dxa"/>
              <w:bottom w:w="75" w:type="dxa"/>
              <w:right w:w="75" w:type="dxa"/>
            </w:tcMar>
          </w:tcPr>
          <w:p w14:paraId="5E9879AD" w14:textId="77777777" w:rsidR="001F27D2" w:rsidRPr="00113DAC" w:rsidRDefault="001F27D2" w:rsidP="00113DAC">
            <w:pPr>
              <w:spacing w:before="0" w:after="0"/>
              <w:rPr>
                <w:rFonts w:cs="Calibri"/>
                <w:sz w:val="22"/>
                <w:szCs w:val="22"/>
              </w:rPr>
            </w:pPr>
            <w:r w:rsidRPr="00113DAC">
              <w:rPr>
                <w:rFonts w:cs="Calibri"/>
                <w:sz w:val="22"/>
                <w:szCs w:val="22"/>
              </w:rPr>
              <w:t>Family housing (25)</w:t>
            </w:r>
          </w:p>
        </w:tc>
        <w:tc>
          <w:tcPr>
            <w:tcW w:w="556" w:type="pct"/>
            <w:shd w:val="clear" w:color="auto" w:fill="auto"/>
            <w:vAlign w:val="center"/>
          </w:tcPr>
          <w:p w14:paraId="1A80B9E4" w14:textId="77777777" w:rsidR="001F27D2" w:rsidRPr="00113DAC" w:rsidRDefault="001F27D2" w:rsidP="00113DAC">
            <w:pPr>
              <w:spacing w:before="0" w:after="0"/>
              <w:jc w:val="center"/>
              <w:rPr>
                <w:rFonts w:cs="Calibri"/>
                <w:sz w:val="22"/>
                <w:szCs w:val="22"/>
              </w:rPr>
            </w:pPr>
            <w:r w:rsidRPr="00113DAC">
              <w:rPr>
                <w:rFonts w:cs="Calibri"/>
                <w:sz w:val="22"/>
                <w:szCs w:val="22"/>
              </w:rPr>
              <w:t>8%</w:t>
            </w:r>
          </w:p>
        </w:tc>
        <w:tc>
          <w:tcPr>
            <w:tcW w:w="665" w:type="pct"/>
            <w:shd w:val="clear" w:color="auto" w:fill="auto"/>
            <w:vAlign w:val="center"/>
          </w:tcPr>
          <w:p w14:paraId="576823B6" w14:textId="77777777" w:rsidR="001F27D2" w:rsidRPr="00113DAC" w:rsidRDefault="001F27D2" w:rsidP="00113DAC">
            <w:pPr>
              <w:spacing w:before="0" w:after="0"/>
              <w:jc w:val="center"/>
              <w:rPr>
                <w:rFonts w:cs="Calibri"/>
                <w:sz w:val="22"/>
                <w:szCs w:val="22"/>
              </w:rPr>
            </w:pPr>
            <w:r w:rsidRPr="00113DAC">
              <w:rPr>
                <w:rFonts w:cs="Calibri"/>
                <w:sz w:val="22"/>
                <w:szCs w:val="22"/>
              </w:rPr>
              <w:t>64%</w:t>
            </w:r>
          </w:p>
        </w:tc>
        <w:tc>
          <w:tcPr>
            <w:tcW w:w="574" w:type="pct"/>
            <w:shd w:val="clear" w:color="auto" w:fill="auto"/>
            <w:vAlign w:val="center"/>
          </w:tcPr>
          <w:p w14:paraId="512EECAF" w14:textId="77777777" w:rsidR="001F27D2" w:rsidRPr="00113DAC" w:rsidRDefault="001F27D2" w:rsidP="00113DAC">
            <w:pPr>
              <w:spacing w:before="0" w:after="0"/>
              <w:jc w:val="center"/>
              <w:rPr>
                <w:rFonts w:cs="Calibri"/>
                <w:sz w:val="22"/>
                <w:szCs w:val="22"/>
              </w:rPr>
            </w:pPr>
            <w:r w:rsidRPr="00113DAC">
              <w:rPr>
                <w:rFonts w:cs="Calibri"/>
                <w:sz w:val="22"/>
                <w:szCs w:val="22"/>
              </w:rPr>
              <w:t>28%</w:t>
            </w:r>
          </w:p>
        </w:tc>
      </w:tr>
      <w:tr w:rsidR="001F27D2" w:rsidRPr="00113DAC" w14:paraId="7ED7C2F6" w14:textId="77777777" w:rsidTr="00113DAC">
        <w:tc>
          <w:tcPr>
            <w:tcW w:w="3205" w:type="pct"/>
            <w:shd w:val="clear" w:color="auto" w:fill="auto"/>
            <w:tcMar>
              <w:top w:w="75" w:type="dxa"/>
              <w:left w:w="75" w:type="dxa"/>
              <w:bottom w:w="75" w:type="dxa"/>
              <w:right w:w="75" w:type="dxa"/>
            </w:tcMar>
          </w:tcPr>
          <w:p w14:paraId="3DDD2888" w14:textId="77777777" w:rsidR="001F27D2" w:rsidRPr="00113DAC" w:rsidRDefault="001F27D2" w:rsidP="00113DAC">
            <w:pPr>
              <w:spacing w:before="0" w:after="0"/>
              <w:rPr>
                <w:rFonts w:cs="Calibri"/>
                <w:sz w:val="22"/>
                <w:szCs w:val="22"/>
              </w:rPr>
            </w:pPr>
            <w:r w:rsidRPr="00113DAC">
              <w:rPr>
                <w:rFonts w:cs="Calibri"/>
                <w:sz w:val="22"/>
                <w:szCs w:val="22"/>
              </w:rPr>
              <w:t>Multiple Occupation homes (HMOs) (23)</w:t>
            </w:r>
          </w:p>
        </w:tc>
        <w:tc>
          <w:tcPr>
            <w:tcW w:w="556" w:type="pct"/>
            <w:shd w:val="clear" w:color="auto" w:fill="FAFAFA"/>
            <w:vAlign w:val="center"/>
          </w:tcPr>
          <w:p w14:paraId="6868B12F" w14:textId="77777777" w:rsidR="001F27D2" w:rsidRPr="00113DAC" w:rsidRDefault="001F27D2" w:rsidP="00113DAC">
            <w:pPr>
              <w:spacing w:before="0" w:after="0"/>
              <w:jc w:val="center"/>
              <w:rPr>
                <w:rFonts w:cs="Calibri"/>
                <w:sz w:val="22"/>
                <w:szCs w:val="22"/>
              </w:rPr>
            </w:pPr>
            <w:r w:rsidRPr="00113DAC">
              <w:rPr>
                <w:rFonts w:cs="Calibri"/>
                <w:sz w:val="22"/>
                <w:szCs w:val="22"/>
              </w:rPr>
              <w:t>47.83%</w:t>
            </w:r>
          </w:p>
        </w:tc>
        <w:tc>
          <w:tcPr>
            <w:tcW w:w="665" w:type="pct"/>
            <w:shd w:val="clear" w:color="auto" w:fill="FAFAFA"/>
            <w:vAlign w:val="center"/>
          </w:tcPr>
          <w:p w14:paraId="136258BB" w14:textId="77777777" w:rsidR="001F27D2" w:rsidRPr="00113DAC" w:rsidRDefault="001F27D2" w:rsidP="00113DAC">
            <w:pPr>
              <w:spacing w:before="0" w:after="0"/>
              <w:jc w:val="center"/>
              <w:rPr>
                <w:rFonts w:cs="Calibri"/>
                <w:sz w:val="22"/>
                <w:szCs w:val="22"/>
              </w:rPr>
            </w:pPr>
            <w:r w:rsidRPr="00113DAC">
              <w:rPr>
                <w:rFonts w:cs="Calibri"/>
                <w:sz w:val="22"/>
                <w:szCs w:val="22"/>
              </w:rPr>
              <w:t>43.48%</w:t>
            </w:r>
          </w:p>
        </w:tc>
        <w:tc>
          <w:tcPr>
            <w:tcW w:w="574" w:type="pct"/>
            <w:shd w:val="clear" w:color="auto" w:fill="FAFAFA"/>
            <w:vAlign w:val="center"/>
          </w:tcPr>
          <w:p w14:paraId="3EF2ACB0" w14:textId="77777777" w:rsidR="001F27D2" w:rsidRPr="00113DAC" w:rsidRDefault="001F27D2" w:rsidP="00113DAC">
            <w:pPr>
              <w:spacing w:before="0" w:after="0"/>
              <w:jc w:val="center"/>
              <w:rPr>
                <w:rFonts w:cs="Calibri"/>
                <w:sz w:val="22"/>
                <w:szCs w:val="22"/>
              </w:rPr>
            </w:pPr>
            <w:r w:rsidRPr="00113DAC">
              <w:rPr>
                <w:rFonts w:cs="Calibri"/>
                <w:sz w:val="22"/>
                <w:szCs w:val="22"/>
              </w:rPr>
              <w:t>8.70%</w:t>
            </w:r>
          </w:p>
        </w:tc>
      </w:tr>
    </w:tbl>
    <w:p w14:paraId="365F4E34" w14:textId="77777777" w:rsidR="001F27D2" w:rsidRPr="00C946C7" w:rsidRDefault="001F27D2" w:rsidP="001F27D2">
      <w:pPr>
        <w:pStyle w:val="Maintext"/>
        <w:numPr>
          <w:ilvl w:val="0"/>
          <w:numId w:val="0"/>
        </w:numPr>
        <w:ind w:left="709"/>
        <w:rPr>
          <w:rFonts w:cs="Calibri"/>
        </w:rPr>
      </w:pPr>
    </w:p>
    <w:p w14:paraId="0147FE08" w14:textId="77777777" w:rsidR="001F27D2" w:rsidRPr="00326871" w:rsidRDefault="001F27D2" w:rsidP="007D2B69">
      <w:pPr>
        <w:pStyle w:val="Maintext"/>
        <w:numPr>
          <w:ilvl w:val="1"/>
          <w:numId w:val="36"/>
        </w:numPr>
        <w:spacing w:before="0"/>
      </w:pPr>
      <w:r>
        <w:t xml:space="preserve">Building affordable homes to rent was considered to be the highest priority by stakeholders, ranked by 76% as a high priority. </w:t>
      </w:r>
      <w:r w:rsidRPr="00326871">
        <w:t xml:space="preserve">Building </w:t>
      </w:r>
      <w:r>
        <w:t xml:space="preserve">properties designed for older people and building </w:t>
      </w:r>
      <w:r w:rsidRPr="00326871">
        <w:t xml:space="preserve">affordable homes to </w:t>
      </w:r>
      <w:r>
        <w:t>buy (shared ownership etc)</w:t>
      </w:r>
      <w:r w:rsidRPr="00326871">
        <w:t xml:space="preserve"> w</w:t>
      </w:r>
      <w:r>
        <w:t>ere</w:t>
      </w:r>
      <w:r w:rsidRPr="00326871">
        <w:t xml:space="preserve"> ranked as the high priorities by stakeholders, with </w:t>
      </w:r>
      <w:r>
        <w:t>65.38</w:t>
      </w:r>
      <w:r w:rsidRPr="00326871">
        <w:t xml:space="preserve">% </w:t>
      </w:r>
      <w:r>
        <w:t xml:space="preserve">and 62.50% </w:t>
      </w:r>
      <w:r w:rsidRPr="00326871">
        <w:t>of respondents considering th</w:t>
      </w:r>
      <w:r>
        <w:t>e</w:t>
      </w:r>
      <w:r w:rsidRPr="00326871">
        <w:t>s</w:t>
      </w:r>
      <w:r>
        <w:t>e</w:t>
      </w:r>
      <w:r w:rsidRPr="00326871">
        <w:t xml:space="preserve"> as a high priority. </w:t>
      </w:r>
      <w:r>
        <w:t xml:space="preserve">Improving the quality of existing stock was also considered to be a high priority by 54.17% of respondents. </w:t>
      </w:r>
    </w:p>
    <w:p w14:paraId="41E923EA" w14:textId="77777777" w:rsidR="001F27D2" w:rsidRPr="00326871" w:rsidRDefault="001F27D2" w:rsidP="007D2B69">
      <w:pPr>
        <w:pStyle w:val="Maintext"/>
        <w:numPr>
          <w:ilvl w:val="1"/>
          <w:numId w:val="36"/>
        </w:numPr>
        <w:spacing w:before="0"/>
      </w:pPr>
      <w:r>
        <w:t>Family housing and b</w:t>
      </w:r>
      <w:r w:rsidRPr="00326871">
        <w:t>uilding properties to buy on the open market were typically considered as medium priority by the majority of respondents.</w:t>
      </w:r>
    </w:p>
    <w:p w14:paraId="2813ABE4" w14:textId="77777777" w:rsidR="001F27D2" w:rsidRPr="00326871" w:rsidRDefault="001F27D2" w:rsidP="007D2B69">
      <w:pPr>
        <w:pStyle w:val="Maintext"/>
        <w:numPr>
          <w:ilvl w:val="1"/>
          <w:numId w:val="36"/>
        </w:numPr>
        <w:spacing w:before="0"/>
      </w:pPr>
      <w:r w:rsidRPr="00326871">
        <w:t xml:space="preserve">The lowest priority was given to building executive homes </w:t>
      </w:r>
      <w:r>
        <w:t>by 82.61</w:t>
      </w:r>
      <w:r w:rsidRPr="00326871">
        <w:t xml:space="preserve">% </w:t>
      </w:r>
      <w:r>
        <w:t xml:space="preserve">and student housing by 78.26% </w:t>
      </w:r>
      <w:r w:rsidRPr="00326871">
        <w:t>of respondents rank</w:t>
      </w:r>
      <w:r>
        <w:t>ing</w:t>
      </w:r>
      <w:r w:rsidRPr="00326871">
        <w:t xml:space="preserve"> this as low priority.</w:t>
      </w:r>
    </w:p>
    <w:p w14:paraId="15B60DA4" w14:textId="77777777" w:rsidR="001F27D2" w:rsidRDefault="001F27D2" w:rsidP="007D2B69">
      <w:pPr>
        <w:pStyle w:val="Maintext"/>
        <w:numPr>
          <w:ilvl w:val="1"/>
          <w:numId w:val="36"/>
        </w:numPr>
        <w:spacing w:before="0"/>
      </w:pPr>
      <w:r w:rsidRPr="000B1EB2">
        <w:t>Stakeholders gave a range of reasons for identifying these priorities, including:</w:t>
      </w:r>
    </w:p>
    <w:p w14:paraId="04360ED2" w14:textId="77777777" w:rsidR="001F27D2" w:rsidRPr="00A31D7F" w:rsidRDefault="001F27D2" w:rsidP="001F27D2">
      <w:pPr>
        <w:pStyle w:val="bullet"/>
      </w:pPr>
      <w:r>
        <w:t xml:space="preserve">Building of properties designed for older people must be a priority due to the ageing population; </w:t>
      </w:r>
    </w:p>
    <w:p w14:paraId="28E33148" w14:textId="77777777" w:rsidR="001F27D2" w:rsidRPr="00E86817" w:rsidRDefault="001F27D2" w:rsidP="001F27D2">
      <w:pPr>
        <w:pStyle w:val="bullet"/>
      </w:pPr>
      <w:r>
        <w:t xml:space="preserve">Building </w:t>
      </w:r>
      <w:r w:rsidRPr="00A31D7F">
        <w:t>affordable homes</w:t>
      </w:r>
      <w:r>
        <w:t xml:space="preserve"> to enable first time buyers and the younger generation to get a foot onto the property ladder – particularly in rural areas, as the lack of affordable homes results in these areas being targets for second home buyers or more affluent members of society;</w:t>
      </w:r>
    </w:p>
    <w:p w14:paraId="2EE66A54" w14:textId="77777777" w:rsidR="001F27D2" w:rsidRDefault="001F27D2" w:rsidP="001F27D2">
      <w:pPr>
        <w:pStyle w:val="bullet"/>
      </w:pPr>
      <w:r>
        <w:t>A need for rental properties to help young people;</w:t>
      </w:r>
    </w:p>
    <w:p w14:paraId="5889E3D1" w14:textId="77777777" w:rsidR="001F27D2" w:rsidRPr="00E86817" w:rsidRDefault="001F27D2" w:rsidP="001F27D2">
      <w:pPr>
        <w:pStyle w:val="bullet"/>
      </w:pPr>
      <w:r>
        <w:t>Older properties are often expensive to maintain and often not in good condition;</w:t>
      </w:r>
    </w:p>
    <w:p w14:paraId="3CF5B7D2" w14:textId="77777777" w:rsidR="001F27D2" w:rsidRPr="00E86817" w:rsidRDefault="001F27D2" w:rsidP="001F27D2">
      <w:pPr>
        <w:pStyle w:val="bullet"/>
      </w:pPr>
      <w:r>
        <w:lastRenderedPageBreak/>
        <w:t>Too much emphasis is put on large, unaffordable family homes with large gardens when in reality family size is shrinking – self builds to allow families to budget and build what they require</w:t>
      </w:r>
    </w:p>
    <w:p w14:paraId="3999C689" w14:textId="77777777" w:rsidR="001F27D2" w:rsidRPr="00E86817" w:rsidRDefault="001F27D2" w:rsidP="001F27D2">
      <w:pPr>
        <w:pStyle w:val="bullet"/>
      </w:pPr>
      <w:r>
        <w:t>There is a need for more social housing in addition to more affordable housing;</w:t>
      </w:r>
    </w:p>
    <w:p w14:paraId="5B62480A" w14:textId="77777777" w:rsidR="001F27D2" w:rsidRPr="00FD271D" w:rsidRDefault="001F27D2" w:rsidP="001F27D2">
      <w:pPr>
        <w:pStyle w:val="bullet"/>
      </w:pPr>
      <w:r w:rsidRPr="00FD271D">
        <w:t>Any goal of rural sustainability is unattainable unless the creation of rural employment opportunities is mapped to the provision of local housing;</w:t>
      </w:r>
    </w:p>
    <w:p w14:paraId="64729267" w14:textId="77777777" w:rsidR="001F27D2" w:rsidRPr="00FD271D" w:rsidRDefault="001F27D2" w:rsidP="001F27D2">
      <w:pPr>
        <w:pStyle w:val="bullet"/>
      </w:pPr>
      <w:r w:rsidRPr="00FD271D">
        <w:t>Lack of hostel accommodation for the homeless or victims of domestic abuse etc;</w:t>
      </w:r>
    </w:p>
    <w:p w14:paraId="1A677367" w14:textId="77777777" w:rsidR="001F27D2" w:rsidRPr="00FD271D" w:rsidRDefault="001F27D2" w:rsidP="001F27D2">
      <w:pPr>
        <w:pStyle w:val="bullet"/>
      </w:pPr>
      <w:r w:rsidRPr="00FD271D">
        <w:t>Lack of specialist housing for the elderly and disabled;</w:t>
      </w:r>
    </w:p>
    <w:p w14:paraId="0DC3052C" w14:textId="77777777" w:rsidR="001F27D2" w:rsidRPr="00FD271D" w:rsidRDefault="001F27D2" w:rsidP="001F27D2">
      <w:pPr>
        <w:pStyle w:val="bullet"/>
      </w:pPr>
      <w:r w:rsidRPr="00FD271D">
        <w:t>Need to retain young working people – they are priced out of the local market;</w:t>
      </w:r>
    </w:p>
    <w:p w14:paraId="0DAA18CB" w14:textId="77777777" w:rsidR="001F27D2" w:rsidRPr="002B20F4" w:rsidRDefault="001F27D2" w:rsidP="007D2B69">
      <w:pPr>
        <w:pStyle w:val="Maintext"/>
        <w:numPr>
          <w:ilvl w:val="1"/>
          <w:numId w:val="36"/>
        </w:numPr>
        <w:spacing w:before="0"/>
      </w:pPr>
      <w:r w:rsidRPr="00093CD1">
        <w:t xml:space="preserve">Asked what </w:t>
      </w:r>
      <w:r w:rsidRPr="002B20F4">
        <w:t xml:space="preserve">other key housing priorities there are in </w:t>
      </w:r>
      <w:r>
        <w:t>Eden</w:t>
      </w:r>
      <w:r w:rsidRPr="002B20F4">
        <w:t>, stakeholders identified the following, in addition to those above:</w:t>
      </w:r>
    </w:p>
    <w:p w14:paraId="5185D2E0" w14:textId="77777777" w:rsidR="001F27D2" w:rsidRDefault="001F27D2" w:rsidP="001F27D2">
      <w:pPr>
        <w:pStyle w:val="bullet"/>
        <w:rPr>
          <w:rFonts w:cs="Calibri"/>
          <w:szCs w:val="16"/>
        </w:rPr>
      </w:pPr>
      <w:r>
        <w:rPr>
          <w:rFonts w:cs="Calibri"/>
          <w:szCs w:val="16"/>
        </w:rPr>
        <w:t xml:space="preserve">Discouraging house purchases as second homes, to accommodate local residents and people who wish to live in the area; </w:t>
      </w:r>
    </w:p>
    <w:p w14:paraId="15F7BEE2" w14:textId="77777777" w:rsidR="001F27D2" w:rsidRDefault="001F27D2" w:rsidP="001F27D2">
      <w:pPr>
        <w:pStyle w:val="bullet"/>
        <w:rPr>
          <w:rFonts w:cs="Calibri"/>
          <w:szCs w:val="16"/>
        </w:rPr>
      </w:pPr>
      <w:r>
        <w:rPr>
          <w:rFonts w:cs="Calibri"/>
          <w:szCs w:val="16"/>
        </w:rPr>
        <w:t>Small 1 and 2 bed houses, flats and town houses;</w:t>
      </w:r>
    </w:p>
    <w:p w14:paraId="5C629FF8" w14:textId="77777777" w:rsidR="001F27D2" w:rsidRDefault="001F27D2" w:rsidP="001F27D2">
      <w:pPr>
        <w:pStyle w:val="bullet"/>
        <w:rPr>
          <w:rFonts w:cs="Calibri"/>
          <w:szCs w:val="16"/>
        </w:rPr>
      </w:pPr>
      <w:r>
        <w:rPr>
          <w:rFonts w:cs="Calibri"/>
          <w:szCs w:val="16"/>
        </w:rPr>
        <w:t>A need for more bungalows, especially for older people;</w:t>
      </w:r>
    </w:p>
    <w:p w14:paraId="4E9FCBF4" w14:textId="77777777" w:rsidR="001F27D2" w:rsidRDefault="001F27D2" w:rsidP="001F27D2">
      <w:pPr>
        <w:pStyle w:val="bullet"/>
        <w:rPr>
          <w:rFonts w:cs="Calibri"/>
          <w:szCs w:val="16"/>
        </w:rPr>
      </w:pPr>
      <w:r>
        <w:rPr>
          <w:rFonts w:cs="Calibri"/>
          <w:szCs w:val="16"/>
        </w:rPr>
        <w:t>Priority should be given to preserve the character and heritage of the area;</w:t>
      </w:r>
    </w:p>
    <w:p w14:paraId="636027D4" w14:textId="77777777" w:rsidR="001F27D2" w:rsidRDefault="001F27D2" w:rsidP="001F27D2">
      <w:pPr>
        <w:pStyle w:val="bullet"/>
        <w:rPr>
          <w:rFonts w:cs="Calibri"/>
          <w:szCs w:val="16"/>
        </w:rPr>
      </w:pPr>
      <w:r>
        <w:rPr>
          <w:rFonts w:cs="Calibri"/>
          <w:szCs w:val="16"/>
        </w:rPr>
        <w:t>Multigenerational housing; and</w:t>
      </w:r>
    </w:p>
    <w:p w14:paraId="7AE4E833" w14:textId="77777777" w:rsidR="001F27D2" w:rsidRDefault="001F27D2" w:rsidP="001F27D2">
      <w:pPr>
        <w:pStyle w:val="bullet"/>
        <w:rPr>
          <w:rFonts w:cs="Calibri"/>
          <w:szCs w:val="16"/>
        </w:rPr>
      </w:pPr>
      <w:r>
        <w:rPr>
          <w:rFonts w:cs="Calibri"/>
          <w:szCs w:val="16"/>
        </w:rPr>
        <w:t>Hostel accommodation.</w:t>
      </w:r>
    </w:p>
    <w:p w14:paraId="3AACD3DB" w14:textId="77777777" w:rsidR="001F27D2" w:rsidRDefault="001F27D2" w:rsidP="00F835A8">
      <w:pPr>
        <w:rPr>
          <w:lang w:val="en-US"/>
        </w:rPr>
      </w:pPr>
    </w:p>
    <w:p w14:paraId="13483E9F" w14:textId="77777777" w:rsidR="001F27D2" w:rsidRPr="00F835A8" w:rsidRDefault="001F27D2" w:rsidP="00F835A8">
      <w:pPr>
        <w:pStyle w:val="Heading3"/>
      </w:pPr>
      <w:r w:rsidRPr="00F835A8">
        <w:t>The current and future housing market in Eden and housing market drivers</w:t>
      </w:r>
    </w:p>
    <w:p w14:paraId="559706DE" w14:textId="77777777" w:rsidR="001F27D2" w:rsidRPr="006A386F" w:rsidRDefault="001F27D2" w:rsidP="007D2B69">
      <w:pPr>
        <w:pStyle w:val="Maintext"/>
        <w:numPr>
          <w:ilvl w:val="1"/>
          <w:numId w:val="36"/>
        </w:numPr>
        <w:spacing w:before="0"/>
      </w:pPr>
      <w:r w:rsidRPr="000820E5">
        <w:t xml:space="preserve">Stakeholders were asked whether they are aware of employees who travel to work in </w:t>
      </w:r>
      <w:r>
        <w:t xml:space="preserve">Eden </w:t>
      </w:r>
      <w:r w:rsidRPr="000820E5">
        <w:t xml:space="preserve">from outside the </w:t>
      </w:r>
      <w:r>
        <w:t>District</w:t>
      </w:r>
      <w:r w:rsidRPr="000820E5">
        <w:t xml:space="preserve">. Several respondents were aware of people commuting into the area for work; </w:t>
      </w:r>
      <w:r>
        <w:t xml:space="preserve">however, the major reason noted for this seemed to be the lack of affordable housing in the District. Other reasons included </w:t>
      </w:r>
      <w:r w:rsidRPr="006A386F">
        <w:t>family commitments,</w:t>
      </w:r>
      <w:r>
        <w:t xml:space="preserve"> </w:t>
      </w:r>
      <w:r w:rsidRPr="006A386F">
        <w:t>children being settled in schools</w:t>
      </w:r>
      <w:r>
        <w:t xml:space="preserve"> and a lack of employment opportunities forcing people to look further afield. </w:t>
      </w:r>
      <w:r w:rsidRPr="006A386F">
        <w:t xml:space="preserve">When asked whether they thought that employees who live outside of the District would move into the </w:t>
      </w:r>
      <w:r>
        <w:t>Eden</w:t>
      </w:r>
      <w:r w:rsidRPr="006A386F">
        <w:t xml:space="preserve"> area if suitable housing was made available, </w:t>
      </w:r>
      <w:r>
        <w:t>a mixed response was received from</w:t>
      </w:r>
      <w:r w:rsidRPr="006A386F">
        <w:t xml:space="preserve"> respondents</w:t>
      </w:r>
      <w:r>
        <w:t>.</w:t>
      </w:r>
      <w:r w:rsidRPr="006A386F">
        <w:t xml:space="preserve"> </w:t>
      </w:r>
      <w:r>
        <w:t xml:space="preserve">7 respondents believed that more suitable housing would make a difference and 5 respondents </w:t>
      </w:r>
      <w:r w:rsidRPr="006A386F">
        <w:t>did not consider that this would make a difference to their choice.</w:t>
      </w:r>
      <w:r>
        <w:t xml:space="preserve"> Those who thought that it would make a difference expanded on their answer by saying that this would be because of ease and cost of travel. Those who did not believe it would make a difference stated that these people are happy where they are living currently.</w:t>
      </w:r>
    </w:p>
    <w:p w14:paraId="1DEF59D4" w14:textId="77777777" w:rsidR="001F27D2" w:rsidRPr="005C72AA" w:rsidRDefault="001F27D2" w:rsidP="007D2B69">
      <w:pPr>
        <w:pStyle w:val="Maintext"/>
        <w:numPr>
          <w:ilvl w:val="1"/>
          <w:numId w:val="36"/>
        </w:numPr>
        <w:spacing w:before="0"/>
      </w:pPr>
      <w:r w:rsidRPr="005C72AA">
        <w:t xml:space="preserve">Stakeholders were asked to identify what they perceive to be the main drivers of housing demand in </w:t>
      </w:r>
      <w:r>
        <w:t>Eden</w:t>
      </w:r>
      <w:r w:rsidRPr="005C72AA">
        <w:t>. Drivers identified included:</w:t>
      </w:r>
    </w:p>
    <w:p w14:paraId="0255D211" w14:textId="77777777" w:rsidR="001F27D2" w:rsidRDefault="001F27D2" w:rsidP="001F27D2">
      <w:pPr>
        <w:pStyle w:val="bullet"/>
        <w:rPr>
          <w:rFonts w:cs="Calibri"/>
        </w:rPr>
      </w:pPr>
      <w:r>
        <w:rPr>
          <w:rFonts w:cs="Calibri"/>
        </w:rPr>
        <w:t>Lack of affordable housing;</w:t>
      </w:r>
    </w:p>
    <w:p w14:paraId="3168848F" w14:textId="77777777" w:rsidR="001F27D2" w:rsidRDefault="001F27D2" w:rsidP="001F27D2">
      <w:pPr>
        <w:pStyle w:val="bullet"/>
        <w:rPr>
          <w:rFonts w:cs="Calibri"/>
        </w:rPr>
      </w:pPr>
      <w:r>
        <w:rPr>
          <w:rFonts w:cs="Calibri"/>
        </w:rPr>
        <w:t>Employment;</w:t>
      </w:r>
    </w:p>
    <w:p w14:paraId="11B22624" w14:textId="77777777" w:rsidR="001F27D2" w:rsidRDefault="001F27D2" w:rsidP="001F27D2">
      <w:pPr>
        <w:pStyle w:val="bullet"/>
        <w:rPr>
          <w:rFonts w:cs="Calibri"/>
        </w:rPr>
      </w:pPr>
      <w:r>
        <w:rPr>
          <w:rFonts w:cs="Calibri"/>
        </w:rPr>
        <w:t xml:space="preserve">Education; </w:t>
      </w:r>
    </w:p>
    <w:p w14:paraId="7A6DE26E" w14:textId="77777777" w:rsidR="001F27D2" w:rsidRDefault="001F27D2" w:rsidP="001F27D2">
      <w:pPr>
        <w:pStyle w:val="bullet"/>
        <w:rPr>
          <w:rFonts w:cs="Calibri"/>
        </w:rPr>
      </w:pPr>
      <w:r>
        <w:rPr>
          <w:rFonts w:cs="Calibri"/>
        </w:rPr>
        <w:t>Second homes;</w:t>
      </w:r>
    </w:p>
    <w:p w14:paraId="64948E5E" w14:textId="77777777" w:rsidR="001F27D2" w:rsidRDefault="001F27D2" w:rsidP="001F27D2">
      <w:pPr>
        <w:pStyle w:val="bullet"/>
        <w:rPr>
          <w:rFonts w:cs="Calibri"/>
        </w:rPr>
      </w:pPr>
      <w:r>
        <w:rPr>
          <w:rFonts w:cs="Calibri"/>
        </w:rPr>
        <w:lastRenderedPageBreak/>
        <w:t>Retirement; and</w:t>
      </w:r>
    </w:p>
    <w:p w14:paraId="3226A875" w14:textId="77777777" w:rsidR="001F27D2" w:rsidRDefault="001F27D2" w:rsidP="001F27D2">
      <w:pPr>
        <w:pStyle w:val="bullet"/>
        <w:rPr>
          <w:rFonts w:cs="Calibri"/>
        </w:rPr>
      </w:pPr>
      <w:r>
        <w:rPr>
          <w:rFonts w:cs="Calibri"/>
        </w:rPr>
        <w:t>Migrant workers.</w:t>
      </w:r>
    </w:p>
    <w:p w14:paraId="10195118" w14:textId="77777777" w:rsidR="001F27D2" w:rsidRPr="006A386F" w:rsidRDefault="001F27D2" w:rsidP="001F27D2">
      <w:pPr>
        <w:pStyle w:val="bullet"/>
        <w:numPr>
          <w:ilvl w:val="0"/>
          <w:numId w:val="0"/>
        </w:numPr>
        <w:ind w:left="1069"/>
        <w:rPr>
          <w:rFonts w:cs="Calibri"/>
        </w:rPr>
      </w:pPr>
    </w:p>
    <w:p w14:paraId="3648CF39" w14:textId="77777777" w:rsidR="001F27D2" w:rsidRPr="00D07052" w:rsidRDefault="001F27D2" w:rsidP="00F835A8">
      <w:pPr>
        <w:pStyle w:val="Heading3"/>
      </w:pPr>
      <w:r>
        <w:t>O</w:t>
      </w:r>
      <w:r w:rsidRPr="00D07052">
        <w:t xml:space="preserve">wner-occupied </w:t>
      </w:r>
      <w:r>
        <w:t xml:space="preserve">sector </w:t>
      </w:r>
    </w:p>
    <w:p w14:paraId="22429ED1" w14:textId="77777777" w:rsidR="001F27D2" w:rsidRPr="003B6F3B" w:rsidRDefault="001F27D2" w:rsidP="007D2B69">
      <w:pPr>
        <w:pStyle w:val="Maintext"/>
        <w:numPr>
          <w:ilvl w:val="1"/>
          <w:numId w:val="36"/>
        </w:numPr>
        <w:spacing w:before="0"/>
      </w:pPr>
      <w:r w:rsidRPr="00D07052">
        <w:t xml:space="preserve">The survey asked stakeholders to identify the areas of high and low demand within the owner occupied sector in </w:t>
      </w:r>
      <w:r>
        <w:t>Eden</w:t>
      </w:r>
      <w:r w:rsidRPr="00D07052">
        <w:t xml:space="preserve">, and </w:t>
      </w:r>
      <w:r w:rsidRPr="000031D6">
        <w:t xml:space="preserve">the factors that influence this. </w:t>
      </w:r>
      <w:r>
        <w:t>High demand was identified in main centres, especially Penrith due to employment, amenities, transport links etc. Also mentioned was the high demand in tourism areas and areas of natural beauty, mainly driven by inbound retirees. Low demand was mentioned in outlying villages that have poor facilities and no public transport.</w:t>
      </w:r>
      <w:r w:rsidRPr="000031D6">
        <w:t xml:space="preserve"> </w:t>
      </w:r>
      <w:r>
        <w:t xml:space="preserve">One respondent mentioned high demand for </w:t>
      </w:r>
      <w:r w:rsidRPr="00352CBF">
        <w:t>quality, small traditional sandstone village houses that are in keeping with the existing village</w:t>
      </w:r>
      <w:r>
        <w:t>s and l</w:t>
      </w:r>
      <w:r w:rsidRPr="00352CBF">
        <w:t>ow demand for poor quality large expensive houses</w:t>
      </w:r>
      <w:r>
        <w:t xml:space="preserve">. </w:t>
      </w:r>
    </w:p>
    <w:p w14:paraId="70D37AFC" w14:textId="77777777" w:rsidR="001F27D2" w:rsidRPr="005B6189" w:rsidRDefault="001F27D2" w:rsidP="007D2B69">
      <w:pPr>
        <w:pStyle w:val="Maintext"/>
        <w:numPr>
          <w:ilvl w:val="1"/>
          <w:numId w:val="36"/>
        </w:numPr>
        <w:spacing w:before="0"/>
      </w:pPr>
      <w:r w:rsidRPr="000031D6">
        <w:t xml:space="preserve">Asked what they considered the current limitations of the housing market to be across the District, stakeholders mentioned </w:t>
      </w:r>
      <w:r>
        <w:t xml:space="preserve">lack of affordable housing, low average salaries due to lack of quality employment opportunities, lack of bungalows for older people, and too few small properties. One respondent mentioned the lack of available suitable land, as some areas are subject to flooding or difficult to develop due to ground slopes. Another respondent mentioned the inability to remove post-war agricultural buildings. </w:t>
      </w:r>
    </w:p>
    <w:p w14:paraId="7C220530" w14:textId="77777777" w:rsidR="001F27D2" w:rsidRPr="005B6189" w:rsidRDefault="001F27D2" w:rsidP="007D2B69">
      <w:pPr>
        <w:pStyle w:val="Maintext"/>
        <w:numPr>
          <w:ilvl w:val="1"/>
          <w:numId w:val="36"/>
        </w:numPr>
        <w:spacing w:before="0"/>
      </w:pPr>
      <w:r w:rsidRPr="000031D6">
        <w:t xml:space="preserve">In terms of </w:t>
      </w:r>
      <w:r>
        <w:t xml:space="preserve">characteristics of </w:t>
      </w:r>
      <w:r w:rsidRPr="000031D6">
        <w:t xml:space="preserve">demand, </w:t>
      </w:r>
      <w:r>
        <w:t>young people/families, single people, older people looking to downsize or retire were identified. One stakeholder mentioned demand from self-employed people hoping to start businesses in the area.</w:t>
      </w:r>
    </w:p>
    <w:p w14:paraId="402DF527" w14:textId="77777777" w:rsidR="001F27D2" w:rsidRDefault="001F27D2" w:rsidP="007D2B69">
      <w:pPr>
        <w:pStyle w:val="Maintext"/>
        <w:numPr>
          <w:ilvl w:val="1"/>
          <w:numId w:val="36"/>
        </w:numPr>
        <w:spacing w:before="0"/>
      </w:pPr>
      <w:r w:rsidRPr="000031D6">
        <w:t xml:space="preserve">Stakeholders were asked for their views on house price and rental price trends in the survey area, including the impact of changes in mortgage finances. </w:t>
      </w:r>
      <w:r>
        <w:t xml:space="preserve">Several respondents noted house prices being static, and one mentioned that houses remain on the market for long periods before selling at discounted prices. Other respondents noted rising house prices and rising rental prices due to national park status and ‘outsiders moving in’. Respondents mentioned increasing interest rates, stamp duty being high and difficulties in saving for a deposit all resulting in greater demand for rental properties. One respondent mentioned that Brexit fears appear to be making second homes in the Lake District National Park area more attractive. </w:t>
      </w:r>
    </w:p>
    <w:p w14:paraId="3E22B69B" w14:textId="77777777" w:rsidR="001F27D2" w:rsidRDefault="001F27D2" w:rsidP="007D2B69">
      <w:pPr>
        <w:pStyle w:val="Maintext"/>
        <w:numPr>
          <w:ilvl w:val="1"/>
          <w:numId w:val="36"/>
        </w:numPr>
        <w:spacing w:before="0"/>
      </w:pPr>
      <w:r>
        <w:t>Anti-social behaviour was not seen to be a major problem in the particular parish areas.</w:t>
      </w:r>
    </w:p>
    <w:p w14:paraId="54C41F31" w14:textId="77777777" w:rsidR="001F27D2" w:rsidRDefault="001F27D2" w:rsidP="007D2B69">
      <w:pPr>
        <w:pStyle w:val="Maintext"/>
        <w:numPr>
          <w:ilvl w:val="1"/>
          <w:numId w:val="36"/>
        </w:numPr>
        <w:spacing w:before="0"/>
      </w:pPr>
      <w:r>
        <w:t>Asked if affordability is an issue across the Eden District Council area, the majority of stakeholders expressed the view that affordability is an issue. One respondent said that this is particularly in Penrith, whereas another respondent noted that this is mainly in outlying villages. A couple of respondents did not believe affordability to be an issue.</w:t>
      </w:r>
    </w:p>
    <w:p w14:paraId="02ED6E33" w14:textId="77777777" w:rsidR="001F27D2" w:rsidRDefault="001F27D2" w:rsidP="001F27D2">
      <w:pPr>
        <w:pStyle w:val="Reporttext"/>
        <w:numPr>
          <w:ilvl w:val="0"/>
          <w:numId w:val="0"/>
        </w:numPr>
      </w:pPr>
    </w:p>
    <w:p w14:paraId="69A9545F" w14:textId="77777777" w:rsidR="001F27D2" w:rsidRPr="00FD271D" w:rsidRDefault="001F27D2" w:rsidP="00F835A8">
      <w:pPr>
        <w:pStyle w:val="Heading3"/>
      </w:pPr>
      <w:r w:rsidRPr="00FD271D">
        <w:t xml:space="preserve">New development </w:t>
      </w:r>
    </w:p>
    <w:p w14:paraId="2016A30C" w14:textId="77777777" w:rsidR="001F27D2" w:rsidRDefault="001F27D2" w:rsidP="007D2B69">
      <w:pPr>
        <w:pStyle w:val="Maintext"/>
        <w:numPr>
          <w:ilvl w:val="1"/>
          <w:numId w:val="36"/>
        </w:numPr>
        <w:spacing w:before="0"/>
      </w:pPr>
      <w:r>
        <w:t xml:space="preserve">In terms of new-build development at the present time, key areas where this was taking place were noted to be in: Penrith, Carlton, Fairways, Bolton, Appleby, Kirkby Stephen. Other areas were noted as having recent planning permission for new development such as: Hackthorpe, Tirrill, Cliburn and Culgaith. Some respondents expressed that there is too much new development going on. </w:t>
      </w:r>
    </w:p>
    <w:p w14:paraId="1F79C85F" w14:textId="77777777" w:rsidR="001F27D2" w:rsidRDefault="001F27D2" w:rsidP="007D2B69">
      <w:pPr>
        <w:pStyle w:val="Maintext"/>
        <w:numPr>
          <w:ilvl w:val="1"/>
          <w:numId w:val="36"/>
        </w:numPr>
        <w:spacing w:before="0"/>
      </w:pPr>
      <w:r>
        <w:lastRenderedPageBreak/>
        <w:t xml:space="preserve">Factors that influence demand were considered to be: access to schools, transport links and affordable homes. Another factor mentioned by one respondent was the profit of the land owners selling the sites and the developers building them. Penrith was noted as the area of highest demand due to the above reasons, as well as employment opportunities. Respondents noted that in other areas there is low demand due to lack of employment, which tends to be in agriculture or tourism. </w:t>
      </w:r>
    </w:p>
    <w:p w14:paraId="1E08A327" w14:textId="77777777" w:rsidR="001F27D2" w:rsidRDefault="001F27D2" w:rsidP="007D2B69">
      <w:pPr>
        <w:pStyle w:val="Maintext"/>
        <w:numPr>
          <w:ilvl w:val="1"/>
          <w:numId w:val="36"/>
        </w:numPr>
        <w:spacing w:before="0"/>
      </w:pPr>
      <w:r>
        <w:t xml:space="preserve">The demand profile for new build homes was noted as being for 2 and 3 bed properties; social/affordable housing to rent and buy; bungalows, especially for older people; sheltered housing in villages; purpose built accommodation for elderly, disabled, vulnerable and self-build affordable projects. </w:t>
      </w:r>
    </w:p>
    <w:p w14:paraId="4C67E350" w14:textId="77777777" w:rsidR="001F27D2" w:rsidRDefault="001F27D2" w:rsidP="007D2B69">
      <w:pPr>
        <w:pStyle w:val="Maintext"/>
        <w:numPr>
          <w:ilvl w:val="1"/>
          <w:numId w:val="36"/>
        </w:numPr>
        <w:spacing w:before="0"/>
      </w:pPr>
      <w:r>
        <w:t>When asked whether demand for new build housing is from households currently living within Eden or from people seeking to move into the District, there was a mixed response. Some respondents believed that demand is coming from both, whilst others believed it was mainly from local people and others from people outside of the District.</w:t>
      </w:r>
    </w:p>
    <w:p w14:paraId="48884D3A" w14:textId="53B5AF7E" w:rsidR="001F27D2" w:rsidRPr="006A41B2" w:rsidRDefault="001F27D2" w:rsidP="007D2B69">
      <w:pPr>
        <w:pStyle w:val="Maintext"/>
        <w:numPr>
          <w:ilvl w:val="1"/>
          <w:numId w:val="36"/>
        </w:numPr>
        <w:spacing w:before="0"/>
      </w:pPr>
      <w:r>
        <w:t xml:space="preserve">In terms of recommended locations for new build housing, stakeholders seemed to agree with the current </w:t>
      </w:r>
      <w:r w:rsidR="000A4A01">
        <w:t>L</w:t>
      </w:r>
      <w:r>
        <w:t xml:space="preserve">ocal </w:t>
      </w:r>
      <w:r w:rsidR="000A4A01">
        <w:t>P</w:t>
      </w:r>
      <w:r>
        <w:t>lans</w:t>
      </w:r>
      <w:r w:rsidRPr="006A41B2">
        <w:t xml:space="preserve">. </w:t>
      </w:r>
      <w:r>
        <w:t xml:space="preserve">Respondents mentioned new housing to be built in infills in existing villages and in the key hub towns that have sufficient facilities. One respondent specifically mentioned that there has already been too much new development in the Kirkby Stephen area. </w:t>
      </w:r>
      <w:r w:rsidRPr="006A41B2">
        <w:t>With respect to housing types, the following were mentioned:</w:t>
      </w:r>
    </w:p>
    <w:p w14:paraId="300789C1" w14:textId="77777777" w:rsidR="001F27D2" w:rsidRDefault="001F27D2" w:rsidP="001F27D2">
      <w:pPr>
        <w:pStyle w:val="bullet"/>
        <w:rPr>
          <w:rFonts w:cs="Calibri"/>
        </w:rPr>
      </w:pPr>
      <w:r>
        <w:rPr>
          <w:rFonts w:cs="Calibri"/>
        </w:rPr>
        <w:t>a variety to suit purchasers’ needs;</w:t>
      </w:r>
    </w:p>
    <w:p w14:paraId="2C3C893B" w14:textId="77777777" w:rsidR="001F27D2" w:rsidRDefault="001F27D2" w:rsidP="001F27D2">
      <w:pPr>
        <w:pStyle w:val="bullet"/>
        <w:rPr>
          <w:rFonts w:cs="Calibri"/>
        </w:rPr>
      </w:pPr>
      <w:r>
        <w:rPr>
          <w:rFonts w:cs="Calibri"/>
        </w:rPr>
        <w:t xml:space="preserve">small, traditional, sandstone homes; </w:t>
      </w:r>
    </w:p>
    <w:p w14:paraId="2969674A" w14:textId="77777777" w:rsidR="001F27D2" w:rsidRDefault="001F27D2" w:rsidP="001F27D2">
      <w:pPr>
        <w:pStyle w:val="bullet"/>
        <w:rPr>
          <w:rFonts w:cs="Calibri"/>
        </w:rPr>
      </w:pPr>
      <w:r>
        <w:rPr>
          <w:rFonts w:cs="Calibri"/>
        </w:rPr>
        <w:t>quality homes rather than size;</w:t>
      </w:r>
    </w:p>
    <w:p w14:paraId="4BAC46F7" w14:textId="77777777" w:rsidR="001F27D2" w:rsidRDefault="001F27D2" w:rsidP="001F27D2">
      <w:pPr>
        <w:pStyle w:val="bullet"/>
        <w:rPr>
          <w:rFonts w:cs="Calibri"/>
        </w:rPr>
      </w:pPr>
      <w:r>
        <w:rPr>
          <w:rFonts w:cs="Calibri"/>
        </w:rPr>
        <w:t>homes with annexes for elderly parents etc.;</w:t>
      </w:r>
    </w:p>
    <w:p w14:paraId="2B2B5DB4" w14:textId="77777777" w:rsidR="001F27D2" w:rsidRDefault="001F27D2" w:rsidP="001F27D2">
      <w:pPr>
        <w:pStyle w:val="bullet"/>
        <w:rPr>
          <w:rFonts w:cs="Calibri"/>
        </w:rPr>
      </w:pPr>
      <w:r>
        <w:rPr>
          <w:rFonts w:cs="Calibri"/>
        </w:rPr>
        <w:t>affordable and social housing;</w:t>
      </w:r>
    </w:p>
    <w:p w14:paraId="39B6926A" w14:textId="77777777" w:rsidR="001F27D2" w:rsidRDefault="001F27D2" w:rsidP="001F27D2">
      <w:pPr>
        <w:pStyle w:val="bullet"/>
        <w:rPr>
          <w:rFonts w:cs="Calibri"/>
        </w:rPr>
      </w:pPr>
      <w:r>
        <w:rPr>
          <w:rFonts w:cs="Calibri"/>
        </w:rPr>
        <w:t>bungalows for the elderly;</w:t>
      </w:r>
    </w:p>
    <w:p w14:paraId="2C1BC60C" w14:textId="77777777" w:rsidR="001F27D2" w:rsidRDefault="001F27D2" w:rsidP="001F27D2">
      <w:pPr>
        <w:pStyle w:val="bullet"/>
        <w:rPr>
          <w:rFonts w:cs="Calibri"/>
        </w:rPr>
      </w:pPr>
      <w:r>
        <w:rPr>
          <w:rFonts w:cs="Calibri"/>
        </w:rPr>
        <w:t>2/3 bedroom homes;</w:t>
      </w:r>
    </w:p>
    <w:p w14:paraId="40899685" w14:textId="77777777" w:rsidR="001F27D2" w:rsidRDefault="001F27D2" w:rsidP="001F27D2">
      <w:pPr>
        <w:pStyle w:val="bullet"/>
        <w:rPr>
          <w:rFonts w:cs="Calibri"/>
        </w:rPr>
      </w:pPr>
      <w:r>
        <w:rPr>
          <w:rFonts w:cs="Calibri"/>
        </w:rPr>
        <w:t>sheltered housing in villages;</w:t>
      </w:r>
    </w:p>
    <w:p w14:paraId="79605630" w14:textId="14AE7221" w:rsidR="001F27D2" w:rsidRDefault="001F27D2" w:rsidP="001F27D2">
      <w:pPr>
        <w:pStyle w:val="bullet"/>
        <w:rPr>
          <w:rFonts w:cs="Calibri"/>
        </w:rPr>
      </w:pPr>
      <w:r>
        <w:rPr>
          <w:rFonts w:cs="Calibri"/>
        </w:rPr>
        <w:t>apartments;</w:t>
      </w:r>
      <w:r w:rsidR="000A4A01">
        <w:rPr>
          <w:rFonts w:cs="Calibri"/>
        </w:rPr>
        <w:t xml:space="preserve"> and</w:t>
      </w:r>
    </w:p>
    <w:p w14:paraId="7FD76286" w14:textId="77777777" w:rsidR="001F27D2" w:rsidRDefault="001F27D2" w:rsidP="001F27D2">
      <w:pPr>
        <w:pStyle w:val="bullet"/>
        <w:rPr>
          <w:rFonts w:cs="Calibri"/>
        </w:rPr>
      </w:pPr>
      <w:r>
        <w:rPr>
          <w:rFonts w:cs="Calibri"/>
        </w:rPr>
        <w:t>purpose built accommodation for elderly, disabled, vulnerable etc.</w:t>
      </w:r>
    </w:p>
    <w:p w14:paraId="04EBAEE3" w14:textId="77777777" w:rsidR="001F27D2" w:rsidRPr="005C6CE6" w:rsidRDefault="001F27D2" w:rsidP="007D2B69">
      <w:pPr>
        <w:pStyle w:val="Maintext"/>
        <w:numPr>
          <w:ilvl w:val="1"/>
          <w:numId w:val="36"/>
        </w:numPr>
        <w:spacing w:before="0"/>
      </w:pPr>
      <w:r w:rsidRPr="00FB394D">
        <w:t>Some of</w:t>
      </w:r>
      <w:r>
        <w:t xml:space="preserve"> the stakeholders expressed an interest in working with community groups to develop new build housing in the Eden area. When asked why they are interested in developing in this area, one respondent noted that not enough recognition is made to the needs of rural families, farm employees and the elderly – there is no flexibility or recognition of individual local needs. Others noted the need for affordable housing in the area due to the low wage economy. </w:t>
      </w:r>
      <w:r w:rsidRPr="005C6CE6">
        <w:t>When ask</w:t>
      </w:r>
      <w:r>
        <w:t>ed</w:t>
      </w:r>
      <w:r w:rsidRPr="005C6CE6">
        <w:t xml:space="preserve"> what type of land they are holding/developing, one respondent </w:t>
      </w:r>
      <w:r>
        <w:t>replied that they would be developing on both greenfield and brownfield land if planning permission is allowed. Another respondent said that they are holding non-productive agricultural land ready to develop.</w:t>
      </w:r>
    </w:p>
    <w:p w14:paraId="60A0E5D9" w14:textId="77777777" w:rsidR="001F27D2" w:rsidRDefault="001F27D2" w:rsidP="007D2B69">
      <w:pPr>
        <w:pStyle w:val="Maintext"/>
        <w:numPr>
          <w:ilvl w:val="1"/>
          <w:numId w:val="36"/>
        </w:numPr>
        <w:spacing w:before="0"/>
      </w:pPr>
      <w:r>
        <w:t>Barriers to development were identified as including:</w:t>
      </w:r>
    </w:p>
    <w:p w14:paraId="179E9631" w14:textId="77777777" w:rsidR="001F27D2" w:rsidRPr="00182C14" w:rsidRDefault="001F27D2" w:rsidP="001F27D2">
      <w:pPr>
        <w:pStyle w:val="bullet"/>
        <w:rPr>
          <w:rFonts w:cs="Calibri"/>
        </w:rPr>
      </w:pPr>
      <w:r>
        <w:rPr>
          <w:rFonts w:cs="Calibri"/>
        </w:rPr>
        <w:t>Availability of land,</w:t>
      </w:r>
    </w:p>
    <w:p w14:paraId="39F49FE8" w14:textId="77777777" w:rsidR="001F27D2" w:rsidRDefault="001F27D2" w:rsidP="001F27D2">
      <w:pPr>
        <w:pStyle w:val="bullet"/>
        <w:rPr>
          <w:rFonts w:cs="Calibri"/>
        </w:rPr>
      </w:pPr>
      <w:r>
        <w:rPr>
          <w:rFonts w:cs="Calibri"/>
        </w:rPr>
        <w:lastRenderedPageBreak/>
        <w:t>Planning policy, and</w:t>
      </w:r>
    </w:p>
    <w:p w14:paraId="78A75368" w14:textId="77777777" w:rsidR="001F27D2" w:rsidRDefault="001F27D2" w:rsidP="001F27D2">
      <w:pPr>
        <w:pStyle w:val="bullet"/>
        <w:rPr>
          <w:rFonts w:cs="Calibri"/>
        </w:rPr>
      </w:pPr>
      <w:r>
        <w:rPr>
          <w:rFonts w:cs="Calibri"/>
        </w:rPr>
        <w:t>Sites and transport links.</w:t>
      </w:r>
    </w:p>
    <w:p w14:paraId="4637AB9A" w14:textId="77777777" w:rsidR="001F27D2" w:rsidRDefault="001F27D2" w:rsidP="007D2B69">
      <w:pPr>
        <w:pStyle w:val="Maintext"/>
        <w:numPr>
          <w:ilvl w:val="1"/>
          <w:numId w:val="36"/>
        </w:numPr>
        <w:spacing w:before="0"/>
      </w:pPr>
      <w:r>
        <w:t>Respondents were asked how they envisage the market for new build dwellings will develop over the short (to end 2021), medium (to 2026) and long term (to 2035). One respondent stated that the market will be governed by the Eden Local Plan, which has 6 years allocated land supply and the Masterplan which has identified land for development in the long term; however, they believe this is likely to be strongly opposed. One respondent said that the market for new build dwellings will develop slowly, and another said that demand is exaggerated, and homes will continue to sit for long periods on the market at least for the medium term future. Another respondent stated that they cannot see any change due to planning restrictions, whilst another mentioned the uncertain impact that climate change might have in the long term.</w:t>
      </w:r>
    </w:p>
    <w:p w14:paraId="60BEFF4C" w14:textId="77777777" w:rsidR="001F27D2" w:rsidRDefault="001F27D2" w:rsidP="007D2B69">
      <w:pPr>
        <w:pStyle w:val="Maintext"/>
        <w:numPr>
          <w:ilvl w:val="1"/>
          <w:numId w:val="36"/>
        </w:numPr>
        <w:spacing w:before="0"/>
      </w:pPr>
      <w:r>
        <w:t xml:space="preserve">Of respondents who answered, all stated that they have not accessed and used any Homes England initiatives such as Home Building Fund. </w:t>
      </w:r>
    </w:p>
    <w:p w14:paraId="1A54E3F9" w14:textId="77777777" w:rsidR="001F27D2" w:rsidRDefault="001F27D2" w:rsidP="007D2B69">
      <w:pPr>
        <w:pStyle w:val="Maintext"/>
        <w:numPr>
          <w:ilvl w:val="1"/>
          <w:numId w:val="36"/>
        </w:numPr>
        <w:spacing w:before="0"/>
      </w:pPr>
      <w:r>
        <w:t>N</w:t>
      </w:r>
      <w:r w:rsidRPr="00D329F9">
        <w:t>o respondents stated that they are developing affordable housing products</w:t>
      </w:r>
      <w:r>
        <w:t>. When asked what, if any, experience they have with Help to Buy and discounted sale schemes, most respondents replied with ‘</w:t>
      </w:r>
      <w:r w:rsidRPr="004927C2">
        <w:t>none</w:t>
      </w:r>
      <w:r>
        <w:t>’. One respondent expressed that work is required by housing associations to increase awareness of these schemes.</w:t>
      </w:r>
    </w:p>
    <w:p w14:paraId="45BA875F" w14:textId="77777777" w:rsidR="001F27D2" w:rsidRPr="003D713C" w:rsidRDefault="001F27D2" w:rsidP="007D2B69">
      <w:pPr>
        <w:pStyle w:val="Maintext"/>
        <w:numPr>
          <w:ilvl w:val="1"/>
          <w:numId w:val="36"/>
        </w:numPr>
        <w:spacing w:before="0"/>
      </w:pPr>
      <w:r w:rsidRPr="003D713C">
        <w:t xml:space="preserve">Stakeholders were asked what they felt the key messages are that they want to be considered regarding </w:t>
      </w:r>
      <w:r>
        <w:t>housing markets in the Housing Study</w:t>
      </w:r>
      <w:r w:rsidRPr="003D713C">
        <w:t>. The following were mentioned:</w:t>
      </w:r>
    </w:p>
    <w:p w14:paraId="1FE81F08" w14:textId="77777777" w:rsidR="001F27D2" w:rsidRDefault="001F27D2" w:rsidP="00113DAC">
      <w:pPr>
        <w:pStyle w:val="bullet"/>
      </w:pPr>
      <w:r>
        <w:t>Affordable rental market for those unable to purchase;</w:t>
      </w:r>
    </w:p>
    <w:p w14:paraId="26FB2F61" w14:textId="77777777" w:rsidR="001F27D2" w:rsidRDefault="001F27D2" w:rsidP="00113DAC">
      <w:pPr>
        <w:pStyle w:val="bullet"/>
      </w:pPr>
      <w:r>
        <w:t>The lack of flexibility to self build or for small building projects;</w:t>
      </w:r>
    </w:p>
    <w:p w14:paraId="0D555BEE" w14:textId="77777777" w:rsidR="001F27D2" w:rsidRDefault="001F27D2" w:rsidP="00113DAC">
      <w:pPr>
        <w:pStyle w:val="bullet"/>
      </w:pPr>
      <w:r>
        <w:t>Allow small scale development in rural areas;</w:t>
      </w:r>
    </w:p>
    <w:p w14:paraId="1EB47C13" w14:textId="77777777" w:rsidR="001F27D2" w:rsidRDefault="001F27D2" w:rsidP="00113DAC">
      <w:pPr>
        <w:pStyle w:val="bullet"/>
      </w:pPr>
      <w:r>
        <w:t>The focus should be on low income and elderly people;</w:t>
      </w:r>
    </w:p>
    <w:p w14:paraId="0D08AABD" w14:textId="77777777" w:rsidR="001F27D2" w:rsidRDefault="001F27D2" w:rsidP="00113DAC">
      <w:pPr>
        <w:pStyle w:val="bullet"/>
      </w:pPr>
      <w:r>
        <w:t>Need for more smaller properties – particularly bungalows;</w:t>
      </w:r>
    </w:p>
    <w:p w14:paraId="208AD33A" w14:textId="77777777" w:rsidR="001F27D2" w:rsidRDefault="001F27D2" w:rsidP="00113DAC">
      <w:pPr>
        <w:pStyle w:val="bullet"/>
      </w:pPr>
      <w:r>
        <w:t>Sheltered housing in villages for elderly and disabled; and</w:t>
      </w:r>
    </w:p>
    <w:p w14:paraId="08D62540" w14:textId="77777777" w:rsidR="001F27D2" w:rsidRPr="00D329F9" w:rsidRDefault="001F27D2" w:rsidP="00113DAC">
      <w:pPr>
        <w:pStyle w:val="bullet"/>
      </w:pPr>
      <w:r>
        <w:t xml:space="preserve">Focus on delivering to the local market, rather than to the tourism market. </w:t>
      </w:r>
    </w:p>
    <w:p w14:paraId="1A5FBF2D" w14:textId="77777777" w:rsidR="001F27D2" w:rsidRPr="00813FD8" w:rsidRDefault="001F27D2" w:rsidP="001F27D2">
      <w:pPr>
        <w:pStyle w:val="bullet"/>
        <w:numPr>
          <w:ilvl w:val="0"/>
          <w:numId w:val="0"/>
        </w:numPr>
        <w:ind w:left="1069"/>
        <w:rPr>
          <w:rFonts w:cs="Calibri"/>
        </w:rPr>
      </w:pPr>
    </w:p>
    <w:p w14:paraId="6635DA4B" w14:textId="77777777" w:rsidR="001F27D2" w:rsidRPr="00A43DB0" w:rsidRDefault="001F27D2" w:rsidP="00F835A8">
      <w:pPr>
        <w:pStyle w:val="Heading3"/>
      </w:pPr>
      <w:r w:rsidRPr="00A43DB0">
        <w:t>Private rented sector</w:t>
      </w:r>
    </w:p>
    <w:p w14:paraId="3B044AE2" w14:textId="77777777" w:rsidR="001F27D2" w:rsidRPr="001975ED" w:rsidRDefault="001F27D2" w:rsidP="007D2B69">
      <w:pPr>
        <w:pStyle w:val="Maintext"/>
        <w:numPr>
          <w:ilvl w:val="1"/>
          <w:numId w:val="36"/>
        </w:numPr>
        <w:spacing w:before="0"/>
      </w:pPr>
      <w:r w:rsidRPr="00A43DB0">
        <w:t xml:space="preserve">Regarding the private rented sector, stakeholders were asked about its size in </w:t>
      </w:r>
      <w:r>
        <w:t>Eden</w:t>
      </w:r>
      <w:r w:rsidRPr="00A43DB0">
        <w:t xml:space="preserve">, and whether they felt it is too big, too small or about right. </w:t>
      </w:r>
      <w:r>
        <w:t>Most</w:t>
      </w:r>
      <w:r w:rsidRPr="00A43DB0">
        <w:t xml:space="preserve"> stakeholder</w:t>
      </w:r>
      <w:r>
        <w:t>s</w:t>
      </w:r>
      <w:r w:rsidRPr="00A43DB0">
        <w:t xml:space="preserve"> felt that the private rented sector (PRS) was about the right size</w:t>
      </w:r>
      <w:r>
        <w:t>. However, one</w:t>
      </w:r>
      <w:r w:rsidRPr="00A43DB0">
        <w:t xml:space="preserve"> respondent commented that </w:t>
      </w:r>
      <w:r>
        <w:t xml:space="preserve">it is probably too big because the need is not being met by housing associations and the Council through planning permissions. They expressed that the Council needs to be stronger in its demands for affordable housing. </w:t>
      </w:r>
    </w:p>
    <w:p w14:paraId="2EB99F90" w14:textId="77777777" w:rsidR="001F27D2" w:rsidRDefault="001F27D2" w:rsidP="007D2B69">
      <w:pPr>
        <w:pStyle w:val="Maintext"/>
        <w:numPr>
          <w:ilvl w:val="1"/>
          <w:numId w:val="36"/>
        </w:numPr>
        <w:spacing w:before="0"/>
      </w:pPr>
      <w:r>
        <w:t>In terms of</w:t>
      </w:r>
      <w:r w:rsidRPr="001975ED">
        <w:t xml:space="preserve"> typical characteristics of the PRS in </w:t>
      </w:r>
      <w:r>
        <w:t>Eden, stakeholders said that these are: older properties, expensive properties and poorly maintained properties</w:t>
      </w:r>
      <w:r w:rsidRPr="001975ED">
        <w:t xml:space="preserve">. </w:t>
      </w:r>
      <w:r>
        <w:t xml:space="preserve">Respondents stated that PRS dwellings are located in the towns, in the villages and in urban areas. </w:t>
      </w:r>
    </w:p>
    <w:p w14:paraId="222B1A86" w14:textId="77777777" w:rsidR="001F27D2" w:rsidRDefault="001F27D2" w:rsidP="007D2B69">
      <w:pPr>
        <w:pStyle w:val="Maintext"/>
        <w:numPr>
          <w:ilvl w:val="1"/>
          <w:numId w:val="36"/>
        </w:numPr>
        <w:spacing w:before="0"/>
      </w:pPr>
      <w:r w:rsidRPr="00FD5A6B">
        <w:lastRenderedPageBreak/>
        <w:t xml:space="preserve">There was little response regarding the question on areas of high and low demand of PRS and the factors that influence this. </w:t>
      </w:r>
      <w:r>
        <w:t xml:space="preserve">There was also little response in terms of </w:t>
      </w:r>
      <w:r w:rsidRPr="00FD5A6B">
        <w:t>buy-to-let</w:t>
      </w:r>
      <w:r>
        <w:t xml:space="preserve"> in the local market. </w:t>
      </w:r>
    </w:p>
    <w:p w14:paraId="6AA55DE5" w14:textId="77777777" w:rsidR="001F27D2" w:rsidRPr="00FD5A6B" w:rsidRDefault="001F27D2" w:rsidP="007D2B69">
      <w:pPr>
        <w:pStyle w:val="Maintext"/>
        <w:numPr>
          <w:ilvl w:val="1"/>
          <w:numId w:val="36"/>
        </w:numPr>
        <w:spacing w:before="0"/>
      </w:pPr>
      <w:r>
        <w:t xml:space="preserve">When asked what types of households are seeking private rented housing, young people, young families, low income single people, couples, and retiring local people i.e. farmers, were mentioned. No respondents commented on the question relating to whether there was high demand for PRS housing from ethnic minority groups.  </w:t>
      </w:r>
    </w:p>
    <w:p w14:paraId="65100483" w14:textId="77777777" w:rsidR="001F27D2" w:rsidRDefault="001F27D2" w:rsidP="007D2B69">
      <w:pPr>
        <w:pStyle w:val="Maintext"/>
        <w:numPr>
          <w:ilvl w:val="1"/>
          <w:numId w:val="36"/>
        </w:numPr>
        <w:spacing w:before="0"/>
      </w:pPr>
      <w:r>
        <w:t>When asked about the impact on the private rental market through changes in the economy and welfare reforms, only one respondent commented by saying that prices have risen due to tourism and room rental. Again, there was little response surrounding the question about the extent of movement between PRS and other tenures.</w:t>
      </w:r>
    </w:p>
    <w:p w14:paraId="328A0C21" w14:textId="77777777" w:rsidR="001F27D2" w:rsidRPr="003D713C" w:rsidRDefault="001F27D2" w:rsidP="007D2B69">
      <w:pPr>
        <w:pStyle w:val="Maintext"/>
        <w:numPr>
          <w:ilvl w:val="1"/>
          <w:numId w:val="36"/>
        </w:numPr>
        <w:spacing w:before="0"/>
      </w:pPr>
      <w:r w:rsidRPr="003D713C">
        <w:t>Stakeholders were asked what they felt the key messages are that they want to be considered regarding the PRS. The following were mentioned:</w:t>
      </w:r>
    </w:p>
    <w:p w14:paraId="75000F19" w14:textId="77777777" w:rsidR="001F27D2" w:rsidRDefault="001F27D2" w:rsidP="001F27D2">
      <w:pPr>
        <w:pStyle w:val="bullet"/>
        <w:rPr>
          <w:rFonts w:cs="Calibri"/>
        </w:rPr>
      </w:pPr>
      <w:r>
        <w:rPr>
          <w:rFonts w:cs="Calibri"/>
        </w:rPr>
        <w:t xml:space="preserve">Focus on affordable private rents; </w:t>
      </w:r>
    </w:p>
    <w:p w14:paraId="1E502C5E" w14:textId="77777777" w:rsidR="001F27D2" w:rsidRDefault="001F27D2" w:rsidP="001F27D2">
      <w:pPr>
        <w:pStyle w:val="bullet"/>
        <w:rPr>
          <w:rFonts w:cs="Calibri"/>
        </w:rPr>
      </w:pPr>
      <w:r w:rsidRPr="00365609">
        <w:rPr>
          <w:rFonts w:cs="Calibri"/>
        </w:rPr>
        <w:t>Smaller affordable family homes for people on rural incomes to enable them to remain in their home communities</w:t>
      </w:r>
      <w:r>
        <w:rPr>
          <w:rFonts w:cs="Calibri"/>
        </w:rPr>
        <w:t>; and</w:t>
      </w:r>
    </w:p>
    <w:p w14:paraId="04C2D669" w14:textId="77777777" w:rsidR="001F27D2" w:rsidRDefault="001F27D2" w:rsidP="001F27D2">
      <w:pPr>
        <w:pStyle w:val="bullet"/>
        <w:rPr>
          <w:rFonts w:cs="Calibri"/>
        </w:rPr>
      </w:pPr>
      <w:r>
        <w:rPr>
          <w:rFonts w:cs="Calibri"/>
        </w:rPr>
        <w:t xml:space="preserve">Sheltered housing in villages for elderly and disabled. </w:t>
      </w:r>
    </w:p>
    <w:p w14:paraId="41A83FD4" w14:textId="77777777" w:rsidR="001F27D2" w:rsidRPr="002B2A7F" w:rsidRDefault="001F27D2" w:rsidP="001F27D2">
      <w:pPr>
        <w:rPr>
          <w:rFonts w:asciiTheme="minorHAnsi" w:hAnsiTheme="minorHAnsi" w:cs="Calibri"/>
          <w:highlight w:val="yellow"/>
        </w:rPr>
      </w:pPr>
    </w:p>
    <w:p w14:paraId="7C646663" w14:textId="6AB8B67D" w:rsidR="002B41F6" w:rsidRPr="00500E4B" w:rsidRDefault="002B41F6" w:rsidP="004927C2">
      <w:pPr>
        <w:rPr>
          <w:rFonts w:asciiTheme="minorHAnsi" w:hAnsiTheme="minorHAnsi" w:cs="Calibri"/>
          <w:highlight w:val="yellow"/>
        </w:rPr>
      </w:pPr>
      <w:r w:rsidRPr="0099660F">
        <w:t xml:space="preserve"> </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sectPr w:rsidR="002B41F6" w:rsidRPr="00500E4B" w:rsidSect="002B41F6">
      <w:headerReference w:type="default" r:id="rId80"/>
      <w:footerReference w:type="default" r:id="rId81"/>
      <w:footerReference w:type="first" r:id="rId82"/>
      <w:pgSz w:w="11906" w:h="16838" w:code="9"/>
      <w:pgMar w:top="1440" w:right="1276" w:bottom="1134" w:left="1440"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AF70C2" w14:textId="77777777" w:rsidR="00A65AAD" w:rsidRDefault="00A65AAD">
      <w:r>
        <w:separator/>
      </w:r>
    </w:p>
  </w:endnote>
  <w:endnote w:type="continuationSeparator" w:id="0">
    <w:p w14:paraId="022FBF1B" w14:textId="77777777" w:rsidR="00A65AAD" w:rsidRDefault="00A65AAD">
      <w:r>
        <w:continuationSeparator/>
      </w:r>
    </w:p>
  </w:endnote>
  <w:endnote w:type="continuationNotice" w:id="1">
    <w:p w14:paraId="6482E224" w14:textId="77777777" w:rsidR="00A65AAD" w:rsidRDefault="00A65AA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illSans">
    <w:altName w:val="Arial"/>
    <w:charset w:val="B1"/>
    <w:family w:val="swiss"/>
    <w:pitch w:val="variable"/>
    <w:sig w:usb0="80000A67" w:usb1="00000000" w:usb2="00000000" w:usb3="00000000" w:csb0="000001F7" w:csb1="00000000"/>
  </w:font>
  <w:font w:name="GillSans Light">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Bold">
    <w:altName w:val="Arial"/>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NewRomanPS">
    <w:altName w:val="Cambria"/>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Gill Sans MT Pro Medium">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4D"/>
    <w:family w:val="swiss"/>
    <w:pitch w:val="variable"/>
    <w:sig w:usb0="00000003"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05B23" w14:textId="77777777" w:rsidR="0034357A" w:rsidRDefault="0034357A" w:rsidP="00F22269">
    <w:pPr>
      <w:pStyle w:val="Footer-Abra"/>
      <w:pBdr>
        <w:top w:val="single" w:sz="18" w:space="1" w:color="0D5F5D"/>
      </w:pBdr>
      <w:tabs>
        <w:tab w:val="clear" w:pos="8640"/>
        <w:tab w:val="right" w:pos="9356"/>
        <w:tab w:val="right" w:pos="14742"/>
      </w:tabs>
      <w:spacing w:before="0" w:after="0"/>
      <w:rPr>
        <w:rFonts w:ascii="Arial" w:hAnsi="Arial" w:cs="Arial"/>
        <w:color w:val="0070C0"/>
        <w:sz w:val="20"/>
        <w:szCs w:val="20"/>
      </w:rPr>
    </w:pPr>
    <w:r>
      <w:rPr>
        <w:rFonts w:ascii="Arial" w:hAnsi="Arial" w:cs="Arial"/>
        <w:noProof/>
        <w:color w:val="0070C0"/>
        <w:sz w:val="20"/>
        <w:szCs w:val="20"/>
        <w:lang w:eastAsia="en-GB"/>
      </w:rPr>
      <w:drawing>
        <wp:anchor distT="0" distB="0" distL="114300" distR="114300" simplePos="0" relativeHeight="251656704" behindDoc="1" locked="0" layoutInCell="1" allowOverlap="1" wp14:anchorId="2FAC4371" wp14:editId="62387C7D">
          <wp:simplePos x="0" y="0"/>
          <wp:positionH relativeFrom="column">
            <wp:posOffset>5293360</wp:posOffset>
          </wp:positionH>
          <wp:positionV relativeFrom="paragraph">
            <wp:posOffset>45720</wp:posOffset>
          </wp:positionV>
          <wp:extent cx="466725" cy="269875"/>
          <wp:effectExtent l="0" t="0" r="9525" b="0"/>
          <wp:wrapThrough wrapText="bothSides">
            <wp:wrapPolygon edited="0">
              <wp:start x="0" y="0"/>
              <wp:lineTo x="0" y="19821"/>
              <wp:lineTo x="21159" y="19821"/>
              <wp:lineTo x="21159" y="0"/>
              <wp:lineTo x="0" y="0"/>
            </wp:wrapPolygon>
          </wp:wrapThrough>
          <wp:docPr id="11" name="Picture 11" descr="C:\Users\Sandie Brand\Documents\ARC4\Logos\Various File Formats\JPG\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JPG\Logo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69351AE4" w14:textId="77777777" w:rsidR="0034357A" w:rsidRPr="00F5081B" w:rsidRDefault="0034357A" w:rsidP="00F22269">
    <w:pPr>
      <w:pStyle w:val="Footer-Abra"/>
      <w:tabs>
        <w:tab w:val="clear" w:pos="8640"/>
        <w:tab w:val="right" w:pos="9356"/>
        <w:tab w:val="right" w:pos="14742"/>
      </w:tabs>
      <w:spacing w:before="0" w:after="0"/>
      <w:rPr>
        <w:rFonts w:ascii="Arial" w:hAnsi="Arial" w:cs="Arial"/>
        <w:color w:val="009999"/>
        <w:sz w:val="18"/>
        <w:szCs w:val="20"/>
      </w:rPr>
    </w:pPr>
    <w:r>
      <w:rPr>
        <w:rFonts w:ascii="Arial" w:hAnsi="Arial" w:cs="Arial"/>
        <w:color w:val="009999"/>
        <w:sz w:val="18"/>
        <w:szCs w:val="20"/>
      </w:rPr>
      <w:t>November 2016</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5BFC2" w14:textId="77777777" w:rsidR="0034357A" w:rsidRPr="004B2321" w:rsidRDefault="0034357A" w:rsidP="0055018B">
    <w:pPr>
      <w:pStyle w:val="Footer-Abra"/>
      <w:pBdr>
        <w:top w:val="single" w:sz="18" w:space="1" w:color="0D5F5D"/>
      </w:pBdr>
      <w:tabs>
        <w:tab w:val="clear" w:pos="8640"/>
        <w:tab w:val="right" w:pos="9356"/>
        <w:tab w:val="right" w:pos="14742"/>
      </w:tabs>
      <w:spacing w:before="0" w:after="0"/>
      <w:rPr>
        <w:rFonts w:ascii="Calibri" w:hAnsi="Calibri" w:cs="Calibri"/>
        <w:color w:val="0070C0"/>
        <w:sz w:val="20"/>
        <w:szCs w:val="20"/>
      </w:rPr>
    </w:pPr>
    <w:r>
      <w:rPr>
        <w:rFonts w:ascii="Arial" w:hAnsi="Arial" w:cs="Arial"/>
        <w:noProof/>
        <w:color w:val="0070C0"/>
        <w:sz w:val="20"/>
        <w:szCs w:val="20"/>
        <w:lang w:eastAsia="en-GB"/>
      </w:rPr>
      <w:drawing>
        <wp:anchor distT="0" distB="0" distL="114300" distR="114300" simplePos="0" relativeHeight="251809792" behindDoc="1" locked="0" layoutInCell="1" allowOverlap="1" wp14:anchorId="4BE8B79E" wp14:editId="39D8FDBE">
          <wp:simplePos x="0" y="0"/>
          <wp:positionH relativeFrom="margin">
            <wp:posOffset>5356225</wp:posOffset>
          </wp:positionH>
          <wp:positionV relativeFrom="paragraph">
            <wp:posOffset>47625</wp:posOffset>
          </wp:positionV>
          <wp:extent cx="466725" cy="269875"/>
          <wp:effectExtent l="0" t="0" r="9525" b="0"/>
          <wp:wrapNone/>
          <wp:docPr id="25" name="Picture 25" descr="C:\Users\Sandie Brand\Documents\ARC4\Logos\Various File Formats\JPG\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JPG\Logo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767A4652" w14:textId="1B5A8366" w:rsidR="0034357A" w:rsidRPr="0055018B" w:rsidRDefault="0034357A" w:rsidP="0055018B">
    <w:pPr>
      <w:pStyle w:val="Footer-Abra"/>
      <w:tabs>
        <w:tab w:val="clear" w:pos="8640"/>
        <w:tab w:val="right" w:pos="9356"/>
        <w:tab w:val="right" w:pos="14742"/>
      </w:tabs>
      <w:spacing w:before="0" w:after="0"/>
      <w:rPr>
        <w:rFonts w:ascii="Calibri" w:hAnsi="Calibri" w:cs="Calibri"/>
        <w:color w:val="009999"/>
        <w:sz w:val="18"/>
        <w:szCs w:val="20"/>
      </w:rPr>
    </w:pPr>
    <w:r>
      <w:rPr>
        <w:rFonts w:ascii="Calibri" w:hAnsi="Calibri" w:cs="Calibri"/>
        <w:color w:val="009999"/>
        <w:sz w:val="18"/>
        <w:szCs w:val="20"/>
      </w:rPr>
      <w:t>December 2018</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73014" w14:textId="77777777" w:rsidR="0034357A" w:rsidRPr="004B2321" w:rsidRDefault="0034357A" w:rsidP="0055018B">
    <w:pPr>
      <w:pStyle w:val="Footer-Abra"/>
      <w:pBdr>
        <w:top w:val="single" w:sz="18" w:space="1" w:color="0D5F5D"/>
      </w:pBdr>
      <w:tabs>
        <w:tab w:val="clear" w:pos="8640"/>
        <w:tab w:val="right" w:pos="9356"/>
        <w:tab w:val="right" w:pos="14742"/>
      </w:tabs>
      <w:spacing w:before="0" w:after="0"/>
      <w:rPr>
        <w:rFonts w:ascii="Calibri" w:hAnsi="Calibri" w:cs="Calibri"/>
        <w:color w:val="0070C0"/>
        <w:sz w:val="20"/>
        <w:szCs w:val="20"/>
      </w:rPr>
    </w:pPr>
    <w:r>
      <w:rPr>
        <w:rFonts w:ascii="Arial" w:hAnsi="Arial" w:cs="Arial"/>
        <w:noProof/>
        <w:color w:val="0070C0"/>
        <w:sz w:val="20"/>
        <w:szCs w:val="20"/>
        <w:lang w:eastAsia="en-GB"/>
      </w:rPr>
      <w:drawing>
        <wp:anchor distT="0" distB="0" distL="114300" distR="114300" simplePos="0" relativeHeight="251677696" behindDoc="1" locked="0" layoutInCell="1" allowOverlap="1" wp14:anchorId="764E50D5" wp14:editId="4FE0659B">
          <wp:simplePos x="0" y="0"/>
          <wp:positionH relativeFrom="margin">
            <wp:posOffset>8579485</wp:posOffset>
          </wp:positionH>
          <wp:positionV relativeFrom="paragraph">
            <wp:posOffset>47625</wp:posOffset>
          </wp:positionV>
          <wp:extent cx="466725" cy="269875"/>
          <wp:effectExtent l="0" t="0" r="9525" b="0"/>
          <wp:wrapNone/>
          <wp:docPr id="7170" name="Picture 7170" descr="C:\Users\Sandie Brand\Documents\ARC4\Logos\Various File Formats\JPG\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JPG\Logo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30EE4CD0" w14:textId="2D468405" w:rsidR="0034357A" w:rsidRPr="0055018B" w:rsidRDefault="0034357A" w:rsidP="0055018B">
    <w:pPr>
      <w:pStyle w:val="Footer-Abra"/>
      <w:tabs>
        <w:tab w:val="clear" w:pos="8640"/>
        <w:tab w:val="right" w:pos="9356"/>
        <w:tab w:val="right" w:pos="14742"/>
      </w:tabs>
      <w:spacing w:before="0" w:after="0"/>
      <w:rPr>
        <w:rFonts w:ascii="Calibri" w:hAnsi="Calibri" w:cs="Calibri"/>
        <w:color w:val="009999"/>
        <w:sz w:val="18"/>
        <w:szCs w:val="20"/>
      </w:rPr>
    </w:pPr>
    <w:r>
      <w:rPr>
        <w:rFonts w:ascii="Calibri" w:hAnsi="Calibri" w:cs="Calibri"/>
        <w:color w:val="009999"/>
        <w:sz w:val="18"/>
        <w:szCs w:val="20"/>
      </w:rPr>
      <w:t>December 2018</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53022A" w14:textId="77777777" w:rsidR="0034357A" w:rsidRPr="004B2321" w:rsidRDefault="0034357A" w:rsidP="0055018B">
    <w:pPr>
      <w:pStyle w:val="Footer-Abra"/>
      <w:pBdr>
        <w:top w:val="single" w:sz="18" w:space="1" w:color="0D5F5D"/>
      </w:pBdr>
      <w:tabs>
        <w:tab w:val="clear" w:pos="8640"/>
        <w:tab w:val="right" w:pos="9356"/>
        <w:tab w:val="right" w:pos="14742"/>
      </w:tabs>
      <w:spacing w:before="0" w:after="0"/>
      <w:rPr>
        <w:rFonts w:ascii="Calibri" w:hAnsi="Calibri" w:cs="Calibri"/>
        <w:color w:val="0070C0"/>
        <w:sz w:val="20"/>
        <w:szCs w:val="20"/>
      </w:rPr>
    </w:pPr>
    <w:r>
      <w:rPr>
        <w:rFonts w:ascii="Arial" w:hAnsi="Arial" w:cs="Arial"/>
        <w:noProof/>
        <w:color w:val="0070C0"/>
        <w:sz w:val="20"/>
        <w:szCs w:val="20"/>
        <w:lang w:eastAsia="en-GB"/>
      </w:rPr>
      <w:drawing>
        <wp:anchor distT="0" distB="0" distL="114300" distR="114300" simplePos="0" relativeHeight="251674624" behindDoc="1" locked="0" layoutInCell="1" allowOverlap="1" wp14:anchorId="0FC54F4E" wp14:editId="1F8011CB">
          <wp:simplePos x="0" y="0"/>
          <wp:positionH relativeFrom="margin">
            <wp:posOffset>5356225</wp:posOffset>
          </wp:positionH>
          <wp:positionV relativeFrom="paragraph">
            <wp:posOffset>47625</wp:posOffset>
          </wp:positionV>
          <wp:extent cx="466725" cy="269875"/>
          <wp:effectExtent l="0" t="0" r="9525" b="0"/>
          <wp:wrapNone/>
          <wp:docPr id="7168" name="Picture 7168" descr="C:\Users\Sandie Brand\Documents\ARC4\Logos\Various File Formats\JPG\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JPG\Logo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330042BE" w14:textId="20E31FAC" w:rsidR="0034357A" w:rsidRPr="0055018B" w:rsidRDefault="0034357A" w:rsidP="0055018B">
    <w:pPr>
      <w:pStyle w:val="Footer-Abra"/>
      <w:tabs>
        <w:tab w:val="clear" w:pos="8640"/>
        <w:tab w:val="right" w:pos="9356"/>
        <w:tab w:val="right" w:pos="14742"/>
      </w:tabs>
      <w:spacing w:before="0" w:after="0"/>
      <w:rPr>
        <w:rFonts w:ascii="Calibri" w:hAnsi="Calibri" w:cs="Calibri"/>
        <w:color w:val="009999"/>
        <w:sz w:val="18"/>
        <w:szCs w:val="20"/>
      </w:rPr>
    </w:pPr>
    <w:r>
      <w:rPr>
        <w:rFonts w:ascii="Calibri" w:hAnsi="Calibri" w:cs="Calibri"/>
        <w:color w:val="009999"/>
        <w:sz w:val="18"/>
        <w:szCs w:val="20"/>
      </w:rPr>
      <w:t>December 2018</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3A48A" w14:textId="77777777" w:rsidR="0034357A" w:rsidRPr="004B2321" w:rsidRDefault="0034357A" w:rsidP="0055018B">
    <w:pPr>
      <w:pStyle w:val="Footer-Abra"/>
      <w:pBdr>
        <w:top w:val="single" w:sz="18" w:space="1" w:color="0D5F5D"/>
      </w:pBdr>
      <w:tabs>
        <w:tab w:val="clear" w:pos="8640"/>
        <w:tab w:val="right" w:pos="9356"/>
        <w:tab w:val="right" w:pos="14742"/>
      </w:tabs>
      <w:spacing w:before="0" w:after="0"/>
      <w:rPr>
        <w:rFonts w:ascii="Calibri" w:hAnsi="Calibri" w:cs="Calibri"/>
        <w:color w:val="0070C0"/>
        <w:sz w:val="20"/>
        <w:szCs w:val="20"/>
      </w:rPr>
    </w:pPr>
    <w:r>
      <w:rPr>
        <w:rFonts w:ascii="Arial" w:hAnsi="Arial" w:cs="Arial"/>
        <w:noProof/>
        <w:color w:val="0070C0"/>
        <w:sz w:val="20"/>
        <w:szCs w:val="20"/>
        <w:lang w:eastAsia="en-GB"/>
      </w:rPr>
      <w:drawing>
        <wp:anchor distT="0" distB="0" distL="114300" distR="114300" simplePos="0" relativeHeight="251671552" behindDoc="1" locked="0" layoutInCell="1" allowOverlap="1" wp14:anchorId="09622F52" wp14:editId="6E87B951">
          <wp:simplePos x="0" y="0"/>
          <wp:positionH relativeFrom="margin">
            <wp:posOffset>8579485</wp:posOffset>
          </wp:positionH>
          <wp:positionV relativeFrom="paragraph">
            <wp:posOffset>47625</wp:posOffset>
          </wp:positionV>
          <wp:extent cx="466725" cy="269875"/>
          <wp:effectExtent l="0" t="0" r="9525" b="0"/>
          <wp:wrapNone/>
          <wp:docPr id="30" name="Picture 30" descr="C:\Users\Sandie Brand\Documents\ARC4\Logos\Various File Formats\JPG\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JPG\Logo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5A913AF0" w14:textId="74438F10" w:rsidR="0034357A" w:rsidRPr="0055018B" w:rsidRDefault="0034357A" w:rsidP="0055018B">
    <w:pPr>
      <w:pStyle w:val="Footer-Abra"/>
      <w:tabs>
        <w:tab w:val="clear" w:pos="8640"/>
        <w:tab w:val="right" w:pos="9356"/>
        <w:tab w:val="right" w:pos="14742"/>
      </w:tabs>
      <w:spacing w:before="0" w:after="0"/>
      <w:rPr>
        <w:rFonts w:ascii="Calibri" w:hAnsi="Calibri" w:cs="Calibri"/>
        <w:color w:val="009999"/>
        <w:sz w:val="18"/>
        <w:szCs w:val="20"/>
      </w:rPr>
    </w:pPr>
    <w:r>
      <w:rPr>
        <w:rFonts w:ascii="Calibri" w:hAnsi="Calibri" w:cs="Calibri"/>
        <w:color w:val="009999"/>
        <w:sz w:val="18"/>
        <w:szCs w:val="20"/>
      </w:rPr>
      <w:t>December 2018</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53453E" w14:textId="77777777" w:rsidR="0034357A" w:rsidRPr="004B2321" w:rsidRDefault="0034357A" w:rsidP="0055018B">
    <w:pPr>
      <w:pStyle w:val="Footer-Abra"/>
      <w:pBdr>
        <w:top w:val="single" w:sz="18" w:space="1" w:color="0D5F5D"/>
      </w:pBdr>
      <w:tabs>
        <w:tab w:val="clear" w:pos="8640"/>
        <w:tab w:val="right" w:pos="9356"/>
        <w:tab w:val="right" w:pos="14742"/>
      </w:tabs>
      <w:spacing w:before="0" w:after="0"/>
      <w:rPr>
        <w:rFonts w:ascii="Calibri" w:hAnsi="Calibri" w:cs="Calibri"/>
        <w:color w:val="0070C0"/>
        <w:sz w:val="20"/>
        <w:szCs w:val="20"/>
      </w:rPr>
    </w:pPr>
    <w:r>
      <w:rPr>
        <w:rFonts w:ascii="Arial" w:hAnsi="Arial" w:cs="Arial"/>
        <w:noProof/>
        <w:color w:val="0070C0"/>
        <w:sz w:val="20"/>
        <w:szCs w:val="20"/>
        <w:lang w:eastAsia="en-GB"/>
      </w:rPr>
      <w:drawing>
        <wp:anchor distT="0" distB="0" distL="114300" distR="114300" simplePos="0" relativeHeight="251668480" behindDoc="1" locked="0" layoutInCell="1" allowOverlap="1" wp14:anchorId="0B70CFB5" wp14:editId="01DD160B">
          <wp:simplePos x="0" y="0"/>
          <wp:positionH relativeFrom="margin">
            <wp:posOffset>5356225</wp:posOffset>
          </wp:positionH>
          <wp:positionV relativeFrom="paragraph">
            <wp:posOffset>47625</wp:posOffset>
          </wp:positionV>
          <wp:extent cx="466725" cy="269875"/>
          <wp:effectExtent l="0" t="0" r="9525" b="0"/>
          <wp:wrapNone/>
          <wp:docPr id="28" name="Picture 28" descr="C:\Users\Sandie Brand\Documents\ARC4\Logos\Various File Formats\JPG\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JPG\Logo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2DA486E8" w14:textId="356F8C53" w:rsidR="0034357A" w:rsidRPr="0055018B" w:rsidRDefault="0034357A" w:rsidP="0055018B">
    <w:pPr>
      <w:pStyle w:val="Footer-Abra"/>
      <w:tabs>
        <w:tab w:val="clear" w:pos="8640"/>
        <w:tab w:val="right" w:pos="9356"/>
        <w:tab w:val="right" w:pos="14742"/>
      </w:tabs>
      <w:spacing w:before="0" w:after="0"/>
      <w:rPr>
        <w:rFonts w:ascii="Calibri" w:hAnsi="Calibri" w:cs="Calibri"/>
        <w:color w:val="009999"/>
        <w:sz w:val="18"/>
        <w:szCs w:val="20"/>
      </w:rPr>
    </w:pPr>
    <w:r>
      <w:rPr>
        <w:rFonts w:ascii="Calibri" w:hAnsi="Calibri" w:cs="Calibri"/>
        <w:color w:val="009999"/>
        <w:sz w:val="18"/>
        <w:szCs w:val="20"/>
      </w:rPr>
      <w:t>December 2018</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2C052" w14:textId="77777777" w:rsidR="0034357A" w:rsidRPr="004B2321" w:rsidRDefault="0034357A" w:rsidP="0055018B">
    <w:pPr>
      <w:pStyle w:val="Footer-Abra"/>
      <w:pBdr>
        <w:top w:val="single" w:sz="18" w:space="1" w:color="0D5F5D"/>
      </w:pBdr>
      <w:tabs>
        <w:tab w:val="clear" w:pos="8640"/>
        <w:tab w:val="right" w:pos="9356"/>
        <w:tab w:val="right" w:pos="14742"/>
      </w:tabs>
      <w:spacing w:before="0" w:after="0"/>
      <w:rPr>
        <w:rFonts w:ascii="Calibri" w:hAnsi="Calibri" w:cs="Calibri"/>
        <w:color w:val="0070C0"/>
        <w:sz w:val="20"/>
        <w:szCs w:val="20"/>
      </w:rPr>
    </w:pPr>
    <w:r>
      <w:rPr>
        <w:rFonts w:ascii="Arial" w:hAnsi="Arial" w:cs="Arial"/>
        <w:noProof/>
        <w:color w:val="0070C0"/>
        <w:sz w:val="20"/>
        <w:szCs w:val="20"/>
        <w:lang w:eastAsia="en-GB"/>
      </w:rPr>
      <w:drawing>
        <wp:anchor distT="0" distB="0" distL="114300" distR="114300" simplePos="0" relativeHeight="251665408" behindDoc="1" locked="0" layoutInCell="1" allowOverlap="1" wp14:anchorId="1890AC78" wp14:editId="601192FC">
          <wp:simplePos x="0" y="0"/>
          <wp:positionH relativeFrom="margin">
            <wp:posOffset>8488045</wp:posOffset>
          </wp:positionH>
          <wp:positionV relativeFrom="paragraph">
            <wp:posOffset>47625</wp:posOffset>
          </wp:positionV>
          <wp:extent cx="466725" cy="269875"/>
          <wp:effectExtent l="0" t="0" r="9525" b="0"/>
          <wp:wrapNone/>
          <wp:docPr id="24" name="Picture 24" descr="C:\Users\Sandie Brand\Documents\ARC4\Logos\Various File Formats\JPG\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JPG\Logo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6F997A1A" w14:textId="1C46FD25" w:rsidR="0034357A" w:rsidRPr="0055018B" w:rsidRDefault="0034357A" w:rsidP="0055018B">
    <w:pPr>
      <w:pStyle w:val="Footer-Abra"/>
      <w:tabs>
        <w:tab w:val="clear" w:pos="8640"/>
        <w:tab w:val="right" w:pos="9356"/>
        <w:tab w:val="right" w:pos="14742"/>
      </w:tabs>
      <w:spacing w:before="0" w:after="0"/>
      <w:rPr>
        <w:rFonts w:ascii="Calibri" w:hAnsi="Calibri" w:cs="Calibri"/>
        <w:color w:val="009999"/>
        <w:sz w:val="18"/>
        <w:szCs w:val="20"/>
      </w:rPr>
    </w:pPr>
    <w:r>
      <w:rPr>
        <w:rFonts w:ascii="Calibri" w:hAnsi="Calibri" w:cs="Calibri"/>
        <w:color w:val="009999"/>
        <w:sz w:val="18"/>
        <w:szCs w:val="20"/>
      </w:rPr>
      <w:t>December 2018</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833BE" w14:textId="77777777" w:rsidR="0034357A" w:rsidRPr="004B2321" w:rsidRDefault="0034357A" w:rsidP="0055018B">
    <w:pPr>
      <w:pStyle w:val="Footer-Abra"/>
      <w:pBdr>
        <w:top w:val="single" w:sz="18" w:space="1" w:color="0D5F5D"/>
      </w:pBdr>
      <w:tabs>
        <w:tab w:val="clear" w:pos="8640"/>
        <w:tab w:val="right" w:pos="9356"/>
        <w:tab w:val="right" w:pos="14742"/>
      </w:tabs>
      <w:spacing w:before="0" w:after="0"/>
      <w:rPr>
        <w:rFonts w:ascii="Calibri" w:hAnsi="Calibri" w:cs="Calibri"/>
        <w:color w:val="0070C0"/>
        <w:sz w:val="20"/>
        <w:szCs w:val="20"/>
      </w:rPr>
    </w:pPr>
    <w:r>
      <w:rPr>
        <w:rFonts w:ascii="Arial" w:hAnsi="Arial" w:cs="Arial"/>
        <w:noProof/>
        <w:color w:val="0070C0"/>
        <w:sz w:val="20"/>
        <w:szCs w:val="20"/>
        <w:lang w:eastAsia="en-GB"/>
      </w:rPr>
      <w:drawing>
        <wp:anchor distT="0" distB="0" distL="114300" distR="114300" simplePos="0" relativeHeight="251662336" behindDoc="1" locked="0" layoutInCell="1" allowOverlap="1" wp14:anchorId="4F477C7A" wp14:editId="047F3C2D">
          <wp:simplePos x="0" y="0"/>
          <wp:positionH relativeFrom="margin">
            <wp:posOffset>5356225</wp:posOffset>
          </wp:positionH>
          <wp:positionV relativeFrom="paragraph">
            <wp:posOffset>47625</wp:posOffset>
          </wp:positionV>
          <wp:extent cx="466725" cy="269875"/>
          <wp:effectExtent l="0" t="0" r="9525" b="0"/>
          <wp:wrapNone/>
          <wp:docPr id="23" name="Picture 23" descr="C:\Users\Sandie Brand\Documents\ARC4\Logos\Various File Formats\JPG\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JPG\Logo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25CE601C" w14:textId="0E31EBA4" w:rsidR="0034357A" w:rsidRPr="0055018B" w:rsidRDefault="0034357A" w:rsidP="0055018B">
    <w:pPr>
      <w:pStyle w:val="Footer-Abra"/>
      <w:tabs>
        <w:tab w:val="clear" w:pos="8640"/>
        <w:tab w:val="right" w:pos="9356"/>
        <w:tab w:val="right" w:pos="14742"/>
      </w:tabs>
      <w:spacing w:before="0" w:after="0"/>
      <w:rPr>
        <w:rFonts w:ascii="Calibri" w:hAnsi="Calibri" w:cs="Calibri"/>
        <w:color w:val="009999"/>
        <w:sz w:val="18"/>
        <w:szCs w:val="20"/>
      </w:rPr>
    </w:pPr>
    <w:r>
      <w:rPr>
        <w:rFonts w:ascii="Calibri" w:hAnsi="Calibri" w:cs="Calibri"/>
        <w:color w:val="009999"/>
        <w:sz w:val="18"/>
        <w:szCs w:val="20"/>
      </w:rPr>
      <w:t>December 2018</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90D309" w14:textId="77777777" w:rsidR="0034357A" w:rsidRPr="004B2321" w:rsidRDefault="0034357A" w:rsidP="0055018B">
    <w:pPr>
      <w:pStyle w:val="Footer-Abra"/>
      <w:pBdr>
        <w:top w:val="single" w:sz="18" w:space="1" w:color="0D5F5D"/>
      </w:pBdr>
      <w:tabs>
        <w:tab w:val="clear" w:pos="8640"/>
        <w:tab w:val="right" w:pos="9356"/>
        <w:tab w:val="right" w:pos="14742"/>
      </w:tabs>
      <w:spacing w:before="0" w:after="0"/>
      <w:rPr>
        <w:rFonts w:ascii="Calibri" w:hAnsi="Calibri" w:cs="Calibri"/>
        <w:color w:val="0070C0"/>
        <w:sz w:val="20"/>
        <w:szCs w:val="20"/>
      </w:rPr>
    </w:pPr>
    <w:r>
      <w:rPr>
        <w:rFonts w:ascii="Arial" w:hAnsi="Arial" w:cs="Arial"/>
        <w:noProof/>
        <w:color w:val="0070C0"/>
        <w:sz w:val="20"/>
        <w:szCs w:val="20"/>
        <w:lang w:eastAsia="en-GB"/>
      </w:rPr>
      <w:drawing>
        <wp:anchor distT="0" distB="0" distL="114300" distR="114300" simplePos="0" relativeHeight="251659264" behindDoc="1" locked="0" layoutInCell="1" allowOverlap="1" wp14:anchorId="5F1A37E9" wp14:editId="69192314">
          <wp:simplePos x="0" y="0"/>
          <wp:positionH relativeFrom="margin">
            <wp:posOffset>8579485</wp:posOffset>
          </wp:positionH>
          <wp:positionV relativeFrom="paragraph">
            <wp:posOffset>47625</wp:posOffset>
          </wp:positionV>
          <wp:extent cx="466725" cy="269875"/>
          <wp:effectExtent l="0" t="0" r="9525" b="0"/>
          <wp:wrapNone/>
          <wp:docPr id="22" name="Picture 22" descr="C:\Users\Sandie Brand\Documents\ARC4\Logos\Various File Formats\JPG\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JPG\Logo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5A6C1B84" w14:textId="7918F196" w:rsidR="0034357A" w:rsidRPr="0055018B" w:rsidRDefault="0034357A" w:rsidP="0055018B">
    <w:pPr>
      <w:pStyle w:val="Footer-Abra"/>
      <w:tabs>
        <w:tab w:val="clear" w:pos="8640"/>
        <w:tab w:val="right" w:pos="9356"/>
        <w:tab w:val="right" w:pos="14742"/>
      </w:tabs>
      <w:spacing w:before="0" w:after="0"/>
      <w:rPr>
        <w:rFonts w:ascii="Calibri" w:hAnsi="Calibri" w:cs="Calibri"/>
        <w:color w:val="009999"/>
        <w:sz w:val="18"/>
        <w:szCs w:val="20"/>
      </w:rPr>
    </w:pPr>
    <w:r>
      <w:rPr>
        <w:rFonts w:ascii="Calibri" w:hAnsi="Calibri" w:cs="Calibri"/>
        <w:color w:val="009999"/>
        <w:sz w:val="18"/>
        <w:szCs w:val="20"/>
      </w:rPr>
      <w:t>December 2018</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999C32" w14:textId="77777777" w:rsidR="0034357A" w:rsidRPr="004B2321" w:rsidRDefault="0034357A" w:rsidP="0055018B">
    <w:pPr>
      <w:pStyle w:val="Footer-Abra"/>
      <w:pBdr>
        <w:top w:val="single" w:sz="18" w:space="1" w:color="0D5F5D"/>
      </w:pBdr>
      <w:tabs>
        <w:tab w:val="clear" w:pos="8640"/>
        <w:tab w:val="right" w:pos="9356"/>
        <w:tab w:val="right" w:pos="14742"/>
      </w:tabs>
      <w:spacing w:before="0" w:after="0"/>
      <w:rPr>
        <w:rFonts w:ascii="Calibri" w:hAnsi="Calibri" w:cs="Calibri"/>
        <w:color w:val="0070C0"/>
        <w:sz w:val="20"/>
        <w:szCs w:val="20"/>
      </w:rPr>
    </w:pPr>
    <w:r>
      <w:rPr>
        <w:rFonts w:ascii="Arial" w:hAnsi="Arial" w:cs="Arial"/>
        <w:noProof/>
        <w:color w:val="0070C0"/>
        <w:sz w:val="20"/>
        <w:szCs w:val="20"/>
        <w:lang w:eastAsia="en-GB"/>
      </w:rPr>
      <w:drawing>
        <wp:anchor distT="0" distB="0" distL="114300" distR="114300" simplePos="0" relativeHeight="251656192" behindDoc="1" locked="0" layoutInCell="1" allowOverlap="1" wp14:anchorId="42CBA11A" wp14:editId="18F0371E">
          <wp:simplePos x="0" y="0"/>
          <wp:positionH relativeFrom="margin">
            <wp:posOffset>5356225</wp:posOffset>
          </wp:positionH>
          <wp:positionV relativeFrom="paragraph">
            <wp:posOffset>47625</wp:posOffset>
          </wp:positionV>
          <wp:extent cx="466725" cy="269875"/>
          <wp:effectExtent l="0" t="0" r="9525" b="0"/>
          <wp:wrapNone/>
          <wp:docPr id="19" name="Picture 19" descr="C:\Users\Sandie Brand\Documents\ARC4\Logos\Various File Formats\JPG\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JPG\Logo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1A89431E" w14:textId="527F371D" w:rsidR="0034357A" w:rsidRPr="0055018B" w:rsidRDefault="0034357A" w:rsidP="0055018B">
    <w:pPr>
      <w:pStyle w:val="Footer-Abra"/>
      <w:tabs>
        <w:tab w:val="clear" w:pos="8640"/>
        <w:tab w:val="right" w:pos="9356"/>
        <w:tab w:val="right" w:pos="14742"/>
      </w:tabs>
      <w:spacing w:before="0" w:after="0"/>
      <w:rPr>
        <w:rFonts w:ascii="Calibri" w:hAnsi="Calibri" w:cs="Calibri"/>
        <w:color w:val="009999"/>
        <w:sz w:val="18"/>
        <w:szCs w:val="20"/>
      </w:rPr>
    </w:pPr>
    <w:r>
      <w:rPr>
        <w:rFonts w:ascii="Calibri" w:hAnsi="Calibri" w:cs="Calibri"/>
        <w:color w:val="009999"/>
        <w:sz w:val="18"/>
        <w:szCs w:val="20"/>
      </w:rPr>
      <w:t>November 2018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758F5" w14:textId="77777777" w:rsidR="0034357A" w:rsidRDefault="0034357A" w:rsidP="009E1EC9">
    <w:pPr>
      <w:pStyle w:val="Footer"/>
      <w:tabs>
        <w:tab w:val="clear" w:pos="4153"/>
        <w:tab w:val="clear" w:pos="8306"/>
        <w:tab w:val="left" w:pos="1125"/>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2D848" w14:textId="77777777" w:rsidR="0034357A" w:rsidRPr="004B2321" w:rsidRDefault="0034357A" w:rsidP="00ED0E47">
    <w:pPr>
      <w:pStyle w:val="Footer-Abra"/>
      <w:pBdr>
        <w:top w:val="single" w:sz="18" w:space="1" w:color="0D5F5D"/>
      </w:pBdr>
      <w:tabs>
        <w:tab w:val="clear" w:pos="8640"/>
        <w:tab w:val="right" w:pos="9356"/>
        <w:tab w:val="right" w:pos="14742"/>
      </w:tabs>
      <w:spacing w:before="0" w:after="0"/>
      <w:rPr>
        <w:rFonts w:ascii="Calibri" w:hAnsi="Calibri" w:cs="Calibri"/>
        <w:color w:val="0070C0"/>
        <w:sz w:val="20"/>
        <w:szCs w:val="20"/>
      </w:rPr>
    </w:pPr>
    <w:r>
      <w:rPr>
        <w:rFonts w:ascii="Arial" w:hAnsi="Arial" w:cs="Arial"/>
        <w:noProof/>
        <w:color w:val="0070C0"/>
        <w:sz w:val="20"/>
        <w:szCs w:val="20"/>
        <w:lang w:eastAsia="en-GB"/>
      </w:rPr>
      <w:drawing>
        <wp:anchor distT="0" distB="0" distL="114300" distR="114300" simplePos="0" relativeHeight="251703296" behindDoc="1" locked="0" layoutInCell="1" allowOverlap="1" wp14:anchorId="03B2B458" wp14:editId="79BD3815">
          <wp:simplePos x="0" y="0"/>
          <wp:positionH relativeFrom="margin">
            <wp:posOffset>5356225</wp:posOffset>
          </wp:positionH>
          <wp:positionV relativeFrom="paragraph">
            <wp:posOffset>47625</wp:posOffset>
          </wp:positionV>
          <wp:extent cx="466725" cy="269875"/>
          <wp:effectExtent l="0" t="0" r="9525" b="0"/>
          <wp:wrapNone/>
          <wp:docPr id="7180" name="Picture 7180" descr="C:\Users\Sandie Brand\Documents\ARC4\Logos\Various File Formats\JPG\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JPG\Logo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117B051B" w14:textId="47CC9F4E" w:rsidR="0034357A" w:rsidRPr="00ED0E47" w:rsidRDefault="0034357A" w:rsidP="00ED0E47">
    <w:pPr>
      <w:pStyle w:val="Footer-Abra"/>
      <w:tabs>
        <w:tab w:val="clear" w:pos="8640"/>
        <w:tab w:val="right" w:pos="9356"/>
        <w:tab w:val="right" w:pos="14742"/>
      </w:tabs>
      <w:spacing w:before="0" w:after="0"/>
      <w:rPr>
        <w:rFonts w:ascii="Calibri" w:hAnsi="Calibri" w:cs="Calibri"/>
        <w:color w:val="009999"/>
        <w:sz w:val="18"/>
        <w:szCs w:val="20"/>
      </w:rPr>
    </w:pPr>
    <w:r>
      <w:rPr>
        <w:rFonts w:ascii="Calibri" w:hAnsi="Calibri" w:cs="Calibri"/>
        <w:color w:val="009999"/>
        <w:sz w:val="18"/>
        <w:szCs w:val="20"/>
      </w:rPr>
      <w:t>December 2018</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C3001E" w14:textId="77777777" w:rsidR="0034357A" w:rsidRPr="004B2321" w:rsidRDefault="0034357A" w:rsidP="0055018B">
    <w:pPr>
      <w:pStyle w:val="Footer-Abra"/>
      <w:pBdr>
        <w:top w:val="single" w:sz="18" w:space="1" w:color="0D5F5D"/>
      </w:pBdr>
      <w:tabs>
        <w:tab w:val="clear" w:pos="8640"/>
        <w:tab w:val="right" w:pos="9356"/>
        <w:tab w:val="right" w:pos="14742"/>
      </w:tabs>
      <w:spacing w:before="0" w:after="0"/>
      <w:rPr>
        <w:rFonts w:ascii="Calibri" w:hAnsi="Calibri" w:cs="Calibri"/>
        <w:color w:val="0070C0"/>
        <w:sz w:val="20"/>
        <w:szCs w:val="20"/>
      </w:rPr>
    </w:pPr>
    <w:r>
      <w:rPr>
        <w:rFonts w:ascii="Arial" w:hAnsi="Arial" w:cs="Arial"/>
        <w:noProof/>
        <w:color w:val="0070C0"/>
        <w:sz w:val="20"/>
        <w:szCs w:val="20"/>
        <w:lang w:eastAsia="en-GB"/>
      </w:rPr>
      <w:drawing>
        <wp:anchor distT="0" distB="0" distL="114300" distR="114300" simplePos="0" relativeHeight="251797504" behindDoc="1" locked="0" layoutInCell="1" allowOverlap="1" wp14:anchorId="30BD5883" wp14:editId="646AFC39">
          <wp:simplePos x="0" y="0"/>
          <wp:positionH relativeFrom="margin">
            <wp:posOffset>8579485</wp:posOffset>
          </wp:positionH>
          <wp:positionV relativeFrom="paragraph">
            <wp:posOffset>47625</wp:posOffset>
          </wp:positionV>
          <wp:extent cx="466725" cy="269875"/>
          <wp:effectExtent l="0" t="0" r="9525" b="0"/>
          <wp:wrapNone/>
          <wp:docPr id="18" name="Picture 18" descr="C:\Users\Sandie Brand\Documents\ARC4\Logos\Various File Formats\JPG\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JPG\Logo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747DCEBD" w14:textId="7A646774" w:rsidR="0034357A" w:rsidRPr="0055018B" w:rsidRDefault="0034357A" w:rsidP="0055018B">
    <w:pPr>
      <w:pStyle w:val="Footer-Abra"/>
      <w:tabs>
        <w:tab w:val="clear" w:pos="8640"/>
        <w:tab w:val="right" w:pos="9356"/>
        <w:tab w:val="right" w:pos="14742"/>
      </w:tabs>
      <w:spacing w:before="0" w:after="0"/>
      <w:rPr>
        <w:rFonts w:ascii="Calibri" w:hAnsi="Calibri" w:cs="Calibri"/>
        <w:color w:val="009999"/>
        <w:sz w:val="18"/>
        <w:szCs w:val="20"/>
      </w:rPr>
    </w:pPr>
    <w:r>
      <w:rPr>
        <w:rFonts w:ascii="Calibri" w:hAnsi="Calibri" w:cs="Calibri"/>
        <w:color w:val="009999"/>
        <w:sz w:val="18"/>
        <w:szCs w:val="20"/>
      </w:rPr>
      <w:t>November 2018</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DC7592" w14:textId="77777777" w:rsidR="0034357A" w:rsidRPr="004B2321" w:rsidRDefault="0034357A" w:rsidP="0055018B">
    <w:pPr>
      <w:pStyle w:val="Footer-Abra"/>
      <w:pBdr>
        <w:top w:val="single" w:sz="18" w:space="1" w:color="0D5F5D"/>
      </w:pBdr>
      <w:tabs>
        <w:tab w:val="clear" w:pos="8640"/>
        <w:tab w:val="right" w:pos="9356"/>
        <w:tab w:val="right" w:pos="14742"/>
      </w:tabs>
      <w:spacing w:before="0" w:after="0"/>
      <w:rPr>
        <w:rFonts w:ascii="Calibri" w:hAnsi="Calibri" w:cs="Calibri"/>
        <w:color w:val="0070C0"/>
        <w:sz w:val="20"/>
        <w:szCs w:val="20"/>
      </w:rPr>
    </w:pPr>
    <w:r>
      <w:rPr>
        <w:rFonts w:ascii="Arial" w:hAnsi="Arial" w:cs="Arial"/>
        <w:noProof/>
        <w:color w:val="0070C0"/>
        <w:sz w:val="20"/>
        <w:szCs w:val="20"/>
        <w:lang w:eastAsia="en-GB"/>
      </w:rPr>
      <w:drawing>
        <wp:anchor distT="0" distB="0" distL="114300" distR="114300" simplePos="0" relativeHeight="251652096" behindDoc="1" locked="0" layoutInCell="1" allowOverlap="1" wp14:anchorId="298B3ED2" wp14:editId="5DF5D401">
          <wp:simplePos x="0" y="0"/>
          <wp:positionH relativeFrom="margin">
            <wp:posOffset>5356225</wp:posOffset>
          </wp:positionH>
          <wp:positionV relativeFrom="paragraph">
            <wp:posOffset>47625</wp:posOffset>
          </wp:positionV>
          <wp:extent cx="466725" cy="269875"/>
          <wp:effectExtent l="0" t="0" r="9525" b="0"/>
          <wp:wrapNone/>
          <wp:docPr id="13" name="Picture 13" descr="C:\Users\Sandie Brand\Documents\ARC4\Logos\Various File Formats\JPG\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JPG\Logo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26AB998C" w14:textId="44B633F6" w:rsidR="0034357A" w:rsidRPr="0055018B" w:rsidRDefault="0034357A" w:rsidP="0055018B">
    <w:pPr>
      <w:pStyle w:val="Footer-Abra"/>
      <w:tabs>
        <w:tab w:val="clear" w:pos="8640"/>
        <w:tab w:val="right" w:pos="9356"/>
        <w:tab w:val="right" w:pos="14742"/>
      </w:tabs>
      <w:spacing w:before="0" w:after="0"/>
      <w:rPr>
        <w:rFonts w:ascii="Calibri" w:hAnsi="Calibri" w:cs="Calibri"/>
        <w:color w:val="009999"/>
        <w:sz w:val="18"/>
        <w:szCs w:val="20"/>
      </w:rPr>
    </w:pPr>
    <w:r>
      <w:rPr>
        <w:rFonts w:ascii="Calibri" w:hAnsi="Calibri" w:cs="Calibri"/>
        <w:color w:val="009999"/>
        <w:sz w:val="18"/>
        <w:szCs w:val="20"/>
      </w:rPr>
      <w:t>December 2018</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D0BED" w14:textId="77777777" w:rsidR="0034357A" w:rsidRPr="004B2321" w:rsidRDefault="0034357A" w:rsidP="0055018B">
    <w:pPr>
      <w:pStyle w:val="Footer-Abra"/>
      <w:pBdr>
        <w:top w:val="single" w:sz="18" w:space="1" w:color="0D5F5D"/>
      </w:pBdr>
      <w:tabs>
        <w:tab w:val="clear" w:pos="8640"/>
        <w:tab w:val="right" w:pos="9356"/>
        <w:tab w:val="right" w:pos="14742"/>
      </w:tabs>
      <w:spacing w:before="0" w:after="0"/>
      <w:rPr>
        <w:rFonts w:ascii="Calibri" w:hAnsi="Calibri" w:cs="Calibri"/>
        <w:color w:val="0070C0"/>
        <w:sz w:val="20"/>
        <w:szCs w:val="20"/>
      </w:rPr>
    </w:pPr>
    <w:r>
      <w:rPr>
        <w:rFonts w:ascii="Arial" w:hAnsi="Arial" w:cs="Arial"/>
        <w:noProof/>
        <w:color w:val="0070C0"/>
        <w:sz w:val="20"/>
        <w:szCs w:val="20"/>
        <w:lang w:eastAsia="en-GB"/>
      </w:rPr>
      <w:drawing>
        <wp:anchor distT="0" distB="0" distL="114300" distR="114300" simplePos="0" relativeHeight="251807744" behindDoc="1" locked="0" layoutInCell="1" allowOverlap="1" wp14:anchorId="11472A67" wp14:editId="5F0D7CDC">
          <wp:simplePos x="0" y="0"/>
          <wp:positionH relativeFrom="margin">
            <wp:align>right</wp:align>
          </wp:positionH>
          <wp:positionV relativeFrom="paragraph">
            <wp:posOffset>47625</wp:posOffset>
          </wp:positionV>
          <wp:extent cx="466725" cy="269875"/>
          <wp:effectExtent l="0" t="0" r="9525" b="0"/>
          <wp:wrapNone/>
          <wp:docPr id="16" name="Picture 16" descr="C:\Users\Sandie Brand\Documents\ARC4\Logos\Various File Formats\JPG\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JPG\Logo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0B8F3DEB" w14:textId="77777777" w:rsidR="0034357A" w:rsidRPr="0055018B" w:rsidRDefault="0034357A" w:rsidP="0055018B">
    <w:pPr>
      <w:pStyle w:val="Footer-Abra"/>
      <w:tabs>
        <w:tab w:val="clear" w:pos="8640"/>
        <w:tab w:val="right" w:pos="9356"/>
        <w:tab w:val="right" w:pos="14742"/>
      </w:tabs>
      <w:spacing w:before="0" w:after="0"/>
      <w:rPr>
        <w:rFonts w:ascii="Calibri" w:hAnsi="Calibri" w:cs="Calibri"/>
        <w:color w:val="009999"/>
        <w:sz w:val="18"/>
        <w:szCs w:val="20"/>
      </w:rPr>
    </w:pPr>
    <w:r>
      <w:rPr>
        <w:rFonts w:ascii="Calibri" w:hAnsi="Calibri" w:cs="Calibri"/>
        <w:color w:val="009999"/>
        <w:sz w:val="18"/>
        <w:szCs w:val="20"/>
      </w:rPr>
      <w:t>December 2018</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FB44A3" w14:textId="77777777" w:rsidR="0034357A" w:rsidRPr="004B2321" w:rsidRDefault="0034357A" w:rsidP="0055018B">
    <w:pPr>
      <w:pStyle w:val="Footer-Abra"/>
      <w:pBdr>
        <w:top w:val="single" w:sz="18" w:space="1" w:color="0D5F5D"/>
      </w:pBdr>
      <w:tabs>
        <w:tab w:val="clear" w:pos="8640"/>
        <w:tab w:val="right" w:pos="9356"/>
        <w:tab w:val="right" w:pos="14742"/>
      </w:tabs>
      <w:spacing w:before="0" w:after="0"/>
      <w:rPr>
        <w:rFonts w:ascii="Calibri" w:hAnsi="Calibri" w:cs="Calibri"/>
        <w:color w:val="0070C0"/>
        <w:sz w:val="20"/>
        <w:szCs w:val="20"/>
      </w:rPr>
    </w:pPr>
    <w:r>
      <w:rPr>
        <w:rFonts w:ascii="Arial" w:hAnsi="Arial" w:cs="Arial"/>
        <w:noProof/>
        <w:color w:val="0070C0"/>
        <w:sz w:val="20"/>
        <w:szCs w:val="20"/>
        <w:lang w:eastAsia="en-GB"/>
      </w:rPr>
      <w:drawing>
        <wp:anchor distT="0" distB="0" distL="114300" distR="114300" simplePos="0" relativeHeight="251805696" behindDoc="1" locked="0" layoutInCell="1" allowOverlap="1" wp14:anchorId="07EA286F" wp14:editId="3D1DE2F8">
          <wp:simplePos x="0" y="0"/>
          <wp:positionH relativeFrom="margin">
            <wp:posOffset>5356225</wp:posOffset>
          </wp:positionH>
          <wp:positionV relativeFrom="paragraph">
            <wp:posOffset>47625</wp:posOffset>
          </wp:positionV>
          <wp:extent cx="466725" cy="269875"/>
          <wp:effectExtent l="0" t="0" r="9525" b="0"/>
          <wp:wrapNone/>
          <wp:docPr id="6" name="Picture 6" descr="C:\Users\Sandie Brand\Documents\ARC4\Logos\Various File Formats\JPG\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JPG\Logo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378517AD" w14:textId="77777777" w:rsidR="0034357A" w:rsidRPr="0055018B" w:rsidRDefault="0034357A" w:rsidP="0055018B">
    <w:pPr>
      <w:pStyle w:val="Footer-Abra"/>
      <w:tabs>
        <w:tab w:val="clear" w:pos="8640"/>
        <w:tab w:val="right" w:pos="9356"/>
        <w:tab w:val="right" w:pos="14742"/>
      </w:tabs>
      <w:spacing w:before="0" w:after="0"/>
      <w:rPr>
        <w:rFonts w:ascii="Calibri" w:hAnsi="Calibri" w:cs="Calibri"/>
        <w:color w:val="009999"/>
        <w:sz w:val="18"/>
        <w:szCs w:val="20"/>
      </w:rPr>
    </w:pPr>
    <w:r>
      <w:rPr>
        <w:rFonts w:ascii="Calibri" w:hAnsi="Calibri" w:cs="Calibri"/>
        <w:color w:val="009999"/>
        <w:sz w:val="18"/>
        <w:szCs w:val="20"/>
      </w:rPr>
      <w:t>December 2018</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834D3" w14:textId="77777777" w:rsidR="0034357A" w:rsidRPr="004B2321" w:rsidRDefault="0034357A" w:rsidP="0055018B">
    <w:pPr>
      <w:pStyle w:val="Footer-Abra"/>
      <w:pBdr>
        <w:top w:val="single" w:sz="18" w:space="1" w:color="0D5F5D"/>
      </w:pBdr>
      <w:tabs>
        <w:tab w:val="clear" w:pos="8640"/>
        <w:tab w:val="right" w:pos="9356"/>
        <w:tab w:val="right" w:pos="14742"/>
      </w:tabs>
      <w:spacing w:before="0" w:after="0"/>
      <w:rPr>
        <w:rFonts w:ascii="Calibri" w:hAnsi="Calibri" w:cs="Calibri"/>
        <w:color w:val="0070C0"/>
        <w:sz w:val="20"/>
        <w:szCs w:val="20"/>
      </w:rPr>
    </w:pPr>
    <w:r>
      <w:rPr>
        <w:rFonts w:ascii="Arial" w:hAnsi="Arial" w:cs="Arial"/>
        <w:noProof/>
        <w:color w:val="0070C0"/>
        <w:sz w:val="20"/>
        <w:szCs w:val="20"/>
        <w:lang w:eastAsia="en-GB"/>
      </w:rPr>
      <w:drawing>
        <wp:anchor distT="0" distB="0" distL="114300" distR="114300" simplePos="0" relativeHeight="251803648" behindDoc="1" locked="0" layoutInCell="1" allowOverlap="1" wp14:anchorId="7D088721" wp14:editId="4B34F53F">
          <wp:simplePos x="0" y="0"/>
          <wp:positionH relativeFrom="margin">
            <wp:posOffset>5356225</wp:posOffset>
          </wp:positionH>
          <wp:positionV relativeFrom="paragraph">
            <wp:posOffset>47625</wp:posOffset>
          </wp:positionV>
          <wp:extent cx="466725" cy="269875"/>
          <wp:effectExtent l="0" t="0" r="9525" b="0"/>
          <wp:wrapNone/>
          <wp:docPr id="3" name="Picture 3" descr="C:\Users\Sandie Brand\Documents\ARC4\Logos\Various File Formats\JPG\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JPG\Logo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13DF6A95" w14:textId="77777777" w:rsidR="0034357A" w:rsidRPr="0055018B" w:rsidRDefault="0034357A" w:rsidP="0055018B">
    <w:pPr>
      <w:pStyle w:val="Footer-Abra"/>
      <w:tabs>
        <w:tab w:val="clear" w:pos="8640"/>
        <w:tab w:val="right" w:pos="9356"/>
        <w:tab w:val="right" w:pos="14742"/>
      </w:tabs>
      <w:spacing w:before="0" w:after="0"/>
      <w:rPr>
        <w:rFonts w:ascii="Calibri" w:hAnsi="Calibri" w:cs="Calibri"/>
        <w:color w:val="009999"/>
        <w:sz w:val="18"/>
        <w:szCs w:val="20"/>
      </w:rPr>
    </w:pPr>
    <w:r>
      <w:rPr>
        <w:rFonts w:ascii="Calibri" w:hAnsi="Calibri" w:cs="Calibri"/>
        <w:color w:val="009999"/>
        <w:sz w:val="18"/>
        <w:szCs w:val="20"/>
      </w:rPr>
      <w:t>December 2018</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6706E2" w14:textId="77777777" w:rsidR="0034357A" w:rsidRPr="004B2321" w:rsidRDefault="0034357A" w:rsidP="0055018B">
    <w:pPr>
      <w:pStyle w:val="Footer-Abra"/>
      <w:pBdr>
        <w:top w:val="single" w:sz="18" w:space="1" w:color="0D5F5D"/>
      </w:pBdr>
      <w:tabs>
        <w:tab w:val="clear" w:pos="8640"/>
        <w:tab w:val="right" w:pos="9356"/>
        <w:tab w:val="right" w:pos="14742"/>
      </w:tabs>
      <w:spacing w:before="0" w:after="0"/>
      <w:rPr>
        <w:rFonts w:ascii="Calibri" w:hAnsi="Calibri" w:cs="Calibri"/>
        <w:color w:val="0070C0"/>
        <w:sz w:val="20"/>
        <w:szCs w:val="20"/>
      </w:rPr>
    </w:pPr>
    <w:r>
      <w:rPr>
        <w:rFonts w:ascii="Arial" w:hAnsi="Arial" w:cs="Arial"/>
        <w:noProof/>
        <w:color w:val="0070C0"/>
        <w:sz w:val="20"/>
        <w:szCs w:val="20"/>
        <w:lang w:eastAsia="en-GB"/>
      </w:rPr>
      <w:drawing>
        <wp:anchor distT="0" distB="0" distL="114300" distR="114300" simplePos="0" relativeHeight="251650048" behindDoc="1" locked="0" layoutInCell="1" allowOverlap="1" wp14:anchorId="16E0253B" wp14:editId="2E1C9C8D">
          <wp:simplePos x="0" y="0"/>
          <wp:positionH relativeFrom="margin">
            <wp:posOffset>8396605</wp:posOffset>
          </wp:positionH>
          <wp:positionV relativeFrom="paragraph">
            <wp:posOffset>47625</wp:posOffset>
          </wp:positionV>
          <wp:extent cx="466725" cy="269875"/>
          <wp:effectExtent l="0" t="0" r="9525" b="0"/>
          <wp:wrapNone/>
          <wp:docPr id="10" name="Picture 10" descr="C:\Users\Sandie Brand\Documents\ARC4\Logos\Various File Formats\JPG\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JPG\Logo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4665DA2D" w14:textId="3B162B38" w:rsidR="0034357A" w:rsidRPr="0055018B" w:rsidRDefault="0034357A" w:rsidP="0055018B">
    <w:pPr>
      <w:pStyle w:val="Footer-Abra"/>
      <w:tabs>
        <w:tab w:val="clear" w:pos="8640"/>
        <w:tab w:val="right" w:pos="9356"/>
        <w:tab w:val="right" w:pos="14742"/>
      </w:tabs>
      <w:spacing w:before="0" w:after="0"/>
      <w:rPr>
        <w:rFonts w:ascii="Calibri" w:hAnsi="Calibri" w:cs="Calibri"/>
        <w:color w:val="009999"/>
        <w:sz w:val="18"/>
        <w:szCs w:val="20"/>
      </w:rPr>
    </w:pPr>
    <w:r>
      <w:rPr>
        <w:rFonts w:ascii="Calibri" w:hAnsi="Calibri" w:cs="Calibri"/>
        <w:color w:val="009999"/>
        <w:sz w:val="18"/>
        <w:szCs w:val="20"/>
      </w:rPr>
      <w:t>December 2018</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87889" w14:textId="77777777" w:rsidR="0034357A" w:rsidRPr="004B2321" w:rsidRDefault="0034357A" w:rsidP="0055018B">
    <w:pPr>
      <w:pStyle w:val="Footer-Abra"/>
      <w:pBdr>
        <w:top w:val="single" w:sz="18" w:space="1" w:color="0D5F5D"/>
      </w:pBdr>
      <w:tabs>
        <w:tab w:val="clear" w:pos="8640"/>
        <w:tab w:val="right" w:pos="9356"/>
        <w:tab w:val="right" w:pos="14742"/>
      </w:tabs>
      <w:spacing w:before="0" w:after="0"/>
      <w:rPr>
        <w:rFonts w:ascii="Calibri" w:hAnsi="Calibri" w:cs="Calibri"/>
        <w:color w:val="0070C0"/>
        <w:sz w:val="20"/>
        <w:szCs w:val="20"/>
      </w:rPr>
    </w:pPr>
    <w:r>
      <w:rPr>
        <w:rFonts w:ascii="Arial" w:hAnsi="Arial" w:cs="Arial"/>
        <w:noProof/>
        <w:color w:val="0070C0"/>
        <w:sz w:val="20"/>
        <w:szCs w:val="20"/>
        <w:lang w:eastAsia="en-GB"/>
      </w:rPr>
      <w:drawing>
        <wp:anchor distT="0" distB="0" distL="114300" distR="114300" simplePos="0" relativeHeight="251633664" behindDoc="1" locked="0" layoutInCell="1" allowOverlap="1" wp14:anchorId="775B61DA" wp14:editId="617997D1">
          <wp:simplePos x="0" y="0"/>
          <wp:positionH relativeFrom="margin">
            <wp:posOffset>5424805</wp:posOffset>
          </wp:positionH>
          <wp:positionV relativeFrom="paragraph">
            <wp:posOffset>47625</wp:posOffset>
          </wp:positionV>
          <wp:extent cx="466725" cy="269875"/>
          <wp:effectExtent l="0" t="0" r="9525" b="0"/>
          <wp:wrapNone/>
          <wp:docPr id="9" name="Picture 9" descr="C:\Users\Sandie Brand\Documents\ARC4\Logos\Various File Formats\JPG\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JPG\Logo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0D9CD18F" w14:textId="3287C63A" w:rsidR="0034357A" w:rsidRPr="0055018B" w:rsidRDefault="0034357A" w:rsidP="0055018B">
    <w:pPr>
      <w:pStyle w:val="Footer-Abra"/>
      <w:tabs>
        <w:tab w:val="clear" w:pos="8640"/>
        <w:tab w:val="right" w:pos="9356"/>
        <w:tab w:val="right" w:pos="14742"/>
      </w:tabs>
      <w:spacing w:before="0" w:after="0"/>
      <w:rPr>
        <w:rFonts w:ascii="Calibri" w:hAnsi="Calibri" w:cs="Calibri"/>
        <w:color w:val="009999"/>
        <w:sz w:val="18"/>
        <w:szCs w:val="20"/>
      </w:rPr>
    </w:pPr>
    <w:r>
      <w:rPr>
        <w:rFonts w:ascii="Calibri" w:hAnsi="Calibri" w:cs="Calibri"/>
        <w:color w:val="009999"/>
        <w:sz w:val="18"/>
        <w:szCs w:val="20"/>
      </w:rPr>
      <w:t>December 2018</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213B97" w14:textId="56720F6D" w:rsidR="0034357A" w:rsidRPr="004B2321" w:rsidRDefault="0034357A" w:rsidP="0055018B">
    <w:pPr>
      <w:pStyle w:val="Footer-Abra"/>
      <w:pBdr>
        <w:top w:val="single" w:sz="18" w:space="1" w:color="0D5F5D"/>
      </w:pBdr>
      <w:tabs>
        <w:tab w:val="clear" w:pos="8640"/>
        <w:tab w:val="right" w:pos="9356"/>
        <w:tab w:val="right" w:pos="14742"/>
      </w:tabs>
      <w:spacing w:before="0" w:after="0"/>
      <w:rPr>
        <w:rFonts w:ascii="Calibri" w:hAnsi="Calibri" w:cs="Calibri"/>
        <w:color w:val="0070C0"/>
        <w:sz w:val="20"/>
        <w:szCs w:val="20"/>
      </w:rPr>
    </w:pPr>
    <w:r>
      <w:rPr>
        <w:rFonts w:ascii="Arial" w:hAnsi="Arial" w:cs="Arial"/>
        <w:noProof/>
        <w:color w:val="0070C0"/>
        <w:sz w:val="20"/>
        <w:szCs w:val="20"/>
        <w:lang w:eastAsia="en-GB"/>
      </w:rPr>
      <w:drawing>
        <wp:anchor distT="0" distB="0" distL="114300" distR="114300" simplePos="0" relativeHeight="251630592" behindDoc="1" locked="0" layoutInCell="1" allowOverlap="1" wp14:anchorId="79B881C8" wp14:editId="4E428DC9">
          <wp:simplePos x="0" y="0"/>
          <wp:positionH relativeFrom="margin">
            <wp:posOffset>8396605</wp:posOffset>
          </wp:positionH>
          <wp:positionV relativeFrom="paragraph">
            <wp:posOffset>40005</wp:posOffset>
          </wp:positionV>
          <wp:extent cx="466725" cy="269875"/>
          <wp:effectExtent l="0" t="0" r="9525" b="0"/>
          <wp:wrapNone/>
          <wp:docPr id="7" name="Picture 7" descr="C:\Users\Sandie Brand\Documents\ARC4\Logos\Various File Formats\JPG\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JPG\Logo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639FED38" w14:textId="68EC09E7" w:rsidR="0034357A" w:rsidRPr="0055018B" w:rsidRDefault="0034357A" w:rsidP="0055018B">
    <w:pPr>
      <w:pStyle w:val="Footer-Abra"/>
      <w:tabs>
        <w:tab w:val="clear" w:pos="8640"/>
        <w:tab w:val="right" w:pos="9356"/>
        <w:tab w:val="right" w:pos="14742"/>
      </w:tabs>
      <w:spacing w:before="0" w:after="0"/>
      <w:rPr>
        <w:rFonts w:ascii="Calibri" w:hAnsi="Calibri" w:cs="Calibri"/>
        <w:color w:val="009999"/>
        <w:sz w:val="18"/>
        <w:szCs w:val="20"/>
      </w:rPr>
    </w:pPr>
    <w:r>
      <w:rPr>
        <w:rFonts w:ascii="Calibri" w:hAnsi="Calibri" w:cs="Calibri"/>
        <w:color w:val="009999"/>
        <w:sz w:val="18"/>
        <w:szCs w:val="20"/>
      </w:rPr>
      <w:t>December 2018</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29F75" w14:textId="1CD88077" w:rsidR="0034357A" w:rsidRPr="004B2321" w:rsidRDefault="0034357A" w:rsidP="004B1CF8">
    <w:pPr>
      <w:pStyle w:val="Footer-Abra"/>
      <w:pBdr>
        <w:top w:val="single" w:sz="18" w:space="1" w:color="0D5F5D"/>
      </w:pBdr>
      <w:tabs>
        <w:tab w:val="clear" w:pos="8640"/>
        <w:tab w:val="right" w:pos="9356"/>
        <w:tab w:val="right" w:pos="14742"/>
      </w:tabs>
      <w:spacing w:before="0" w:after="0"/>
      <w:rPr>
        <w:rFonts w:ascii="Calibri" w:hAnsi="Calibri" w:cs="Calibri"/>
        <w:color w:val="0070C0"/>
        <w:sz w:val="20"/>
        <w:szCs w:val="20"/>
      </w:rPr>
    </w:pPr>
    <w:r>
      <w:rPr>
        <w:rFonts w:ascii="Arial" w:hAnsi="Arial" w:cs="Arial"/>
        <w:noProof/>
        <w:color w:val="0070C0"/>
        <w:sz w:val="20"/>
        <w:szCs w:val="20"/>
        <w:lang w:eastAsia="en-GB"/>
      </w:rPr>
      <w:drawing>
        <wp:anchor distT="0" distB="0" distL="114300" distR="114300" simplePos="0" relativeHeight="251644928" behindDoc="1" locked="0" layoutInCell="1" allowOverlap="1" wp14:anchorId="39DA92CE" wp14:editId="26FB464F">
          <wp:simplePos x="0" y="0"/>
          <wp:positionH relativeFrom="margin">
            <wp:posOffset>5356225</wp:posOffset>
          </wp:positionH>
          <wp:positionV relativeFrom="paragraph">
            <wp:posOffset>47625</wp:posOffset>
          </wp:positionV>
          <wp:extent cx="466725" cy="269875"/>
          <wp:effectExtent l="0" t="0" r="9525" b="0"/>
          <wp:wrapNone/>
          <wp:docPr id="29" name="Picture 29" descr="C:\Users\Sandie Brand\Documents\ARC4\Logos\Various File Formats\JPG\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JPG\Logo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671C1C80" w14:textId="52153295" w:rsidR="0034357A" w:rsidRPr="004B2321" w:rsidRDefault="0034357A" w:rsidP="004B1CF8">
    <w:pPr>
      <w:pStyle w:val="Footer-Abra"/>
      <w:tabs>
        <w:tab w:val="clear" w:pos="8640"/>
        <w:tab w:val="right" w:pos="9356"/>
        <w:tab w:val="right" w:pos="14742"/>
      </w:tabs>
      <w:spacing w:before="0" w:after="0"/>
      <w:rPr>
        <w:rFonts w:ascii="Calibri" w:hAnsi="Calibri" w:cs="Calibri"/>
        <w:color w:val="009999"/>
        <w:sz w:val="18"/>
        <w:szCs w:val="20"/>
      </w:rPr>
    </w:pPr>
    <w:r>
      <w:rPr>
        <w:rFonts w:ascii="Calibri" w:hAnsi="Calibri" w:cs="Calibri"/>
        <w:color w:val="009999"/>
        <w:sz w:val="18"/>
        <w:szCs w:val="20"/>
      </w:rPr>
      <w:t>December 2018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B307DE" w14:textId="77777777" w:rsidR="0034357A" w:rsidRDefault="0034357A" w:rsidP="009E1EC9">
    <w:pPr>
      <w:pStyle w:val="Footer"/>
      <w:tabs>
        <w:tab w:val="clear" w:pos="4153"/>
        <w:tab w:val="clear" w:pos="8306"/>
        <w:tab w:val="left" w:pos="1125"/>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60626C" w14:textId="77777777" w:rsidR="0034357A" w:rsidRPr="004B2321" w:rsidRDefault="0034357A" w:rsidP="00ED0E47">
    <w:pPr>
      <w:pStyle w:val="Footer-Abra"/>
      <w:pBdr>
        <w:top w:val="single" w:sz="18" w:space="1" w:color="0D5F5D"/>
      </w:pBdr>
      <w:tabs>
        <w:tab w:val="clear" w:pos="8640"/>
        <w:tab w:val="right" w:pos="9356"/>
        <w:tab w:val="right" w:pos="14742"/>
      </w:tabs>
      <w:spacing w:before="0" w:after="0"/>
      <w:rPr>
        <w:rFonts w:ascii="Calibri" w:hAnsi="Calibri" w:cs="Calibri"/>
        <w:color w:val="0070C0"/>
        <w:sz w:val="20"/>
        <w:szCs w:val="20"/>
      </w:rPr>
    </w:pPr>
    <w:r>
      <w:rPr>
        <w:rFonts w:ascii="Arial" w:hAnsi="Arial" w:cs="Arial"/>
        <w:noProof/>
        <w:color w:val="0070C0"/>
        <w:sz w:val="20"/>
        <w:szCs w:val="20"/>
        <w:lang w:eastAsia="en-GB"/>
      </w:rPr>
      <w:drawing>
        <wp:anchor distT="0" distB="0" distL="114300" distR="114300" simplePos="0" relativeHeight="251700224" behindDoc="1" locked="0" layoutInCell="1" allowOverlap="1" wp14:anchorId="5CCCEA0A" wp14:editId="7BEC1394">
          <wp:simplePos x="0" y="0"/>
          <wp:positionH relativeFrom="margin">
            <wp:posOffset>8488045</wp:posOffset>
          </wp:positionH>
          <wp:positionV relativeFrom="paragraph">
            <wp:posOffset>40005</wp:posOffset>
          </wp:positionV>
          <wp:extent cx="466725" cy="269875"/>
          <wp:effectExtent l="0" t="0" r="9525" b="0"/>
          <wp:wrapNone/>
          <wp:docPr id="7179" name="Picture 7179" descr="C:\Users\Sandie Brand\Documents\ARC4\Logos\Various File Formats\JPG\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JPG\Logo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593B59A1" w14:textId="2E379D69" w:rsidR="0034357A" w:rsidRPr="00ED0E47" w:rsidRDefault="0034357A" w:rsidP="00ED0E47">
    <w:pPr>
      <w:pStyle w:val="Footer-Abra"/>
      <w:tabs>
        <w:tab w:val="clear" w:pos="8640"/>
        <w:tab w:val="right" w:pos="9356"/>
        <w:tab w:val="right" w:pos="14742"/>
      </w:tabs>
      <w:spacing w:before="0" w:after="0"/>
      <w:rPr>
        <w:rFonts w:ascii="Calibri" w:hAnsi="Calibri" w:cs="Calibri"/>
        <w:color w:val="009999"/>
        <w:sz w:val="18"/>
        <w:szCs w:val="20"/>
      </w:rPr>
    </w:pPr>
    <w:r>
      <w:rPr>
        <w:rFonts w:ascii="Calibri" w:hAnsi="Calibri" w:cs="Calibri"/>
        <w:color w:val="009999"/>
        <w:sz w:val="18"/>
        <w:szCs w:val="20"/>
      </w:rPr>
      <w:t>December 2018</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olor w:val="auto"/>
        <w:sz w:val="20"/>
        <w:szCs w:val="20"/>
        <w:lang w:val="x-none"/>
      </w:rPr>
      <w:id w:val="1817988418"/>
      <w:docPartObj>
        <w:docPartGallery w:val="Page Numbers (Bottom of Page)"/>
        <w:docPartUnique/>
      </w:docPartObj>
    </w:sdtPr>
    <w:sdtEndPr>
      <w:rPr>
        <w:rFonts w:ascii="Calibri" w:hAnsi="Calibri"/>
        <w:color w:val="008080"/>
        <w:lang w:val="en-GB"/>
      </w:rPr>
    </w:sdtEndPr>
    <w:sdtContent>
      <w:sdt>
        <w:sdtPr>
          <w:rPr>
            <w:rFonts w:ascii="Arial" w:hAnsi="Arial"/>
            <w:color w:val="auto"/>
            <w:sz w:val="20"/>
            <w:szCs w:val="20"/>
            <w:lang w:val="x-none"/>
          </w:rPr>
          <w:id w:val="1053900175"/>
          <w:docPartObj>
            <w:docPartGallery w:val="Page Numbers (Bottom of Page)"/>
            <w:docPartUnique/>
          </w:docPartObj>
        </w:sdtPr>
        <w:sdtEndPr>
          <w:rPr>
            <w:rFonts w:ascii="Calibri" w:hAnsi="Calibri"/>
            <w:color w:val="008080"/>
            <w:lang w:val="en-GB"/>
          </w:rPr>
        </w:sdtEndPr>
        <w:sdtContent>
          <w:p w14:paraId="3CDDD095" w14:textId="77777777" w:rsidR="0034357A" w:rsidRPr="00495843" w:rsidRDefault="0034357A" w:rsidP="002B41F6">
            <w:pPr>
              <w:pStyle w:val="Footer-Abra"/>
              <w:pBdr>
                <w:top w:val="single" w:sz="4" w:space="1" w:color="008080"/>
              </w:pBdr>
              <w:tabs>
                <w:tab w:val="clear" w:pos="8640"/>
                <w:tab w:val="right" w:pos="14034"/>
              </w:tabs>
              <w:rPr>
                <w:rFonts w:ascii="Arial" w:hAnsi="Arial" w:cs="Arial"/>
                <w:szCs w:val="24"/>
              </w:rPr>
            </w:pPr>
            <w:r w:rsidRPr="00495843">
              <w:rPr>
                <w:rFonts w:ascii="Arial" w:hAnsi="Arial" w:cs="Arial"/>
                <w:szCs w:val="24"/>
              </w:rPr>
              <w:t>arc</w:t>
            </w:r>
            <w:r w:rsidRPr="00495843">
              <w:rPr>
                <w:rFonts w:ascii="Arial" w:hAnsi="Arial" w:cs="Arial"/>
                <w:szCs w:val="24"/>
                <w:vertAlign w:val="superscript"/>
              </w:rPr>
              <w:t>4</w:t>
            </w:r>
            <w:r>
              <w:rPr>
                <w:rFonts w:ascii="Arial" w:hAnsi="Arial" w:cs="Arial"/>
                <w:noProof/>
                <w:szCs w:val="24"/>
                <w:lang w:eastAsia="en-GB"/>
              </w:rPr>
              <mc:AlternateContent>
                <mc:Choice Requires="wps">
                  <w:drawing>
                    <wp:anchor distT="0" distB="0" distL="114300" distR="114300" simplePos="0" relativeHeight="251546624" behindDoc="0" locked="0" layoutInCell="1" allowOverlap="1" wp14:anchorId="257DD1D0" wp14:editId="3EE4EB80">
                      <wp:simplePos x="0" y="0"/>
                      <wp:positionH relativeFrom="column">
                        <wp:posOffset>660400</wp:posOffset>
                      </wp:positionH>
                      <wp:positionV relativeFrom="paragraph">
                        <wp:posOffset>3716020</wp:posOffset>
                      </wp:positionV>
                      <wp:extent cx="1753870" cy="722630"/>
                      <wp:effectExtent l="0" t="0" r="24130" b="1397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870" cy="722630"/>
                              </a:xfrm>
                              <a:prstGeom prst="rect">
                                <a:avLst/>
                              </a:prstGeom>
                              <a:solidFill>
                                <a:srgbClr val="FFFFFF"/>
                              </a:solidFill>
                              <a:ln w="9525">
                                <a:solidFill>
                                  <a:srgbClr val="000000"/>
                                </a:solidFill>
                                <a:miter lim="800000"/>
                                <a:headEnd/>
                                <a:tailEnd/>
                              </a:ln>
                            </wps:spPr>
                            <wps:txbx>
                              <w:txbxContent>
                                <w:p w14:paraId="7F42D65F" w14:textId="77777777" w:rsidR="0034357A" w:rsidRDefault="0034357A" w:rsidP="002B41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257DD1D0" id="_x0000_t202" coordsize="21600,21600" o:spt="202" path="m,l,21600r21600,l21600,xe">
                      <v:stroke joinstyle="miter"/>
                      <v:path gradientshapeok="t" o:connecttype="rect"/>
                    </v:shapetype>
                    <v:shape id="Text Box 48" o:spid="_x0000_s1026" type="#_x0000_t202" style="position:absolute;left:0;text-align:left;margin-left:52pt;margin-top:292.6pt;width:138.1pt;height:56.9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0tjKwIAAFIEAAAOAAAAZHJzL2Uyb0RvYy54bWysVNtu2zAMfR+wfxD0vjhxkyY14hRdugwD&#10;ugvQ7gNkWbaFSaImKbGzrx8lp1nQbS/D/CBIInVInkN6fTtoRQ7CeQmmpLPJlBJhONTStCX9+rR7&#10;s6LEB2ZqpsCIkh6Fp7eb16/WvS1EDh2oWjiCIMYXvS1pF4ItsszzTmjmJ2CFQWMDTrOAR9dmtWM9&#10;omuV5dPpddaDq60DLrzH2/vRSDcJv2kED5+bxotAVEkxt5BWl9YqrtlmzYrWMdtJfkqD/UMWmkmD&#10;Qc9Q9ywwsnfyNygtuQMPTZhw0Bk0jeQi1YDVzKYvqnnsmBWpFiTH2zNN/v/B8k+HL47IuqRzVMow&#10;jRo9iSGQtzAQvEJ+eusLdHu06BgGvEedU63ePgD/5omBbcdMK+6cg74TrMb8ZvFldvF0xPERpOo/&#10;Qo1x2D5AAhoapyN5SAdBdNTpeNYm5sJjyOXiarVEE0fbMs+vr5J4GSueX1vnw3sBmsRNSR1qn9DZ&#10;4cGHmA0rnl1iMA9K1jupVDq4ttoqRw4M+2SXvlTACzdlSF/Sm0W+GAn4K8Q0fX+C0DJgwyupS7o6&#10;O7Ei0vbO1KkdA5Nq3GPKypx4jNSNJIahGk66VFAfkVEHY2PjIOKmA/eDkh6buqT++545QYn6YFCV&#10;m9l8HqcgHeaLZY4Hd2mpLi3McIQqaaBk3G7DODl762TbYaSxDwzcoZKNTCRHycesTnlj4ybuT0MW&#10;J+PynLx+/Qo2PwEAAP//AwBQSwMEFAAGAAgAAAAhAKopkMnlAAAAEAEAAA8AAABkcnMvZG93bnJl&#10;di54bWxMj01PwzAMhu9I/IfISFwQS9hHabumEwKB4AYDwTVrvLYiHyXJuvLvMSe4WH5l+/X7VJvJ&#10;GjZiiL13Eq5mAhi6xuvetRLeXu8vc2AxKaeV8Q4lfGOETX16UqlS+6N7wXGbWkYmLpZKQpfSUHIe&#10;mw6tijM/oKPZ3gerEsnQch3Ukcyt4XMhMm5V7+hDpwa87bD53B6shHz5OH7Ep8Xze5PtTZEurseH&#10;ryDl+dl0t6ZyswaWcEp/F/DLQPmhpmA7f3A6MkNaLAkoSVjlqzkw2ljkgpqdhKwoBPC64v9B6h8A&#10;AAD//wMAUEsBAi0AFAAGAAgAAAAhALaDOJL+AAAA4QEAABMAAAAAAAAAAAAAAAAAAAAAAFtDb250&#10;ZW50X1R5cGVzXS54bWxQSwECLQAUAAYACAAAACEAOP0h/9YAAACUAQAACwAAAAAAAAAAAAAAAAAv&#10;AQAAX3JlbHMvLnJlbHNQSwECLQAUAAYACAAAACEAVCdLYysCAABSBAAADgAAAAAAAAAAAAAAAAAu&#10;AgAAZHJzL2Uyb0RvYy54bWxQSwECLQAUAAYACAAAACEAqimQyeUAAAAQAQAADwAAAAAAAAAAAAAA&#10;AACFBAAAZHJzL2Rvd25yZXYueG1sUEsFBgAAAAAEAAQA8wAAAJcFAAAAAA==&#10;">
                      <v:textbox>
                        <w:txbxContent>
                          <w:p w14:paraId="7F42D65F" w14:textId="77777777" w:rsidR="0034357A" w:rsidRDefault="0034357A" w:rsidP="002B41F6"/>
                        </w:txbxContent>
                      </v:textbox>
                    </v:shape>
                  </w:pict>
                </mc:Fallback>
              </mc:AlternateContent>
            </w:r>
            <w:r w:rsidRPr="00495843">
              <w:rPr>
                <w:rFonts w:ascii="Arial" w:hAnsi="Arial" w:cs="Arial"/>
                <w:szCs w:val="24"/>
                <w:vertAlign w:val="superscript"/>
              </w:rPr>
              <w:tab/>
            </w:r>
            <w:r>
              <w:rPr>
                <w:rFonts w:ascii="Arial" w:hAnsi="Arial" w:cs="Arial"/>
                <w:szCs w:val="24"/>
                <w:vertAlign w:val="superscript"/>
              </w:rPr>
              <w:tab/>
            </w:r>
            <w:r w:rsidRPr="0061095C">
              <w:rPr>
                <w:rStyle w:val="PageNumber"/>
                <w:rFonts w:ascii="Arial" w:hAnsi="Arial" w:cs="Arial"/>
              </w:rPr>
              <w:fldChar w:fldCharType="begin"/>
            </w:r>
            <w:r w:rsidRPr="0061095C">
              <w:rPr>
                <w:rStyle w:val="PageNumber"/>
                <w:rFonts w:ascii="Arial" w:hAnsi="Arial" w:cs="Arial"/>
              </w:rPr>
              <w:instrText xml:space="preserve"> PAGE </w:instrText>
            </w:r>
            <w:r w:rsidRPr="0061095C">
              <w:rPr>
                <w:rStyle w:val="PageNumber"/>
                <w:rFonts w:ascii="Arial" w:hAnsi="Arial" w:cs="Arial"/>
              </w:rPr>
              <w:fldChar w:fldCharType="separate"/>
            </w:r>
            <w:r>
              <w:rPr>
                <w:rStyle w:val="PageNumber"/>
                <w:rFonts w:ascii="Arial" w:hAnsi="Arial" w:cs="Arial"/>
                <w:noProof/>
              </w:rPr>
              <w:t>41</w:t>
            </w:r>
            <w:r w:rsidRPr="0061095C">
              <w:rPr>
                <w:rStyle w:val="PageNumber"/>
                <w:rFonts w:ascii="Arial" w:hAnsi="Arial" w:cs="Arial"/>
              </w:rPr>
              <w:fldChar w:fldCharType="end"/>
            </w:r>
          </w:p>
          <w:p w14:paraId="2497C4DD" w14:textId="77777777" w:rsidR="0034357A" w:rsidRPr="00CF4DE7" w:rsidRDefault="0034357A" w:rsidP="002B41F6">
            <w:pPr>
              <w:pStyle w:val="Footer"/>
              <w:rPr>
                <w:color w:val="008080"/>
                <w:sz w:val="20"/>
                <w:szCs w:val="20"/>
              </w:rPr>
            </w:pPr>
            <w:r w:rsidRPr="00CF4DE7">
              <w:rPr>
                <w:rFonts w:cs="Arial"/>
                <w:color w:val="008080"/>
                <w:sz w:val="20"/>
                <w:szCs w:val="20"/>
              </w:rPr>
              <w:t xml:space="preserve">Barnsley </w:t>
            </w:r>
            <w:r>
              <w:rPr>
                <w:rFonts w:cs="Arial"/>
                <w:color w:val="008080"/>
                <w:sz w:val="20"/>
                <w:szCs w:val="20"/>
              </w:rPr>
              <w:t>District</w:t>
            </w:r>
            <w:r w:rsidRPr="00CF4DE7">
              <w:rPr>
                <w:rFonts w:cs="Arial"/>
                <w:color w:val="008080"/>
                <w:sz w:val="20"/>
                <w:szCs w:val="20"/>
              </w:rPr>
              <w:t xml:space="preserve"> 2014 </w:t>
            </w:r>
            <w:r>
              <w:rPr>
                <w:rFonts w:cs="Arial"/>
                <w:color w:val="008080"/>
                <w:sz w:val="20"/>
                <w:szCs w:val="20"/>
              </w:rPr>
              <w:t>Objective Assessment of Housing Need</w:t>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AD72FC" w14:textId="77777777" w:rsidR="0034357A" w:rsidRPr="004B2321" w:rsidRDefault="0034357A" w:rsidP="0055018B">
    <w:pPr>
      <w:pStyle w:val="Footer-Abra"/>
      <w:pBdr>
        <w:top w:val="single" w:sz="18" w:space="1" w:color="0D5F5D"/>
      </w:pBdr>
      <w:tabs>
        <w:tab w:val="clear" w:pos="8640"/>
        <w:tab w:val="right" w:pos="9356"/>
        <w:tab w:val="right" w:pos="14742"/>
      </w:tabs>
      <w:spacing w:before="0" w:after="0"/>
      <w:rPr>
        <w:rFonts w:ascii="Calibri" w:hAnsi="Calibri" w:cs="Calibri"/>
        <w:color w:val="0070C0"/>
        <w:sz w:val="20"/>
        <w:szCs w:val="20"/>
      </w:rPr>
    </w:pPr>
    <w:r>
      <w:rPr>
        <w:rFonts w:ascii="Arial" w:hAnsi="Arial" w:cs="Arial"/>
        <w:noProof/>
        <w:color w:val="0070C0"/>
        <w:sz w:val="20"/>
        <w:szCs w:val="20"/>
        <w:lang w:eastAsia="en-GB"/>
      </w:rPr>
      <w:drawing>
        <wp:anchor distT="0" distB="0" distL="114300" distR="114300" simplePos="0" relativeHeight="251801600" behindDoc="1" locked="0" layoutInCell="1" allowOverlap="1" wp14:anchorId="63401688" wp14:editId="2CAD4802">
          <wp:simplePos x="0" y="0"/>
          <wp:positionH relativeFrom="margin">
            <wp:posOffset>5356225</wp:posOffset>
          </wp:positionH>
          <wp:positionV relativeFrom="paragraph">
            <wp:posOffset>47625</wp:posOffset>
          </wp:positionV>
          <wp:extent cx="466725" cy="269875"/>
          <wp:effectExtent l="0" t="0" r="9525" b="0"/>
          <wp:wrapNone/>
          <wp:docPr id="7178" name="Picture 7178" descr="C:\Users\Sandie Brand\Documents\ARC4\Logos\Various File Formats\JPG\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JPG\Logo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14E21909" w14:textId="335BAA9A" w:rsidR="0034357A" w:rsidRPr="0055018B" w:rsidRDefault="0034357A" w:rsidP="0055018B">
    <w:pPr>
      <w:pStyle w:val="Footer-Abra"/>
      <w:tabs>
        <w:tab w:val="clear" w:pos="8640"/>
        <w:tab w:val="right" w:pos="9356"/>
        <w:tab w:val="right" w:pos="14742"/>
      </w:tabs>
      <w:spacing w:before="0" w:after="0"/>
      <w:rPr>
        <w:rFonts w:ascii="Calibri" w:hAnsi="Calibri" w:cs="Calibri"/>
        <w:color w:val="009999"/>
        <w:sz w:val="18"/>
        <w:szCs w:val="20"/>
      </w:rPr>
    </w:pPr>
    <w:r>
      <w:rPr>
        <w:rFonts w:ascii="Calibri" w:hAnsi="Calibri" w:cs="Calibri"/>
        <w:color w:val="009999"/>
        <w:sz w:val="18"/>
        <w:szCs w:val="20"/>
      </w:rPr>
      <w:t>December 2018</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823E09" w14:textId="77777777" w:rsidR="0034357A" w:rsidRPr="004B2321" w:rsidRDefault="0034357A" w:rsidP="0055018B">
    <w:pPr>
      <w:pStyle w:val="Footer-Abra"/>
      <w:pBdr>
        <w:top w:val="single" w:sz="18" w:space="1" w:color="0D5F5D"/>
      </w:pBdr>
      <w:tabs>
        <w:tab w:val="clear" w:pos="8640"/>
        <w:tab w:val="right" w:pos="9356"/>
        <w:tab w:val="right" w:pos="14742"/>
      </w:tabs>
      <w:spacing w:before="0" w:after="0"/>
      <w:rPr>
        <w:rFonts w:ascii="Calibri" w:hAnsi="Calibri" w:cs="Calibri"/>
        <w:color w:val="0070C0"/>
        <w:sz w:val="20"/>
        <w:szCs w:val="20"/>
      </w:rPr>
    </w:pPr>
    <w:r>
      <w:rPr>
        <w:rFonts w:ascii="Arial" w:hAnsi="Arial" w:cs="Arial"/>
        <w:noProof/>
        <w:color w:val="0070C0"/>
        <w:sz w:val="20"/>
        <w:szCs w:val="20"/>
        <w:lang w:eastAsia="en-GB"/>
      </w:rPr>
      <w:drawing>
        <wp:anchor distT="0" distB="0" distL="114300" distR="114300" simplePos="0" relativeHeight="251813888" behindDoc="1" locked="0" layoutInCell="1" allowOverlap="1" wp14:anchorId="74A50A7D" wp14:editId="7A90633B">
          <wp:simplePos x="0" y="0"/>
          <wp:positionH relativeFrom="margin">
            <wp:posOffset>5356225</wp:posOffset>
          </wp:positionH>
          <wp:positionV relativeFrom="paragraph">
            <wp:posOffset>47625</wp:posOffset>
          </wp:positionV>
          <wp:extent cx="466725" cy="269875"/>
          <wp:effectExtent l="0" t="0" r="9525" b="0"/>
          <wp:wrapNone/>
          <wp:docPr id="31" name="Picture 31" descr="C:\Users\Sandie Brand\Documents\ARC4\Logos\Various File Formats\JPG\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JPG\Logo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4E92E697" w14:textId="570D4970" w:rsidR="0034357A" w:rsidRPr="0055018B" w:rsidRDefault="0034357A" w:rsidP="0055018B">
    <w:pPr>
      <w:pStyle w:val="Footer-Abra"/>
      <w:tabs>
        <w:tab w:val="clear" w:pos="8640"/>
        <w:tab w:val="right" w:pos="9356"/>
        <w:tab w:val="right" w:pos="14742"/>
      </w:tabs>
      <w:spacing w:before="0" w:after="0"/>
      <w:rPr>
        <w:rFonts w:ascii="Calibri" w:hAnsi="Calibri" w:cs="Calibri"/>
        <w:color w:val="009999"/>
        <w:sz w:val="18"/>
        <w:szCs w:val="20"/>
      </w:rPr>
    </w:pPr>
    <w:r>
      <w:rPr>
        <w:rFonts w:ascii="Calibri" w:hAnsi="Calibri" w:cs="Calibri"/>
        <w:color w:val="009999"/>
        <w:sz w:val="18"/>
        <w:szCs w:val="20"/>
      </w:rPr>
      <w:t>December 2018</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F25F73" w14:textId="77777777" w:rsidR="0034357A" w:rsidRPr="004B2321" w:rsidRDefault="0034357A" w:rsidP="0055018B">
    <w:pPr>
      <w:pStyle w:val="Footer-Abra"/>
      <w:pBdr>
        <w:top w:val="single" w:sz="18" w:space="1" w:color="0D5F5D"/>
      </w:pBdr>
      <w:tabs>
        <w:tab w:val="clear" w:pos="8640"/>
        <w:tab w:val="right" w:pos="9356"/>
        <w:tab w:val="right" w:pos="14742"/>
      </w:tabs>
      <w:spacing w:before="0" w:after="0"/>
      <w:rPr>
        <w:rFonts w:ascii="Calibri" w:hAnsi="Calibri" w:cs="Calibri"/>
        <w:color w:val="0070C0"/>
        <w:sz w:val="20"/>
        <w:szCs w:val="20"/>
      </w:rPr>
    </w:pPr>
    <w:r>
      <w:rPr>
        <w:rFonts w:ascii="Arial" w:hAnsi="Arial" w:cs="Arial"/>
        <w:noProof/>
        <w:color w:val="0070C0"/>
        <w:sz w:val="20"/>
        <w:szCs w:val="20"/>
        <w:lang w:eastAsia="en-GB"/>
      </w:rPr>
      <w:drawing>
        <wp:anchor distT="0" distB="0" distL="114300" distR="114300" simplePos="0" relativeHeight="251697152" behindDoc="1" locked="0" layoutInCell="1" allowOverlap="1" wp14:anchorId="28E841E1" wp14:editId="0FE58FB9">
          <wp:simplePos x="0" y="0"/>
          <wp:positionH relativeFrom="margin">
            <wp:posOffset>8488045</wp:posOffset>
          </wp:positionH>
          <wp:positionV relativeFrom="paragraph">
            <wp:posOffset>55245</wp:posOffset>
          </wp:positionV>
          <wp:extent cx="466725" cy="269875"/>
          <wp:effectExtent l="0" t="0" r="9525" b="0"/>
          <wp:wrapNone/>
          <wp:docPr id="7176" name="Picture 7176" descr="C:\Users\Sandie Brand\Documents\ARC4\Logos\Various File Formats\JPG\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JPG\Logo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36EF68E2" w14:textId="6B0A4A05" w:rsidR="0034357A" w:rsidRPr="0055018B" w:rsidRDefault="0034357A" w:rsidP="0055018B">
    <w:pPr>
      <w:pStyle w:val="Footer-Abra"/>
      <w:tabs>
        <w:tab w:val="clear" w:pos="8640"/>
        <w:tab w:val="right" w:pos="9356"/>
        <w:tab w:val="right" w:pos="14742"/>
      </w:tabs>
      <w:spacing w:before="0" w:after="0"/>
      <w:rPr>
        <w:rFonts w:ascii="Calibri" w:hAnsi="Calibri" w:cs="Calibri"/>
        <w:color w:val="009999"/>
        <w:sz w:val="18"/>
        <w:szCs w:val="20"/>
      </w:rPr>
    </w:pPr>
    <w:r>
      <w:rPr>
        <w:rFonts w:ascii="Calibri" w:hAnsi="Calibri" w:cs="Calibri"/>
        <w:color w:val="009999"/>
        <w:sz w:val="18"/>
        <w:szCs w:val="20"/>
      </w:rPr>
      <w:t>December 2018</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3601F" w14:textId="77777777" w:rsidR="0034357A" w:rsidRPr="004B2321" w:rsidRDefault="0034357A" w:rsidP="0055018B">
    <w:pPr>
      <w:pStyle w:val="Footer-Abra"/>
      <w:pBdr>
        <w:top w:val="single" w:sz="18" w:space="1" w:color="0D5F5D"/>
      </w:pBdr>
      <w:tabs>
        <w:tab w:val="clear" w:pos="8640"/>
        <w:tab w:val="right" w:pos="9356"/>
        <w:tab w:val="right" w:pos="14742"/>
      </w:tabs>
      <w:spacing w:before="0" w:after="0"/>
      <w:rPr>
        <w:rFonts w:ascii="Calibri" w:hAnsi="Calibri" w:cs="Calibri"/>
        <w:color w:val="0070C0"/>
        <w:sz w:val="20"/>
        <w:szCs w:val="20"/>
      </w:rPr>
    </w:pPr>
    <w:r>
      <w:rPr>
        <w:rFonts w:ascii="Arial" w:hAnsi="Arial" w:cs="Arial"/>
        <w:noProof/>
        <w:color w:val="0070C0"/>
        <w:sz w:val="20"/>
        <w:szCs w:val="20"/>
        <w:lang w:eastAsia="en-GB"/>
      </w:rPr>
      <w:drawing>
        <wp:anchor distT="0" distB="0" distL="114300" distR="114300" simplePos="0" relativeHeight="251680768" behindDoc="1" locked="0" layoutInCell="1" allowOverlap="1" wp14:anchorId="66F29317" wp14:editId="0301D584">
          <wp:simplePos x="0" y="0"/>
          <wp:positionH relativeFrom="margin">
            <wp:posOffset>5356225</wp:posOffset>
          </wp:positionH>
          <wp:positionV relativeFrom="paragraph">
            <wp:posOffset>47625</wp:posOffset>
          </wp:positionV>
          <wp:extent cx="466725" cy="269875"/>
          <wp:effectExtent l="0" t="0" r="9525" b="0"/>
          <wp:wrapNone/>
          <wp:docPr id="7175" name="Picture 7175" descr="C:\Users\Sandie Brand\Documents\ARC4\Logos\Various File Formats\JPG\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JPG\Logo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5CF6470B" w14:textId="3193111B" w:rsidR="0034357A" w:rsidRPr="0055018B" w:rsidRDefault="0034357A" w:rsidP="0055018B">
    <w:pPr>
      <w:pStyle w:val="Footer-Abra"/>
      <w:tabs>
        <w:tab w:val="clear" w:pos="8640"/>
        <w:tab w:val="right" w:pos="9356"/>
        <w:tab w:val="right" w:pos="14742"/>
      </w:tabs>
      <w:spacing w:before="0" w:after="0"/>
      <w:rPr>
        <w:rFonts w:ascii="Calibri" w:hAnsi="Calibri" w:cs="Calibri"/>
        <w:color w:val="009999"/>
        <w:sz w:val="18"/>
        <w:szCs w:val="20"/>
      </w:rPr>
    </w:pPr>
    <w:r>
      <w:rPr>
        <w:rFonts w:ascii="Calibri" w:hAnsi="Calibri" w:cs="Calibri"/>
        <w:color w:val="009999"/>
        <w:sz w:val="18"/>
        <w:szCs w:val="20"/>
      </w:rPr>
      <w:t>December 2018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791E89" w14:textId="77777777" w:rsidR="0034357A" w:rsidRPr="004B2321" w:rsidRDefault="0034357A" w:rsidP="0055018B">
    <w:pPr>
      <w:pStyle w:val="Footer-Abra"/>
      <w:pBdr>
        <w:top w:val="single" w:sz="18" w:space="1" w:color="0D5F5D"/>
      </w:pBdr>
      <w:tabs>
        <w:tab w:val="clear" w:pos="8640"/>
        <w:tab w:val="right" w:pos="9356"/>
        <w:tab w:val="right" w:pos="14742"/>
      </w:tabs>
      <w:spacing w:before="0" w:after="0"/>
      <w:rPr>
        <w:rFonts w:ascii="Calibri" w:hAnsi="Calibri" w:cs="Calibri"/>
        <w:color w:val="0070C0"/>
        <w:sz w:val="20"/>
        <w:szCs w:val="20"/>
      </w:rPr>
    </w:pPr>
    <w:r>
      <w:rPr>
        <w:rFonts w:ascii="Arial" w:hAnsi="Arial" w:cs="Arial"/>
        <w:noProof/>
        <w:color w:val="0070C0"/>
        <w:sz w:val="20"/>
        <w:szCs w:val="20"/>
        <w:lang w:eastAsia="en-GB"/>
      </w:rPr>
      <w:drawing>
        <wp:anchor distT="0" distB="0" distL="114300" distR="114300" simplePos="0" relativeHeight="251811840" behindDoc="1" locked="0" layoutInCell="1" allowOverlap="1" wp14:anchorId="479B60D6" wp14:editId="1A60F646">
          <wp:simplePos x="0" y="0"/>
          <wp:positionH relativeFrom="margin">
            <wp:align>right</wp:align>
          </wp:positionH>
          <wp:positionV relativeFrom="paragraph">
            <wp:posOffset>47625</wp:posOffset>
          </wp:positionV>
          <wp:extent cx="466725" cy="269875"/>
          <wp:effectExtent l="0" t="0" r="9525" b="0"/>
          <wp:wrapNone/>
          <wp:docPr id="27" name="Picture 27" descr="C:\Users\Sandie Brand\Documents\ARC4\Logos\Various File Formats\JPG\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JPG\Logo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26954596" w14:textId="3A4C689A" w:rsidR="0034357A" w:rsidRPr="0055018B" w:rsidRDefault="0034357A" w:rsidP="0055018B">
    <w:pPr>
      <w:pStyle w:val="Footer-Abra"/>
      <w:tabs>
        <w:tab w:val="clear" w:pos="8640"/>
        <w:tab w:val="right" w:pos="9356"/>
        <w:tab w:val="right" w:pos="14742"/>
      </w:tabs>
      <w:spacing w:before="0" w:after="0"/>
      <w:rPr>
        <w:rFonts w:ascii="Calibri" w:hAnsi="Calibri" w:cs="Calibri"/>
        <w:color w:val="009999"/>
        <w:sz w:val="18"/>
        <w:szCs w:val="20"/>
      </w:rPr>
    </w:pPr>
    <w:r>
      <w:rPr>
        <w:rFonts w:ascii="Calibri" w:hAnsi="Calibri" w:cs="Calibri"/>
        <w:color w:val="009999"/>
        <w:sz w:val="18"/>
        <w:szCs w:val="20"/>
      </w:rPr>
      <w:t>December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4DDC23" w14:textId="77777777" w:rsidR="00A65AAD" w:rsidRDefault="00A65AAD">
      <w:bookmarkStart w:id="0" w:name="_Hlk479262604"/>
      <w:bookmarkEnd w:id="0"/>
      <w:r>
        <w:separator/>
      </w:r>
    </w:p>
  </w:footnote>
  <w:footnote w:type="continuationSeparator" w:id="0">
    <w:p w14:paraId="387BCE9C" w14:textId="77777777" w:rsidR="00A65AAD" w:rsidRDefault="00A65AAD">
      <w:r>
        <w:continuationSeparator/>
      </w:r>
    </w:p>
  </w:footnote>
  <w:footnote w:type="continuationNotice" w:id="1">
    <w:p w14:paraId="477B826E" w14:textId="77777777" w:rsidR="00A65AAD" w:rsidRDefault="00A65AAD">
      <w:pPr>
        <w:spacing w:before="0" w:after="0"/>
      </w:pPr>
    </w:p>
  </w:footnote>
  <w:footnote w:id="2">
    <w:p w14:paraId="3173C3EA" w14:textId="77777777" w:rsidR="0034357A" w:rsidRPr="00BB41A0" w:rsidRDefault="0034357A" w:rsidP="001F27D2">
      <w:pPr>
        <w:pStyle w:val="FootnoteText"/>
        <w:rPr>
          <w:rFonts w:cs="Calibri"/>
        </w:rPr>
      </w:pPr>
      <w:r w:rsidRPr="00BB41A0">
        <w:rPr>
          <w:rStyle w:val="FootnoteReference"/>
          <w:rFonts w:cs="Calibri"/>
        </w:rPr>
        <w:footnoteRef/>
      </w:r>
      <w:r w:rsidRPr="00BB41A0">
        <w:rPr>
          <w:rFonts w:cs="Calibri"/>
        </w:rPr>
        <w:t xml:space="preserve"> ONS 2016-based Subnational Population Projections</w:t>
      </w:r>
      <w:r>
        <w:rPr>
          <w:rFonts w:cs="Calibri"/>
        </w:rPr>
        <w:t xml:space="preserve"> – note data only starts in 2016</w:t>
      </w:r>
    </w:p>
  </w:footnote>
  <w:footnote w:id="3">
    <w:p w14:paraId="412FA945" w14:textId="77777777" w:rsidR="0034357A" w:rsidRPr="00BB41A0" w:rsidRDefault="0034357A" w:rsidP="001F27D2">
      <w:pPr>
        <w:pStyle w:val="FootnoteText"/>
        <w:rPr>
          <w:rFonts w:cs="Calibri"/>
        </w:rPr>
      </w:pPr>
      <w:r w:rsidRPr="00BB41A0">
        <w:rPr>
          <w:rStyle w:val="FootnoteReference"/>
          <w:rFonts w:cs="Calibri"/>
        </w:rPr>
        <w:footnoteRef/>
      </w:r>
      <w:r w:rsidRPr="00BB41A0">
        <w:rPr>
          <w:rFonts w:cs="Calibri"/>
        </w:rPr>
        <w:t xml:space="preserve"> ONS 2016-based Subnational Population Projections</w:t>
      </w:r>
    </w:p>
  </w:footnote>
  <w:footnote w:id="4">
    <w:p w14:paraId="0A2F3885" w14:textId="77777777" w:rsidR="00A93972" w:rsidRPr="004D3FA3" w:rsidRDefault="00A93972" w:rsidP="00A93972">
      <w:pPr>
        <w:pStyle w:val="FootnoteText"/>
        <w:rPr>
          <w:lang w:val="en-US"/>
        </w:rPr>
      </w:pPr>
      <w:r w:rsidRPr="00E82282">
        <w:rPr>
          <w:rStyle w:val="FootnoteReference"/>
          <w:rFonts w:asciiTheme="minorHAnsi" w:hAnsiTheme="minorHAnsi"/>
        </w:rPr>
        <w:footnoteRef/>
      </w:r>
      <w:r w:rsidRPr="00E82282">
        <w:rPr>
          <w:rFonts w:asciiTheme="minorHAnsi" w:hAnsiTheme="minorHAnsi"/>
        </w:rPr>
        <w:t xml:space="preserve"> Based on a need of 889 over the plan period and total delivery of 24,900 dwellings (1,245x20 years)</w:t>
      </w:r>
    </w:p>
  </w:footnote>
  <w:footnote w:id="5">
    <w:p w14:paraId="5097F778" w14:textId="77777777" w:rsidR="00A93972" w:rsidRPr="00E82282" w:rsidRDefault="00A93972" w:rsidP="00A93972">
      <w:pPr>
        <w:pStyle w:val="FootnoteText"/>
        <w:rPr>
          <w:rFonts w:asciiTheme="minorHAnsi" w:hAnsiTheme="minorHAnsi"/>
          <w:lang w:val="en-US"/>
        </w:rPr>
      </w:pPr>
      <w:r w:rsidRPr="00E82282">
        <w:rPr>
          <w:rStyle w:val="FootnoteReference"/>
          <w:rFonts w:asciiTheme="minorHAnsi" w:hAnsiTheme="minorHAnsi"/>
        </w:rPr>
        <w:footnoteRef/>
      </w:r>
      <w:r w:rsidRPr="00E82282">
        <w:rPr>
          <w:rFonts w:asciiTheme="minorHAnsi" w:hAnsiTheme="minorHAnsi"/>
        </w:rPr>
        <w:t xml:space="preserve"> Based on a need of </w:t>
      </w:r>
      <w:r>
        <w:rPr>
          <w:rFonts w:asciiTheme="minorHAnsi" w:hAnsiTheme="minorHAnsi"/>
        </w:rPr>
        <w:t xml:space="preserve">242 over period 2018-2032 (14 years) </w:t>
      </w:r>
      <w:r w:rsidRPr="00E82282">
        <w:rPr>
          <w:rFonts w:asciiTheme="minorHAnsi" w:hAnsiTheme="minorHAnsi"/>
        </w:rPr>
        <w:t>total delivery of 24,900 dwellings (1,245x20 years)</w:t>
      </w:r>
    </w:p>
  </w:footnote>
  <w:footnote w:id="6">
    <w:p w14:paraId="5C7D9DEC" w14:textId="77777777" w:rsidR="0034357A" w:rsidRPr="009327BD" w:rsidRDefault="0034357A" w:rsidP="001F27D2">
      <w:pPr>
        <w:pStyle w:val="FootnoteText"/>
        <w:rPr>
          <w:rFonts w:cstheme="minorHAnsi"/>
          <w:sz w:val="18"/>
          <w:szCs w:val="18"/>
        </w:rPr>
      </w:pPr>
      <w:r w:rsidRPr="009327BD">
        <w:rPr>
          <w:rStyle w:val="FootnoteReference"/>
          <w:rFonts w:cstheme="minorHAnsi"/>
          <w:sz w:val="18"/>
          <w:szCs w:val="18"/>
        </w:rPr>
        <w:footnoteRef/>
      </w:r>
      <w:r w:rsidRPr="009327BD">
        <w:rPr>
          <w:rFonts w:cstheme="minorHAnsi"/>
          <w:sz w:val="18"/>
          <w:szCs w:val="18"/>
        </w:rPr>
        <w:t xml:space="preserve"> NPPF July 2018, Paragraph 11</w:t>
      </w:r>
    </w:p>
  </w:footnote>
  <w:footnote w:id="7">
    <w:p w14:paraId="5A20491D" w14:textId="77777777" w:rsidR="0034357A" w:rsidRPr="00F47F9D" w:rsidRDefault="0034357A" w:rsidP="001F27D2">
      <w:pPr>
        <w:pStyle w:val="FootnoteText"/>
        <w:rPr>
          <w:rFonts w:cstheme="minorHAnsi"/>
        </w:rPr>
      </w:pPr>
      <w:r w:rsidRPr="00F47F9D">
        <w:rPr>
          <w:rStyle w:val="FootnoteReference"/>
          <w:rFonts w:cstheme="minorHAnsi"/>
        </w:rPr>
        <w:footnoteRef/>
      </w:r>
      <w:r w:rsidRPr="00F47F9D">
        <w:rPr>
          <w:rFonts w:cstheme="minorHAnsi"/>
        </w:rPr>
        <w:t xml:space="preserve"> NPPF 2018, paragraph 62</w:t>
      </w:r>
    </w:p>
  </w:footnote>
  <w:footnote w:id="8">
    <w:p w14:paraId="23A1CA55" w14:textId="77777777" w:rsidR="0034357A" w:rsidRDefault="0034357A" w:rsidP="001F27D2">
      <w:pPr>
        <w:pStyle w:val="FootnoteText"/>
      </w:pPr>
      <w:r>
        <w:rPr>
          <w:rStyle w:val="FootnoteReference"/>
        </w:rPr>
        <w:footnoteRef/>
      </w:r>
      <w:r>
        <w:t xml:space="preserve"> </w:t>
      </w:r>
      <w:r w:rsidRPr="00094B36">
        <w:t>https://www.thecumbrialep.co.uk/</w:t>
      </w:r>
    </w:p>
  </w:footnote>
  <w:footnote w:id="9">
    <w:p w14:paraId="10DBEED5" w14:textId="77777777" w:rsidR="0034357A" w:rsidRDefault="0034357A" w:rsidP="001F27D2">
      <w:pPr>
        <w:pStyle w:val="FootnoteText"/>
      </w:pPr>
      <w:r>
        <w:rPr>
          <w:rStyle w:val="FootnoteReference"/>
        </w:rPr>
        <w:footnoteRef/>
      </w:r>
      <w:r>
        <w:t xml:space="preserve"> </w:t>
      </w:r>
      <w:r w:rsidRPr="003E24E1">
        <w:t>https://www.thecumbrialep.co.uk/wp-content/uploads/2018/02/Cumbria-LEP-final-report-1-April-2014.pdf</w:t>
      </w:r>
    </w:p>
  </w:footnote>
  <w:footnote w:id="10">
    <w:p w14:paraId="60660D96" w14:textId="77777777" w:rsidR="0034357A" w:rsidRDefault="0034357A" w:rsidP="001F27D2">
      <w:pPr>
        <w:pStyle w:val="FootnoteText"/>
      </w:pPr>
      <w:r>
        <w:rPr>
          <w:rStyle w:val="FootnoteReference"/>
        </w:rPr>
        <w:footnoteRef/>
      </w:r>
      <w:r>
        <w:t xml:space="preserve"> </w:t>
      </w:r>
      <w:r w:rsidRPr="00697E4A">
        <w:t>https://www.eden.gov.uk/media/2261/council-plan-booklet.pdf</w:t>
      </w:r>
    </w:p>
  </w:footnote>
  <w:footnote w:id="11">
    <w:p w14:paraId="462413C6" w14:textId="77777777" w:rsidR="0034357A" w:rsidRDefault="0034357A" w:rsidP="001F27D2">
      <w:pPr>
        <w:pStyle w:val="FootnoteText"/>
      </w:pPr>
      <w:r w:rsidRPr="00EE54A5">
        <w:rPr>
          <w:rStyle w:val="FootnoteReference"/>
          <w:rFonts w:cstheme="minorHAnsi"/>
        </w:rPr>
        <w:footnoteRef/>
      </w:r>
      <w:r w:rsidRPr="00EE54A5">
        <w:rPr>
          <w:rFonts w:cstheme="minorHAnsi"/>
        </w:rPr>
        <w:t xml:space="preserve"> </w:t>
      </w:r>
      <w:r w:rsidRPr="00EE54A5">
        <w:rPr>
          <w:rFonts w:cstheme="minorHAnsi"/>
          <w:i/>
          <w:iCs/>
        </w:rPr>
        <w:t>Laying The Foundations</w:t>
      </w:r>
      <w:r w:rsidRPr="00EE54A5">
        <w:rPr>
          <w:rFonts w:cstheme="minorHAnsi"/>
        </w:rPr>
        <w:t>; A Housing Strategy for England, 2011</w:t>
      </w:r>
    </w:p>
  </w:footnote>
  <w:footnote w:id="12">
    <w:p w14:paraId="71177C6D" w14:textId="77777777" w:rsidR="0034357A" w:rsidRPr="009C5883" w:rsidRDefault="0034357A" w:rsidP="001F27D2">
      <w:pPr>
        <w:pStyle w:val="FootnoteText"/>
        <w:rPr>
          <w:rFonts w:cs="Calibri"/>
          <w:lang w:val="en-US"/>
        </w:rPr>
      </w:pPr>
      <w:r w:rsidRPr="009C5883">
        <w:rPr>
          <w:rStyle w:val="FootnoteReference"/>
          <w:rFonts w:cs="Calibri"/>
        </w:rPr>
        <w:footnoteRef/>
      </w:r>
      <w:r w:rsidRPr="009C5883">
        <w:rPr>
          <w:rFonts w:cs="Calibri"/>
        </w:rPr>
        <w:t xml:space="preserve"> </w:t>
      </w:r>
      <w:r w:rsidRPr="009C5883">
        <w:rPr>
          <w:rFonts w:cs="Calibri"/>
          <w:lang w:val="en-US"/>
        </w:rPr>
        <w:t>A Broad Rental Market Area is an area ‘within which a person could reasonably be expected to live having regard to facilities and services for purposes of health, education, recreation, personal banking and shopping, taking account of the distance of travel, by public and private transport and from those facilities and services’.  A BRMA must contain ‘residential premises for a variety of types, including such premises held on a variety of tenures’ PLUS ‘sufficient privately rented residential premises, to ensure that, in the rent officer’s opinion, the LHA for the area is representative of the rents that a landlord might reasonably be expected to obtain in that area’ Source: VOA BRMA statistics</w:t>
      </w:r>
    </w:p>
  </w:footnote>
  <w:footnote w:id="13">
    <w:p w14:paraId="2D0D5836" w14:textId="77777777" w:rsidR="0034357A" w:rsidRPr="009D369A" w:rsidRDefault="0034357A" w:rsidP="001F27D2">
      <w:pPr>
        <w:pStyle w:val="FootnoteText"/>
        <w:rPr>
          <w:rFonts w:cs="Calibri"/>
        </w:rPr>
      </w:pPr>
      <w:r w:rsidRPr="009D369A">
        <w:rPr>
          <w:rStyle w:val="FootnoteReference"/>
          <w:rFonts w:cs="Calibri"/>
        </w:rPr>
        <w:footnoteRef/>
      </w:r>
      <w:r w:rsidRPr="009D369A">
        <w:rPr>
          <w:rFonts w:cs="Calibri"/>
        </w:rPr>
        <w:t xml:space="preserve"> https://www.gov.uk/government/uploads/system/uploads/attachment_data/file/7812/138355.pdf</w:t>
      </w:r>
    </w:p>
  </w:footnote>
  <w:footnote w:id="14">
    <w:p w14:paraId="73FDD7C5" w14:textId="77777777" w:rsidR="0034357A" w:rsidRPr="00E313B3" w:rsidRDefault="0034357A" w:rsidP="001F27D2">
      <w:pPr>
        <w:pStyle w:val="FootnoteText"/>
        <w:rPr>
          <w:lang w:val="en-US"/>
        </w:rPr>
      </w:pPr>
      <w:r>
        <w:rPr>
          <w:rStyle w:val="FootnoteReference"/>
        </w:rPr>
        <w:footnoteRef/>
      </w:r>
      <w:r>
        <w:t xml:space="preserve"> </w:t>
      </w:r>
      <w:r w:rsidRPr="00B0284A">
        <w:rPr>
          <w:rFonts w:asciiTheme="minorHAnsi" w:hAnsiTheme="minorHAnsi"/>
          <w:szCs w:val="16"/>
          <w:lang w:val="en-US"/>
        </w:rPr>
        <w:t xml:space="preserve">PPG 2018 Paragraph </w:t>
      </w:r>
      <w:r>
        <w:rPr>
          <w:rFonts w:asciiTheme="minorHAnsi" w:hAnsiTheme="minorHAnsi" w:cs="Arial"/>
          <w:color w:val="0B0C0C"/>
          <w:szCs w:val="16"/>
          <w:shd w:val="clear" w:color="auto" w:fill="FFFFFF"/>
        </w:rPr>
        <w:t xml:space="preserve">020 </w:t>
      </w:r>
      <w:r w:rsidRPr="00B0284A">
        <w:rPr>
          <w:rFonts w:asciiTheme="minorHAnsi" w:hAnsiTheme="minorHAnsi" w:cs="Arial"/>
          <w:color w:val="0B0C0C"/>
          <w:szCs w:val="16"/>
          <w:shd w:val="clear" w:color="auto" w:fill="FFFFFF"/>
        </w:rPr>
        <w:t>Reference ID: 2a-004-20180913</w:t>
      </w:r>
    </w:p>
  </w:footnote>
  <w:footnote w:id="15">
    <w:p w14:paraId="6C4B9DB2" w14:textId="77777777" w:rsidR="0034357A" w:rsidRPr="00A916E6" w:rsidRDefault="0034357A" w:rsidP="001F27D2">
      <w:pPr>
        <w:pStyle w:val="FootnoteText"/>
        <w:rPr>
          <w:lang w:val="en-US"/>
        </w:rPr>
      </w:pPr>
      <w:r>
        <w:rPr>
          <w:rStyle w:val="FootnoteReference"/>
        </w:rPr>
        <w:footnoteRef/>
      </w:r>
      <w:r>
        <w:t xml:space="preserve"> </w:t>
      </w:r>
      <w:r w:rsidRPr="00B0284A">
        <w:rPr>
          <w:rFonts w:asciiTheme="minorHAnsi" w:hAnsiTheme="minorHAnsi"/>
          <w:szCs w:val="16"/>
          <w:lang w:val="en-US"/>
        </w:rPr>
        <w:t xml:space="preserve">PPG 2018 Paragraph </w:t>
      </w:r>
      <w:r>
        <w:rPr>
          <w:rFonts w:asciiTheme="minorHAnsi" w:hAnsiTheme="minorHAnsi" w:cs="Arial"/>
          <w:color w:val="0B0C0C"/>
          <w:szCs w:val="16"/>
          <w:shd w:val="clear" w:color="auto" w:fill="FFFFFF"/>
        </w:rPr>
        <w:t xml:space="preserve">021 </w:t>
      </w:r>
      <w:r w:rsidRPr="00B0284A">
        <w:rPr>
          <w:rFonts w:asciiTheme="minorHAnsi" w:hAnsiTheme="minorHAnsi" w:cs="Arial"/>
          <w:color w:val="0B0C0C"/>
          <w:szCs w:val="16"/>
          <w:shd w:val="clear" w:color="auto" w:fill="FFFFFF"/>
        </w:rPr>
        <w:t>Reference ID: 2a-004-20180913</w:t>
      </w:r>
    </w:p>
  </w:footnote>
  <w:footnote w:id="16">
    <w:p w14:paraId="2BED9CB1" w14:textId="77777777" w:rsidR="0034357A" w:rsidRPr="00C262DE" w:rsidRDefault="0034357A" w:rsidP="001F27D2">
      <w:pPr>
        <w:pStyle w:val="FootnoteText"/>
        <w:rPr>
          <w:rFonts w:asciiTheme="minorHAnsi" w:hAnsiTheme="minorHAnsi" w:cs="Calibri"/>
        </w:rPr>
      </w:pPr>
      <w:r w:rsidRPr="00C262DE">
        <w:rPr>
          <w:rStyle w:val="FootnoteReference"/>
          <w:rFonts w:asciiTheme="minorHAnsi" w:hAnsiTheme="minorHAnsi" w:cs="Calibri"/>
        </w:rPr>
        <w:footnoteRef/>
      </w:r>
      <w:r w:rsidRPr="00C262DE">
        <w:rPr>
          <w:rFonts w:asciiTheme="minorHAnsi" w:hAnsiTheme="minorHAnsi" w:cs="Calibri"/>
        </w:rPr>
        <w:t xml:space="preserve"> ONS 2016-based Subnational population projections</w:t>
      </w:r>
    </w:p>
  </w:footnote>
  <w:footnote w:id="17">
    <w:p w14:paraId="55A102D9" w14:textId="77777777" w:rsidR="0034357A" w:rsidRPr="00DF6685" w:rsidRDefault="0034357A" w:rsidP="001F27D2">
      <w:pPr>
        <w:pStyle w:val="FootnoteText"/>
        <w:rPr>
          <w:lang w:val="en-US"/>
        </w:rPr>
      </w:pPr>
      <w:r w:rsidRPr="00C262DE">
        <w:rPr>
          <w:rStyle w:val="FootnoteReference"/>
          <w:rFonts w:asciiTheme="minorHAnsi" w:hAnsiTheme="minorHAnsi"/>
        </w:rPr>
        <w:footnoteRef/>
      </w:r>
      <w:r w:rsidRPr="00C262DE">
        <w:rPr>
          <w:rFonts w:asciiTheme="minorHAnsi" w:hAnsiTheme="minorHAnsi"/>
        </w:rPr>
        <w:t xml:space="preserve"> </w:t>
      </w:r>
      <w:r w:rsidRPr="00C262DE">
        <w:rPr>
          <w:rFonts w:asciiTheme="minorHAnsi" w:hAnsiTheme="minorHAnsi"/>
          <w:lang w:val="en-US"/>
        </w:rPr>
        <w:t>CLG 2014-based household projections are the latest available at the time of drafting this report</w:t>
      </w:r>
    </w:p>
  </w:footnote>
  <w:footnote w:id="18">
    <w:p w14:paraId="1CF722CA" w14:textId="77777777" w:rsidR="0034357A" w:rsidRPr="00C262DE" w:rsidRDefault="0034357A" w:rsidP="001F27D2">
      <w:pPr>
        <w:pStyle w:val="FootnoteText"/>
        <w:rPr>
          <w:rFonts w:asciiTheme="minorHAnsi" w:hAnsiTheme="minorHAnsi"/>
          <w:lang w:val="en-US"/>
        </w:rPr>
      </w:pPr>
      <w:r w:rsidRPr="00C262DE">
        <w:rPr>
          <w:rStyle w:val="FootnoteReference"/>
          <w:rFonts w:asciiTheme="minorHAnsi" w:hAnsiTheme="minorHAnsi"/>
        </w:rPr>
        <w:footnoteRef/>
      </w:r>
      <w:r w:rsidRPr="00C262DE">
        <w:rPr>
          <w:rFonts w:asciiTheme="minorHAnsi" w:hAnsiTheme="minorHAnsi"/>
        </w:rPr>
        <w:t xml:space="preserve"> </w:t>
      </w:r>
      <w:r w:rsidRPr="00C262DE">
        <w:rPr>
          <w:rFonts w:asciiTheme="minorHAnsi" w:hAnsiTheme="minorHAnsi"/>
          <w:lang w:val="en-US"/>
        </w:rPr>
        <w:t>www.housingcare.org</w:t>
      </w:r>
    </w:p>
  </w:footnote>
  <w:footnote w:id="19">
    <w:p w14:paraId="7E8FCD88" w14:textId="457F1A63" w:rsidR="0034357A" w:rsidRPr="0034357A" w:rsidRDefault="0034357A">
      <w:pPr>
        <w:pStyle w:val="FootnoteText"/>
        <w:rPr>
          <w:lang w:val="en-US"/>
        </w:rPr>
      </w:pPr>
      <w:r>
        <w:rPr>
          <w:rStyle w:val="FootnoteReference"/>
        </w:rPr>
        <w:footnoteRef/>
      </w:r>
      <w:r>
        <w:t xml:space="preserve"> </w:t>
      </w:r>
      <w:r>
        <w:rPr>
          <w:lang w:val="en-US"/>
        </w:rPr>
        <w:t>In Greater London, the target is 90% for M4(2) and 10% for M4(3). In Greater Manchester, the Greater Manchester Spatial Framework  policy GM H3 calls for all new dwellings to be built to the ‘accessible and adaptable’ standard in Part M4(2) of the Building Regulations, unless specific site conditions make this impracticable</w:t>
      </w:r>
    </w:p>
  </w:footnote>
  <w:footnote w:id="20">
    <w:p w14:paraId="1306A500" w14:textId="77777777" w:rsidR="0034357A" w:rsidRPr="004D3FA3" w:rsidRDefault="0034357A" w:rsidP="0034357A">
      <w:pPr>
        <w:pStyle w:val="FootnoteText"/>
        <w:rPr>
          <w:lang w:val="en-US"/>
        </w:rPr>
      </w:pPr>
      <w:r w:rsidRPr="00E82282">
        <w:rPr>
          <w:rStyle w:val="FootnoteReference"/>
          <w:rFonts w:asciiTheme="minorHAnsi" w:hAnsiTheme="minorHAnsi"/>
        </w:rPr>
        <w:footnoteRef/>
      </w:r>
      <w:r w:rsidRPr="00E82282">
        <w:rPr>
          <w:rFonts w:asciiTheme="minorHAnsi" w:hAnsiTheme="minorHAnsi"/>
        </w:rPr>
        <w:t xml:space="preserve"> Based on a need of 889 over the plan period and total delivery of 24,900 dwellings (1,245x20 years)</w:t>
      </w:r>
    </w:p>
  </w:footnote>
  <w:footnote w:id="21">
    <w:p w14:paraId="4FFE5EB2" w14:textId="77777777" w:rsidR="0034357A" w:rsidRPr="00E82282" w:rsidRDefault="0034357A" w:rsidP="001F27D2">
      <w:pPr>
        <w:pStyle w:val="FootnoteText"/>
        <w:rPr>
          <w:rFonts w:asciiTheme="minorHAnsi" w:hAnsiTheme="minorHAnsi"/>
          <w:lang w:val="en-US"/>
        </w:rPr>
      </w:pPr>
      <w:r w:rsidRPr="00E82282">
        <w:rPr>
          <w:rStyle w:val="FootnoteReference"/>
          <w:rFonts w:asciiTheme="minorHAnsi" w:hAnsiTheme="minorHAnsi"/>
        </w:rPr>
        <w:footnoteRef/>
      </w:r>
      <w:r w:rsidRPr="00E82282">
        <w:rPr>
          <w:rFonts w:asciiTheme="minorHAnsi" w:hAnsiTheme="minorHAnsi"/>
        </w:rPr>
        <w:t xml:space="preserve"> Based on a need of </w:t>
      </w:r>
      <w:r>
        <w:rPr>
          <w:rFonts w:asciiTheme="minorHAnsi" w:hAnsiTheme="minorHAnsi"/>
        </w:rPr>
        <w:t xml:space="preserve">242 over period 2018-2032 (14 years) </w:t>
      </w:r>
      <w:r w:rsidRPr="00E82282">
        <w:rPr>
          <w:rFonts w:asciiTheme="minorHAnsi" w:hAnsiTheme="minorHAnsi"/>
        </w:rPr>
        <w:t>total delivery of 24,900 dwellings (1,245x20 years)</w:t>
      </w:r>
    </w:p>
  </w:footnote>
  <w:footnote w:id="22">
    <w:p w14:paraId="15496256" w14:textId="77777777" w:rsidR="0034357A" w:rsidRPr="001E1DFC" w:rsidRDefault="0034357A" w:rsidP="001F27D2">
      <w:pPr>
        <w:pStyle w:val="FootnoteText"/>
        <w:rPr>
          <w:lang w:val="en-US"/>
        </w:rPr>
      </w:pPr>
      <w:r>
        <w:rPr>
          <w:rStyle w:val="FootnoteReference"/>
        </w:rPr>
        <w:footnoteRef/>
      </w:r>
      <w:r>
        <w:t xml:space="preserve"> </w:t>
      </w:r>
      <w:r>
        <w:rPr>
          <w:lang w:val="en-US"/>
        </w:rPr>
        <w:t>Local Authority Housing Statistics 2016/17</w:t>
      </w:r>
    </w:p>
  </w:footnote>
  <w:footnote w:id="23">
    <w:p w14:paraId="3B4E3A02" w14:textId="77777777" w:rsidR="0034357A" w:rsidRPr="001E1DFC" w:rsidRDefault="0034357A" w:rsidP="001F27D2">
      <w:pPr>
        <w:pStyle w:val="FootnoteText"/>
        <w:rPr>
          <w:lang w:val="en-US"/>
        </w:rPr>
      </w:pPr>
      <w:r>
        <w:rPr>
          <w:rStyle w:val="FootnoteReference"/>
        </w:rPr>
        <w:footnoteRef/>
      </w:r>
      <w:r>
        <w:t xml:space="preserve"> </w:t>
      </w:r>
      <w:r>
        <w:rPr>
          <w:lang w:val="en-US"/>
        </w:rPr>
        <w:t>Housing Strategy Statistical Appendix 2011/12</w:t>
      </w:r>
    </w:p>
  </w:footnote>
  <w:footnote w:id="24">
    <w:p w14:paraId="4314447B" w14:textId="77777777" w:rsidR="0034357A" w:rsidRPr="00E662BE" w:rsidRDefault="0034357A" w:rsidP="001F27D2">
      <w:pPr>
        <w:rPr>
          <w:rFonts w:asciiTheme="minorHAnsi" w:hAnsiTheme="minorHAnsi" w:cstheme="minorHAnsi"/>
          <w:szCs w:val="16"/>
          <w:lang w:val="en-US"/>
        </w:rPr>
      </w:pPr>
      <w:r w:rsidRPr="00E662BE">
        <w:rPr>
          <w:rStyle w:val="FootnoteReference"/>
          <w:rFonts w:asciiTheme="minorHAnsi" w:hAnsiTheme="minorHAnsi" w:cstheme="minorHAnsi"/>
          <w:sz w:val="16"/>
          <w:szCs w:val="16"/>
        </w:rPr>
        <w:footnoteRef/>
      </w:r>
      <w:r w:rsidRPr="00E662BE">
        <w:rPr>
          <w:rFonts w:asciiTheme="minorHAnsi" w:hAnsiTheme="minorHAnsi" w:cstheme="minorHAnsi"/>
          <w:sz w:val="16"/>
          <w:szCs w:val="16"/>
        </w:rPr>
        <w:t xml:space="preserve"> </w:t>
      </w:r>
      <w:r w:rsidRPr="00E662BE">
        <w:rPr>
          <w:rFonts w:asciiTheme="minorHAnsi" w:hAnsiTheme="minorHAnsi" w:cstheme="minorHAnsi"/>
          <w:color w:val="0B0C0C"/>
          <w:sz w:val="16"/>
          <w:szCs w:val="16"/>
          <w:shd w:val="clear" w:color="auto" w:fill="FFFFFF"/>
        </w:rPr>
        <w:t>Paragraph: 021 Reference ID: 2a-021-20180913</w:t>
      </w:r>
    </w:p>
  </w:footnote>
  <w:footnote w:id="25">
    <w:p w14:paraId="7B93EFC8" w14:textId="77777777" w:rsidR="0034357A" w:rsidRPr="00A916E6" w:rsidRDefault="0034357A" w:rsidP="001F27D2">
      <w:pPr>
        <w:pStyle w:val="FootnoteText"/>
        <w:rPr>
          <w:lang w:val="en-US"/>
        </w:rPr>
      </w:pPr>
      <w:r w:rsidRPr="00E662BE">
        <w:rPr>
          <w:rStyle w:val="FootnoteReference"/>
          <w:rFonts w:asciiTheme="minorHAnsi" w:hAnsiTheme="minorHAnsi" w:cstheme="minorHAnsi"/>
          <w:szCs w:val="16"/>
        </w:rPr>
        <w:footnoteRef/>
      </w:r>
      <w:r w:rsidRPr="00E662BE">
        <w:rPr>
          <w:rFonts w:asciiTheme="minorHAnsi" w:hAnsiTheme="minorHAnsi" w:cstheme="minorHAnsi"/>
          <w:szCs w:val="16"/>
        </w:rPr>
        <w:t xml:space="preserve"> </w:t>
      </w:r>
      <w:r w:rsidRPr="00E662BE">
        <w:rPr>
          <w:rFonts w:asciiTheme="minorHAnsi" w:hAnsiTheme="minorHAnsi" w:cstheme="minorHAnsi"/>
          <w:color w:val="0B0C0C"/>
          <w:szCs w:val="16"/>
          <w:shd w:val="clear" w:color="auto" w:fill="FFFFFF"/>
        </w:rPr>
        <w:t>Paragraph: 022 Reference ID: 2a-021-20180913</w:t>
      </w:r>
    </w:p>
  </w:footnote>
  <w:footnote w:id="26">
    <w:p w14:paraId="7562C856" w14:textId="77777777" w:rsidR="0034357A" w:rsidRPr="007F4BB0" w:rsidRDefault="0034357A" w:rsidP="001F27D2">
      <w:pPr>
        <w:pStyle w:val="FootnoteText"/>
        <w:rPr>
          <w:rFonts w:asciiTheme="minorHAnsi" w:hAnsiTheme="minorHAnsi" w:cstheme="minorHAnsi"/>
          <w:szCs w:val="16"/>
          <w:lang w:val="en-US"/>
        </w:rPr>
      </w:pPr>
      <w:r w:rsidRPr="007F4BB0">
        <w:rPr>
          <w:rStyle w:val="FootnoteReference"/>
          <w:rFonts w:asciiTheme="minorHAnsi" w:hAnsiTheme="minorHAnsi" w:cstheme="minorHAnsi"/>
          <w:szCs w:val="16"/>
        </w:rPr>
        <w:footnoteRef/>
      </w:r>
      <w:r w:rsidRPr="007F4BB0">
        <w:rPr>
          <w:rFonts w:asciiTheme="minorHAnsi" w:hAnsiTheme="minorHAnsi" w:cstheme="minorHAnsi"/>
          <w:szCs w:val="16"/>
        </w:rPr>
        <w:t xml:space="preserve"> </w:t>
      </w:r>
      <w:r w:rsidRPr="007F4BB0">
        <w:rPr>
          <w:rFonts w:asciiTheme="minorHAnsi" w:hAnsiTheme="minorHAnsi" w:cstheme="minorHAnsi"/>
          <w:color w:val="0B0C0C"/>
          <w:szCs w:val="16"/>
          <w:shd w:val="clear" w:color="auto" w:fill="FFFFFF"/>
        </w:rPr>
        <w:t>Paragraph: 023 Reference ID: 2a-021-20180913</w:t>
      </w:r>
    </w:p>
  </w:footnote>
  <w:footnote w:id="27">
    <w:p w14:paraId="69AC6EAB" w14:textId="77777777" w:rsidR="0034357A" w:rsidRPr="007F4BB0" w:rsidRDefault="0034357A" w:rsidP="001F27D2">
      <w:pPr>
        <w:pStyle w:val="FootnoteText"/>
        <w:rPr>
          <w:rFonts w:asciiTheme="minorHAnsi" w:hAnsiTheme="minorHAnsi" w:cstheme="minorHAnsi"/>
          <w:szCs w:val="16"/>
          <w:lang w:val="en-US"/>
        </w:rPr>
      </w:pPr>
      <w:r w:rsidRPr="007F4BB0">
        <w:rPr>
          <w:rStyle w:val="FootnoteReference"/>
          <w:rFonts w:asciiTheme="minorHAnsi" w:hAnsiTheme="minorHAnsi" w:cstheme="minorHAnsi"/>
          <w:szCs w:val="16"/>
        </w:rPr>
        <w:footnoteRef/>
      </w:r>
      <w:r w:rsidRPr="007F4BB0">
        <w:rPr>
          <w:rFonts w:asciiTheme="minorHAnsi" w:hAnsiTheme="minorHAnsi" w:cstheme="minorHAnsi"/>
          <w:szCs w:val="16"/>
        </w:rPr>
        <w:t xml:space="preserve"> </w:t>
      </w:r>
      <w:r w:rsidRPr="007F4BB0">
        <w:rPr>
          <w:rFonts w:asciiTheme="minorHAnsi" w:hAnsiTheme="minorHAnsi" w:cstheme="minorHAnsi"/>
          <w:color w:val="0B0C0C"/>
          <w:szCs w:val="16"/>
          <w:shd w:val="clear" w:color="auto" w:fill="FFFFFF"/>
        </w:rPr>
        <w:t>Paragraph: 024 Reference ID: 2a-021-20180913</w:t>
      </w:r>
    </w:p>
  </w:footnote>
  <w:footnote w:id="28">
    <w:p w14:paraId="171E97D3" w14:textId="77777777" w:rsidR="0034357A" w:rsidRPr="00830A14" w:rsidRDefault="0034357A" w:rsidP="001F27D2">
      <w:pPr>
        <w:pStyle w:val="FootnoteText"/>
        <w:rPr>
          <w:rFonts w:asciiTheme="minorHAnsi" w:hAnsiTheme="minorHAnsi" w:cstheme="minorHAnsi"/>
          <w:szCs w:val="16"/>
        </w:rPr>
      </w:pPr>
      <w:r w:rsidRPr="00830A14">
        <w:rPr>
          <w:rStyle w:val="FootnoteReference"/>
          <w:rFonts w:asciiTheme="minorHAnsi" w:hAnsiTheme="minorHAnsi" w:cstheme="minorHAnsi"/>
          <w:szCs w:val="16"/>
        </w:rPr>
        <w:footnoteRef/>
      </w:r>
      <w:r w:rsidRPr="00830A14">
        <w:rPr>
          <w:rFonts w:asciiTheme="minorHAnsi" w:hAnsiTheme="minorHAnsi" w:cstheme="minorHAnsi"/>
          <w:szCs w:val="16"/>
        </w:rPr>
        <w:t xml:space="preserve"> Strategic Housing Market Assessment Guidance (CLG, August 2007)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B68534" w14:textId="3423D100" w:rsidR="0034357A" w:rsidRPr="004B1CF8" w:rsidRDefault="00A65AAD" w:rsidP="00F22269">
    <w:pPr>
      <w:pStyle w:val="Header"/>
      <w:pBdr>
        <w:bottom w:val="single" w:sz="18" w:space="1" w:color="0D5F5D"/>
      </w:pBdr>
      <w:tabs>
        <w:tab w:val="clear" w:pos="4153"/>
        <w:tab w:val="clear" w:pos="8306"/>
        <w:tab w:val="left" w:pos="6855"/>
        <w:tab w:val="right" w:pos="9072"/>
        <w:tab w:val="right" w:pos="14034"/>
      </w:tabs>
      <w:ind w:right="-29"/>
      <w:jc w:val="left"/>
      <w:rPr>
        <w:b/>
        <w:bCs/>
        <w:color w:val="009999"/>
        <w:sz w:val="18"/>
        <w:szCs w:val="18"/>
      </w:rPr>
    </w:pPr>
    <w:sdt>
      <w:sdtPr>
        <w:rPr>
          <w:color w:val="009999"/>
          <w:sz w:val="18"/>
          <w:szCs w:val="18"/>
        </w:rPr>
        <w:id w:val="213941540"/>
        <w:docPartObj>
          <w:docPartGallery w:val="Page Numbers (Top of Page)"/>
          <w:docPartUnique/>
        </w:docPartObj>
      </w:sdtPr>
      <w:sdtEndPr>
        <w:rPr>
          <w:b/>
          <w:bCs/>
          <w:noProof/>
        </w:rPr>
      </w:sdtEndPr>
      <w:sdtContent>
        <w:r w:rsidR="0034357A">
          <w:rPr>
            <w:color w:val="009999"/>
            <w:sz w:val="18"/>
            <w:szCs w:val="18"/>
          </w:rPr>
          <w:t>State of the Market Report Trafford MBC</w:t>
        </w:r>
        <w:r w:rsidR="0034357A" w:rsidRPr="004B1CF8">
          <w:rPr>
            <w:color w:val="009999"/>
            <w:sz w:val="18"/>
            <w:szCs w:val="18"/>
          </w:rPr>
          <w:tab/>
        </w:r>
        <w:r w:rsidR="0034357A">
          <w:rPr>
            <w:color w:val="009999"/>
            <w:sz w:val="18"/>
            <w:szCs w:val="18"/>
          </w:rPr>
          <w:tab/>
        </w:r>
        <w:r w:rsidR="0034357A" w:rsidRPr="004B1CF8">
          <w:rPr>
            <w:color w:val="009999"/>
            <w:sz w:val="18"/>
            <w:szCs w:val="18"/>
          </w:rPr>
          <w:t xml:space="preserve"> Page | </w:t>
        </w:r>
        <w:r w:rsidR="0034357A" w:rsidRPr="004B1CF8">
          <w:rPr>
            <w:color w:val="009999"/>
            <w:sz w:val="18"/>
            <w:szCs w:val="18"/>
          </w:rPr>
          <w:fldChar w:fldCharType="begin"/>
        </w:r>
        <w:r w:rsidR="0034357A" w:rsidRPr="004B1CF8">
          <w:rPr>
            <w:color w:val="009999"/>
            <w:sz w:val="18"/>
            <w:szCs w:val="18"/>
          </w:rPr>
          <w:instrText xml:space="preserve"> PAGE   \* MERGEFORMAT </w:instrText>
        </w:r>
        <w:r w:rsidR="0034357A" w:rsidRPr="004B1CF8">
          <w:rPr>
            <w:color w:val="009999"/>
            <w:sz w:val="18"/>
            <w:szCs w:val="18"/>
          </w:rPr>
          <w:fldChar w:fldCharType="separate"/>
        </w:r>
        <w:r w:rsidR="0034357A" w:rsidRPr="009F4C14">
          <w:rPr>
            <w:b/>
            <w:bCs/>
            <w:noProof/>
            <w:color w:val="009999"/>
            <w:sz w:val="18"/>
            <w:szCs w:val="18"/>
          </w:rPr>
          <w:t>26</w:t>
        </w:r>
        <w:r w:rsidR="0034357A" w:rsidRPr="004B1CF8">
          <w:rPr>
            <w:b/>
            <w:bCs/>
            <w:noProof/>
            <w:color w:val="009999"/>
            <w:sz w:val="18"/>
            <w:szCs w:val="18"/>
          </w:rPr>
          <w:fldChar w:fldCharType="end"/>
        </w:r>
      </w:sdtContent>
    </w:sdt>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BA7DE9" w14:textId="26CC2273" w:rsidR="0034357A" w:rsidRPr="00185AE8" w:rsidRDefault="0034357A" w:rsidP="0060577A">
    <w:pPr>
      <w:pStyle w:val="Header"/>
      <w:pBdr>
        <w:bottom w:val="single" w:sz="18" w:space="1" w:color="0D5F5D"/>
      </w:pBdr>
      <w:tabs>
        <w:tab w:val="clear" w:pos="4153"/>
        <w:tab w:val="clear" w:pos="8306"/>
        <w:tab w:val="left" w:pos="6855"/>
        <w:tab w:val="right" w:pos="14293"/>
      </w:tabs>
      <w:ind w:right="-29"/>
      <w:rPr>
        <w:b/>
        <w:bCs/>
        <w:color w:val="009999"/>
        <w:sz w:val="18"/>
        <w:szCs w:val="18"/>
      </w:rPr>
    </w:pPr>
    <w:r>
      <w:rPr>
        <w:rFonts w:cstheme="minorHAnsi"/>
        <w:color w:val="009999"/>
        <w:sz w:val="18"/>
        <w:szCs w:val="18"/>
      </w:rPr>
      <w:t>Eden District HNS</w:t>
    </w:r>
    <w:r w:rsidRPr="009D369A">
      <w:rPr>
        <w:rFonts w:cstheme="minorHAnsi"/>
        <w:color w:val="009999"/>
        <w:sz w:val="18"/>
        <w:szCs w:val="18"/>
      </w:rPr>
      <w:t xml:space="preserve"> 201</w:t>
    </w:r>
    <w:r>
      <w:rPr>
        <w:rFonts w:cstheme="minorHAnsi"/>
        <w:color w:val="009999"/>
        <w:sz w:val="18"/>
        <w:szCs w:val="18"/>
      </w:rPr>
      <w:t>8  Final Report</w:t>
    </w:r>
    <w:r w:rsidRPr="004B1CF8">
      <w:rPr>
        <w:color w:val="009999"/>
        <w:sz w:val="18"/>
        <w:szCs w:val="18"/>
      </w:rPr>
      <w:tab/>
    </w:r>
    <w:r>
      <w:rPr>
        <w:color w:val="009999"/>
        <w:sz w:val="18"/>
        <w:szCs w:val="18"/>
      </w:rPr>
      <w:tab/>
    </w:r>
    <w:r w:rsidRPr="004B1CF8">
      <w:rPr>
        <w:color w:val="009999"/>
        <w:sz w:val="18"/>
        <w:szCs w:val="18"/>
      </w:rPr>
      <w:t xml:space="preserve"> Page | </w:t>
    </w:r>
    <w:r w:rsidRPr="004B1CF8">
      <w:rPr>
        <w:color w:val="009999"/>
        <w:sz w:val="18"/>
        <w:szCs w:val="18"/>
      </w:rPr>
      <w:fldChar w:fldCharType="begin"/>
    </w:r>
    <w:r w:rsidRPr="004B1CF8">
      <w:rPr>
        <w:color w:val="009999"/>
        <w:sz w:val="18"/>
        <w:szCs w:val="18"/>
      </w:rPr>
      <w:instrText xml:space="preserve"> PAGE   \* MERGEFORMAT </w:instrText>
    </w:r>
    <w:r w:rsidRPr="004B1CF8">
      <w:rPr>
        <w:color w:val="009999"/>
        <w:sz w:val="18"/>
        <w:szCs w:val="18"/>
      </w:rPr>
      <w:fldChar w:fldCharType="separate"/>
    </w:r>
    <w:r w:rsidR="0035779B" w:rsidRPr="0035779B">
      <w:rPr>
        <w:b/>
        <w:bCs/>
        <w:noProof/>
        <w:color w:val="009999"/>
        <w:sz w:val="18"/>
        <w:szCs w:val="18"/>
      </w:rPr>
      <w:t>33</w:t>
    </w:r>
    <w:r w:rsidRPr="004B1CF8">
      <w:rPr>
        <w:color w:val="009999"/>
        <w:sz w:val="18"/>
        <w:szCs w:val="18"/>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19C01B" w14:textId="00526116" w:rsidR="0034357A" w:rsidRPr="00185AE8" w:rsidRDefault="0034357A" w:rsidP="002B41F6">
    <w:pPr>
      <w:pStyle w:val="Header"/>
      <w:pBdr>
        <w:bottom w:val="single" w:sz="18" w:space="1" w:color="0D5F5D"/>
      </w:pBdr>
      <w:tabs>
        <w:tab w:val="clear" w:pos="4153"/>
        <w:tab w:val="clear" w:pos="8306"/>
        <w:tab w:val="left" w:pos="6855"/>
        <w:tab w:val="right" w:pos="9214"/>
      </w:tabs>
      <w:ind w:right="-29"/>
      <w:rPr>
        <w:b/>
        <w:bCs/>
        <w:color w:val="009999"/>
        <w:sz w:val="18"/>
        <w:szCs w:val="18"/>
      </w:rPr>
    </w:pPr>
    <w:r>
      <w:rPr>
        <w:rFonts w:cstheme="minorHAnsi"/>
        <w:color w:val="009999"/>
        <w:sz w:val="18"/>
        <w:szCs w:val="18"/>
      </w:rPr>
      <w:t>Eden District HNS</w:t>
    </w:r>
    <w:r w:rsidRPr="009D369A">
      <w:rPr>
        <w:rFonts w:cstheme="minorHAnsi"/>
        <w:color w:val="009999"/>
        <w:sz w:val="18"/>
        <w:szCs w:val="18"/>
      </w:rPr>
      <w:t xml:space="preserve"> 201</w:t>
    </w:r>
    <w:r>
      <w:rPr>
        <w:rFonts w:cstheme="minorHAnsi"/>
        <w:color w:val="009999"/>
        <w:sz w:val="18"/>
        <w:szCs w:val="18"/>
      </w:rPr>
      <w:t>8 Final Report</w:t>
    </w:r>
    <w:r w:rsidRPr="004B1CF8">
      <w:rPr>
        <w:color w:val="009999"/>
        <w:sz w:val="18"/>
        <w:szCs w:val="18"/>
      </w:rPr>
      <w:tab/>
    </w:r>
    <w:r>
      <w:rPr>
        <w:color w:val="009999"/>
        <w:sz w:val="18"/>
        <w:szCs w:val="18"/>
      </w:rPr>
      <w:tab/>
    </w:r>
    <w:r w:rsidRPr="004B1CF8">
      <w:rPr>
        <w:color w:val="009999"/>
        <w:sz w:val="18"/>
        <w:szCs w:val="18"/>
      </w:rPr>
      <w:t xml:space="preserve"> Page | </w:t>
    </w:r>
    <w:r w:rsidRPr="004B1CF8">
      <w:rPr>
        <w:color w:val="009999"/>
        <w:sz w:val="18"/>
        <w:szCs w:val="18"/>
      </w:rPr>
      <w:fldChar w:fldCharType="begin"/>
    </w:r>
    <w:r w:rsidRPr="004B1CF8">
      <w:rPr>
        <w:color w:val="009999"/>
        <w:sz w:val="18"/>
        <w:szCs w:val="18"/>
      </w:rPr>
      <w:instrText xml:space="preserve"> PAGE   \* MERGEFORMAT </w:instrText>
    </w:r>
    <w:r w:rsidRPr="004B1CF8">
      <w:rPr>
        <w:color w:val="009999"/>
        <w:sz w:val="18"/>
        <w:szCs w:val="18"/>
      </w:rPr>
      <w:fldChar w:fldCharType="separate"/>
    </w:r>
    <w:r w:rsidR="0035779B" w:rsidRPr="0035779B">
      <w:rPr>
        <w:b/>
        <w:bCs/>
        <w:noProof/>
        <w:color w:val="009999"/>
        <w:sz w:val="18"/>
        <w:szCs w:val="18"/>
      </w:rPr>
      <w:t>34</w:t>
    </w:r>
    <w:r w:rsidRPr="004B1CF8">
      <w:rPr>
        <w:color w:val="009999"/>
        <w:sz w:val="18"/>
        <w:szCs w:val="18"/>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512AF" w14:textId="73632B28" w:rsidR="0034357A" w:rsidRPr="00185AE8" w:rsidRDefault="0034357A" w:rsidP="0060577A">
    <w:pPr>
      <w:pStyle w:val="Header"/>
      <w:pBdr>
        <w:bottom w:val="single" w:sz="18" w:space="1" w:color="0D5F5D"/>
      </w:pBdr>
      <w:tabs>
        <w:tab w:val="clear" w:pos="4153"/>
        <w:tab w:val="clear" w:pos="8306"/>
        <w:tab w:val="left" w:pos="6855"/>
        <w:tab w:val="right" w:pos="14293"/>
      </w:tabs>
      <w:ind w:right="-29"/>
      <w:rPr>
        <w:b/>
        <w:bCs/>
        <w:color w:val="009999"/>
        <w:sz w:val="18"/>
        <w:szCs w:val="18"/>
      </w:rPr>
    </w:pPr>
    <w:r>
      <w:rPr>
        <w:rFonts w:cstheme="minorHAnsi"/>
        <w:color w:val="009999"/>
        <w:sz w:val="18"/>
        <w:szCs w:val="18"/>
      </w:rPr>
      <w:t>Eden District HNS</w:t>
    </w:r>
    <w:r w:rsidRPr="009D369A">
      <w:rPr>
        <w:rFonts w:cstheme="minorHAnsi"/>
        <w:color w:val="009999"/>
        <w:sz w:val="18"/>
        <w:szCs w:val="18"/>
      </w:rPr>
      <w:t xml:space="preserve"> 201</w:t>
    </w:r>
    <w:r>
      <w:rPr>
        <w:rFonts w:cstheme="minorHAnsi"/>
        <w:color w:val="009999"/>
        <w:sz w:val="18"/>
        <w:szCs w:val="18"/>
      </w:rPr>
      <w:t>8  Final Report</w:t>
    </w:r>
    <w:r w:rsidRPr="004B1CF8">
      <w:rPr>
        <w:color w:val="009999"/>
        <w:sz w:val="18"/>
        <w:szCs w:val="18"/>
      </w:rPr>
      <w:tab/>
    </w:r>
    <w:r>
      <w:rPr>
        <w:color w:val="009999"/>
        <w:sz w:val="18"/>
        <w:szCs w:val="18"/>
      </w:rPr>
      <w:tab/>
    </w:r>
    <w:r w:rsidRPr="004B1CF8">
      <w:rPr>
        <w:color w:val="009999"/>
        <w:sz w:val="18"/>
        <w:szCs w:val="18"/>
      </w:rPr>
      <w:t xml:space="preserve"> Page | </w:t>
    </w:r>
    <w:r w:rsidRPr="004B1CF8">
      <w:rPr>
        <w:color w:val="009999"/>
        <w:sz w:val="18"/>
        <w:szCs w:val="18"/>
      </w:rPr>
      <w:fldChar w:fldCharType="begin"/>
    </w:r>
    <w:r w:rsidRPr="004B1CF8">
      <w:rPr>
        <w:color w:val="009999"/>
        <w:sz w:val="18"/>
        <w:szCs w:val="18"/>
      </w:rPr>
      <w:instrText xml:space="preserve"> PAGE   \* MERGEFORMAT </w:instrText>
    </w:r>
    <w:r w:rsidRPr="004B1CF8">
      <w:rPr>
        <w:color w:val="009999"/>
        <w:sz w:val="18"/>
        <w:szCs w:val="18"/>
      </w:rPr>
      <w:fldChar w:fldCharType="separate"/>
    </w:r>
    <w:r w:rsidR="0035779B" w:rsidRPr="0035779B">
      <w:rPr>
        <w:b/>
        <w:bCs/>
        <w:noProof/>
        <w:color w:val="009999"/>
        <w:sz w:val="18"/>
        <w:szCs w:val="18"/>
      </w:rPr>
      <w:t>35</w:t>
    </w:r>
    <w:r w:rsidRPr="004B1CF8">
      <w:rPr>
        <w:color w:val="009999"/>
        <w:sz w:val="18"/>
        <w:szCs w:val="18"/>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64DE8" w14:textId="3E7B9724" w:rsidR="0034357A" w:rsidRPr="00ED0E47" w:rsidRDefault="0034357A" w:rsidP="002B41F6">
    <w:pPr>
      <w:pStyle w:val="Header"/>
      <w:pBdr>
        <w:bottom w:val="single" w:sz="18" w:space="1" w:color="0D5F5D"/>
      </w:pBdr>
      <w:tabs>
        <w:tab w:val="clear" w:pos="4153"/>
        <w:tab w:val="clear" w:pos="8306"/>
        <w:tab w:val="left" w:pos="6855"/>
        <w:tab w:val="right" w:pos="9214"/>
      </w:tabs>
      <w:ind w:right="-29"/>
      <w:rPr>
        <w:rFonts w:cstheme="minorHAnsi"/>
        <w:color w:val="009999"/>
        <w:sz w:val="18"/>
        <w:szCs w:val="18"/>
      </w:rPr>
    </w:pPr>
    <w:r>
      <w:rPr>
        <w:rFonts w:cstheme="minorHAnsi"/>
        <w:color w:val="009999"/>
        <w:sz w:val="18"/>
        <w:szCs w:val="18"/>
      </w:rPr>
      <w:t>Eden District HNS</w:t>
    </w:r>
    <w:r w:rsidRPr="009D369A">
      <w:rPr>
        <w:rFonts w:cstheme="minorHAnsi"/>
        <w:color w:val="009999"/>
        <w:sz w:val="18"/>
        <w:szCs w:val="18"/>
      </w:rPr>
      <w:t xml:space="preserve"> 201</w:t>
    </w:r>
    <w:r>
      <w:rPr>
        <w:rFonts w:cstheme="minorHAnsi"/>
        <w:color w:val="009999"/>
        <w:sz w:val="18"/>
        <w:szCs w:val="18"/>
      </w:rPr>
      <w:t>8  Final Report</w:t>
    </w:r>
    <w:r w:rsidRPr="004B1CF8">
      <w:rPr>
        <w:color w:val="009999"/>
        <w:sz w:val="18"/>
        <w:szCs w:val="18"/>
      </w:rPr>
      <w:tab/>
    </w:r>
    <w:r>
      <w:rPr>
        <w:color w:val="009999"/>
        <w:sz w:val="18"/>
        <w:szCs w:val="18"/>
      </w:rPr>
      <w:tab/>
    </w:r>
    <w:r w:rsidRPr="004B1CF8">
      <w:rPr>
        <w:color w:val="009999"/>
        <w:sz w:val="18"/>
        <w:szCs w:val="18"/>
      </w:rPr>
      <w:t xml:space="preserve"> Page | </w:t>
    </w:r>
    <w:r w:rsidRPr="004B1CF8">
      <w:rPr>
        <w:color w:val="009999"/>
        <w:sz w:val="18"/>
        <w:szCs w:val="18"/>
      </w:rPr>
      <w:fldChar w:fldCharType="begin"/>
    </w:r>
    <w:r w:rsidRPr="004B1CF8">
      <w:rPr>
        <w:color w:val="009999"/>
        <w:sz w:val="18"/>
        <w:szCs w:val="18"/>
      </w:rPr>
      <w:instrText xml:space="preserve"> PAGE   \* MERGEFORMAT </w:instrText>
    </w:r>
    <w:r w:rsidRPr="004B1CF8">
      <w:rPr>
        <w:color w:val="009999"/>
        <w:sz w:val="18"/>
        <w:szCs w:val="18"/>
      </w:rPr>
      <w:fldChar w:fldCharType="separate"/>
    </w:r>
    <w:r w:rsidR="0035779B" w:rsidRPr="0035779B">
      <w:rPr>
        <w:b/>
        <w:bCs/>
        <w:noProof/>
        <w:color w:val="009999"/>
        <w:sz w:val="18"/>
        <w:szCs w:val="18"/>
      </w:rPr>
      <w:t>51</w:t>
    </w:r>
    <w:r w:rsidRPr="004B1CF8">
      <w:rPr>
        <w:color w:val="009999"/>
        <w:sz w:val="18"/>
        <w:szCs w:val="18"/>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B4180D" w14:textId="266220D0" w:rsidR="0034357A" w:rsidRPr="00955F3D" w:rsidRDefault="0034357A" w:rsidP="002B41F6">
    <w:pPr>
      <w:pStyle w:val="Header"/>
      <w:pBdr>
        <w:bottom w:val="single" w:sz="18" w:space="1" w:color="0D5F5D"/>
      </w:pBdr>
      <w:tabs>
        <w:tab w:val="clear" w:pos="4153"/>
        <w:tab w:val="clear" w:pos="8306"/>
        <w:tab w:val="left" w:pos="6855"/>
        <w:tab w:val="right" w:pos="14175"/>
      </w:tabs>
      <w:ind w:right="-29"/>
      <w:rPr>
        <w:rFonts w:cs="Calibri"/>
        <w:b/>
        <w:bCs/>
        <w:color w:val="009999"/>
        <w:sz w:val="18"/>
        <w:szCs w:val="18"/>
      </w:rPr>
    </w:pPr>
    <w:r>
      <w:rPr>
        <w:color w:val="009999"/>
        <w:sz w:val="18"/>
        <w:szCs w:val="18"/>
      </w:rPr>
      <w:t>Eden District HNS 2018  Final Report</w:t>
    </w:r>
    <w:r w:rsidRPr="004B1CF8">
      <w:rPr>
        <w:color w:val="009999"/>
        <w:sz w:val="18"/>
        <w:szCs w:val="18"/>
      </w:rPr>
      <w:tab/>
    </w:r>
    <w:r>
      <w:rPr>
        <w:color w:val="009999"/>
        <w:sz w:val="18"/>
        <w:szCs w:val="18"/>
      </w:rPr>
      <w:tab/>
    </w:r>
    <w:r w:rsidRPr="00955F3D">
      <w:rPr>
        <w:rFonts w:cs="Calibri"/>
        <w:color w:val="009999"/>
        <w:sz w:val="18"/>
        <w:szCs w:val="18"/>
      </w:rPr>
      <w:t xml:space="preserve"> Page | </w:t>
    </w:r>
    <w:r w:rsidRPr="00955F3D">
      <w:rPr>
        <w:rFonts w:cs="Calibri"/>
        <w:color w:val="009999"/>
        <w:sz w:val="18"/>
        <w:szCs w:val="18"/>
      </w:rPr>
      <w:fldChar w:fldCharType="begin"/>
    </w:r>
    <w:r w:rsidRPr="00955F3D">
      <w:rPr>
        <w:rFonts w:cs="Calibri"/>
        <w:color w:val="009999"/>
        <w:sz w:val="18"/>
        <w:szCs w:val="18"/>
      </w:rPr>
      <w:instrText xml:space="preserve"> PAGE   \* MERGEFORMAT </w:instrText>
    </w:r>
    <w:r w:rsidRPr="00955F3D">
      <w:rPr>
        <w:rFonts w:cs="Calibri"/>
        <w:color w:val="009999"/>
        <w:sz w:val="18"/>
        <w:szCs w:val="18"/>
      </w:rPr>
      <w:fldChar w:fldCharType="separate"/>
    </w:r>
    <w:r w:rsidR="0035779B" w:rsidRPr="0035779B">
      <w:rPr>
        <w:rFonts w:cs="Calibri"/>
        <w:b/>
        <w:bCs/>
        <w:noProof/>
        <w:color w:val="009999"/>
        <w:sz w:val="18"/>
        <w:szCs w:val="18"/>
      </w:rPr>
      <w:t>52</w:t>
    </w:r>
    <w:r w:rsidRPr="00955F3D">
      <w:rPr>
        <w:rFonts w:cs="Calibri"/>
        <w:color w:val="009999"/>
        <w:sz w:val="18"/>
        <w:szCs w:val="18"/>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1610E" w14:textId="4A7527D8" w:rsidR="0034357A" w:rsidRPr="00ED0E47" w:rsidRDefault="00A65AAD" w:rsidP="00ED0E47">
    <w:pPr>
      <w:pStyle w:val="Header"/>
      <w:pBdr>
        <w:bottom w:val="single" w:sz="18" w:space="1" w:color="0D5F5D"/>
      </w:pBdr>
      <w:tabs>
        <w:tab w:val="clear" w:pos="4153"/>
        <w:tab w:val="clear" w:pos="8306"/>
        <w:tab w:val="left" w:pos="6855"/>
        <w:tab w:val="right" w:pos="9214"/>
        <w:tab w:val="right" w:pos="14034"/>
      </w:tabs>
      <w:ind w:right="-29"/>
      <w:rPr>
        <w:b/>
        <w:bCs/>
        <w:color w:val="009999"/>
        <w:sz w:val="18"/>
        <w:szCs w:val="18"/>
      </w:rPr>
    </w:pPr>
    <w:sdt>
      <w:sdtPr>
        <w:rPr>
          <w:color w:val="009999"/>
          <w:sz w:val="18"/>
          <w:szCs w:val="18"/>
        </w:rPr>
        <w:id w:val="589817044"/>
        <w:docPartObj>
          <w:docPartGallery w:val="Page Numbers (Top of Page)"/>
          <w:docPartUnique/>
        </w:docPartObj>
      </w:sdtPr>
      <w:sdtEndPr>
        <w:rPr>
          <w:b/>
          <w:bCs/>
          <w:noProof/>
        </w:rPr>
      </w:sdtEndPr>
      <w:sdtContent>
        <w:r w:rsidR="0034357A">
          <w:rPr>
            <w:color w:val="009999"/>
            <w:sz w:val="18"/>
            <w:szCs w:val="18"/>
          </w:rPr>
          <w:t>Eden District HNS 2018 Final Report</w:t>
        </w:r>
        <w:r w:rsidR="0034357A" w:rsidRPr="004B1CF8">
          <w:rPr>
            <w:color w:val="009999"/>
            <w:sz w:val="18"/>
            <w:szCs w:val="18"/>
          </w:rPr>
          <w:tab/>
        </w:r>
        <w:r w:rsidR="0034357A">
          <w:rPr>
            <w:color w:val="009999"/>
            <w:sz w:val="18"/>
            <w:szCs w:val="18"/>
          </w:rPr>
          <w:tab/>
        </w:r>
        <w:r w:rsidR="0034357A" w:rsidRPr="004B1CF8">
          <w:rPr>
            <w:color w:val="009999"/>
            <w:sz w:val="18"/>
            <w:szCs w:val="18"/>
          </w:rPr>
          <w:t xml:space="preserve"> Page | </w:t>
        </w:r>
        <w:r w:rsidR="0034357A" w:rsidRPr="004B1CF8">
          <w:rPr>
            <w:color w:val="009999"/>
            <w:sz w:val="18"/>
            <w:szCs w:val="18"/>
          </w:rPr>
          <w:fldChar w:fldCharType="begin"/>
        </w:r>
        <w:r w:rsidR="0034357A" w:rsidRPr="004B1CF8">
          <w:rPr>
            <w:color w:val="009999"/>
            <w:sz w:val="18"/>
            <w:szCs w:val="18"/>
          </w:rPr>
          <w:instrText xml:space="preserve"> PAGE   \* MERGEFORMAT </w:instrText>
        </w:r>
        <w:r w:rsidR="0034357A" w:rsidRPr="004B1CF8">
          <w:rPr>
            <w:color w:val="009999"/>
            <w:sz w:val="18"/>
            <w:szCs w:val="18"/>
          </w:rPr>
          <w:fldChar w:fldCharType="separate"/>
        </w:r>
        <w:r w:rsidR="0035779B">
          <w:rPr>
            <w:noProof/>
            <w:color w:val="009999"/>
            <w:sz w:val="18"/>
            <w:szCs w:val="18"/>
          </w:rPr>
          <w:t>68</w:t>
        </w:r>
        <w:r w:rsidR="0034357A" w:rsidRPr="004B1CF8">
          <w:rPr>
            <w:b/>
            <w:bCs/>
            <w:noProof/>
            <w:color w:val="009999"/>
            <w:sz w:val="18"/>
            <w:szCs w:val="18"/>
          </w:rPr>
          <w:fldChar w:fldCharType="end"/>
        </w:r>
      </w:sdtContent>
    </w:sdt>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1B310" w14:textId="17028E68" w:rsidR="0034357A" w:rsidRPr="00ED0E47" w:rsidRDefault="00A65AAD" w:rsidP="00ED0E47">
    <w:pPr>
      <w:pStyle w:val="Header"/>
      <w:pBdr>
        <w:bottom w:val="single" w:sz="18" w:space="1" w:color="0D5F5D"/>
      </w:pBdr>
      <w:tabs>
        <w:tab w:val="clear" w:pos="4153"/>
        <w:tab w:val="clear" w:pos="8306"/>
        <w:tab w:val="left" w:pos="6855"/>
        <w:tab w:val="right" w:pos="14293"/>
      </w:tabs>
      <w:ind w:right="-29"/>
      <w:rPr>
        <w:b/>
        <w:bCs/>
        <w:color w:val="009999"/>
        <w:sz w:val="18"/>
        <w:szCs w:val="18"/>
      </w:rPr>
    </w:pPr>
    <w:sdt>
      <w:sdtPr>
        <w:rPr>
          <w:color w:val="009999"/>
          <w:sz w:val="18"/>
          <w:szCs w:val="18"/>
        </w:rPr>
        <w:id w:val="289024814"/>
        <w:docPartObj>
          <w:docPartGallery w:val="Page Numbers (Top of Page)"/>
          <w:docPartUnique/>
        </w:docPartObj>
      </w:sdtPr>
      <w:sdtEndPr>
        <w:rPr>
          <w:b/>
          <w:bCs/>
          <w:noProof/>
        </w:rPr>
      </w:sdtEndPr>
      <w:sdtContent>
        <w:r w:rsidR="0034357A">
          <w:rPr>
            <w:color w:val="009999"/>
            <w:sz w:val="18"/>
            <w:szCs w:val="18"/>
          </w:rPr>
          <w:t>Eden District HNS 2018 Final Report</w:t>
        </w:r>
        <w:r w:rsidR="0034357A" w:rsidRPr="004B1CF8">
          <w:rPr>
            <w:color w:val="009999"/>
            <w:sz w:val="18"/>
            <w:szCs w:val="18"/>
          </w:rPr>
          <w:tab/>
        </w:r>
        <w:r w:rsidR="0034357A">
          <w:rPr>
            <w:color w:val="009999"/>
            <w:sz w:val="18"/>
            <w:szCs w:val="18"/>
          </w:rPr>
          <w:tab/>
        </w:r>
        <w:r w:rsidR="0034357A" w:rsidRPr="004B1CF8">
          <w:rPr>
            <w:color w:val="009999"/>
            <w:sz w:val="18"/>
            <w:szCs w:val="18"/>
          </w:rPr>
          <w:t xml:space="preserve"> Page | </w:t>
        </w:r>
        <w:r w:rsidR="0034357A" w:rsidRPr="004B1CF8">
          <w:rPr>
            <w:color w:val="009999"/>
            <w:sz w:val="18"/>
            <w:szCs w:val="18"/>
          </w:rPr>
          <w:fldChar w:fldCharType="begin"/>
        </w:r>
        <w:r w:rsidR="0034357A" w:rsidRPr="004B1CF8">
          <w:rPr>
            <w:color w:val="009999"/>
            <w:sz w:val="18"/>
            <w:szCs w:val="18"/>
          </w:rPr>
          <w:instrText xml:space="preserve"> PAGE   \* MERGEFORMAT </w:instrText>
        </w:r>
        <w:r w:rsidR="0034357A" w:rsidRPr="004B1CF8">
          <w:rPr>
            <w:color w:val="009999"/>
            <w:sz w:val="18"/>
            <w:szCs w:val="18"/>
          </w:rPr>
          <w:fldChar w:fldCharType="separate"/>
        </w:r>
        <w:r w:rsidR="0035779B">
          <w:rPr>
            <w:noProof/>
            <w:color w:val="009999"/>
            <w:sz w:val="18"/>
            <w:szCs w:val="18"/>
          </w:rPr>
          <w:t>69</w:t>
        </w:r>
        <w:r w:rsidR="0034357A" w:rsidRPr="004B1CF8">
          <w:rPr>
            <w:b/>
            <w:bCs/>
            <w:noProof/>
            <w:color w:val="009999"/>
            <w:sz w:val="18"/>
            <w:szCs w:val="18"/>
          </w:rPr>
          <w:fldChar w:fldCharType="end"/>
        </w:r>
      </w:sdtContent>
    </w:sdt>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ACE006" w14:textId="6EBF0028" w:rsidR="0034357A" w:rsidRPr="00E24FF5" w:rsidRDefault="00A65AAD" w:rsidP="0060577A">
    <w:pPr>
      <w:pStyle w:val="Header"/>
      <w:pBdr>
        <w:bottom w:val="single" w:sz="18" w:space="1" w:color="0D5F5D"/>
      </w:pBdr>
      <w:tabs>
        <w:tab w:val="clear" w:pos="4153"/>
        <w:tab w:val="clear" w:pos="8306"/>
        <w:tab w:val="left" w:pos="6855"/>
        <w:tab w:val="right" w:pos="9214"/>
        <w:tab w:val="right" w:pos="14034"/>
      </w:tabs>
      <w:ind w:right="-29"/>
      <w:rPr>
        <w:b/>
        <w:bCs/>
        <w:color w:val="009999"/>
        <w:sz w:val="18"/>
        <w:szCs w:val="18"/>
      </w:rPr>
    </w:pPr>
    <w:sdt>
      <w:sdtPr>
        <w:rPr>
          <w:color w:val="009999"/>
          <w:sz w:val="18"/>
          <w:szCs w:val="18"/>
        </w:rPr>
        <w:id w:val="316692678"/>
        <w:docPartObj>
          <w:docPartGallery w:val="Page Numbers (Top of Page)"/>
          <w:docPartUnique/>
        </w:docPartObj>
      </w:sdtPr>
      <w:sdtEndPr>
        <w:rPr>
          <w:b/>
          <w:bCs/>
          <w:noProof/>
        </w:rPr>
      </w:sdtEndPr>
      <w:sdtContent>
        <w:r w:rsidR="0034357A">
          <w:rPr>
            <w:color w:val="009999"/>
            <w:sz w:val="18"/>
            <w:szCs w:val="18"/>
          </w:rPr>
          <w:t>Eden District HNS 2018 Final Report</w:t>
        </w:r>
        <w:r w:rsidR="0034357A" w:rsidRPr="004B1CF8">
          <w:rPr>
            <w:color w:val="009999"/>
            <w:sz w:val="18"/>
            <w:szCs w:val="18"/>
          </w:rPr>
          <w:tab/>
        </w:r>
        <w:r w:rsidR="0034357A">
          <w:rPr>
            <w:color w:val="009999"/>
            <w:sz w:val="18"/>
            <w:szCs w:val="18"/>
          </w:rPr>
          <w:tab/>
        </w:r>
        <w:r w:rsidR="0034357A" w:rsidRPr="004B1CF8">
          <w:rPr>
            <w:color w:val="009999"/>
            <w:sz w:val="18"/>
            <w:szCs w:val="18"/>
          </w:rPr>
          <w:t xml:space="preserve"> Page | </w:t>
        </w:r>
        <w:r w:rsidR="0034357A" w:rsidRPr="004B1CF8">
          <w:rPr>
            <w:color w:val="009999"/>
            <w:sz w:val="18"/>
            <w:szCs w:val="18"/>
          </w:rPr>
          <w:fldChar w:fldCharType="begin"/>
        </w:r>
        <w:r w:rsidR="0034357A" w:rsidRPr="004B1CF8">
          <w:rPr>
            <w:color w:val="009999"/>
            <w:sz w:val="18"/>
            <w:szCs w:val="18"/>
          </w:rPr>
          <w:instrText xml:space="preserve"> PAGE   \* MERGEFORMAT </w:instrText>
        </w:r>
        <w:r w:rsidR="0034357A" w:rsidRPr="004B1CF8">
          <w:rPr>
            <w:color w:val="009999"/>
            <w:sz w:val="18"/>
            <w:szCs w:val="18"/>
          </w:rPr>
          <w:fldChar w:fldCharType="separate"/>
        </w:r>
        <w:r w:rsidR="0035779B" w:rsidRPr="0035779B">
          <w:rPr>
            <w:b/>
            <w:bCs/>
            <w:noProof/>
            <w:color w:val="009999"/>
            <w:sz w:val="18"/>
            <w:szCs w:val="18"/>
          </w:rPr>
          <w:t>80</w:t>
        </w:r>
        <w:r w:rsidR="0034357A" w:rsidRPr="004B1CF8">
          <w:rPr>
            <w:b/>
            <w:bCs/>
            <w:noProof/>
            <w:color w:val="009999"/>
            <w:sz w:val="18"/>
            <w:szCs w:val="18"/>
          </w:rPr>
          <w:fldChar w:fldCharType="end"/>
        </w:r>
      </w:sdtContent>
    </w:sdt>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F2AED8" w14:textId="4BA9ED92" w:rsidR="0034357A" w:rsidRPr="00E24FF5" w:rsidRDefault="00A65AAD" w:rsidP="00ED0E47">
    <w:pPr>
      <w:pStyle w:val="Header"/>
      <w:pBdr>
        <w:bottom w:val="single" w:sz="18" w:space="1" w:color="0D5F5D"/>
      </w:pBdr>
      <w:tabs>
        <w:tab w:val="clear" w:pos="4153"/>
        <w:tab w:val="clear" w:pos="8306"/>
        <w:tab w:val="left" w:pos="6855"/>
        <w:tab w:val="right" w:pos="14293"/>
      </w:tabs>
      <w:ind w:right="-29"/>
      <w:rPr>
        <w:b/>
        <w:bCs/>
        <w:color w:val="009999"/>
        <w:sz w:val="18"/>
        <w:szCs w:val="18"/>
      </w:rPr>
    </w:pPr>
    <w:sdt>
      <w:sdtPr>
        <w:rPr>
          <w:color w:val="009999"/>
          <w:sz w:val="18"/>
          <w:szCs w:val="18"/>
        </w:rPr>
        <w:id w:val="1939482480"/>
        <w:docPartObj>
          <w:docPartGallery w:val="Page Numbers (Top of Page)"/>
          <w:docPartUnique/>
        </w:docPartObj>
      </w:sdtPr>
      <w:sdtEndPr>
        <w:rPr>
          <w:b/>
          <w:bCs/>
          <w:noProof/>
        </w:rPr>
      </w:sdtEndPr>
      <w:sdtContent>
        <w:r w:rsidR="0034357A">
          <w:rPr>
            <w:color w:val="009999"/>
            <w:sz w:val="18"/>
            <w:szCs w:val="18"/>
          </w:rPr>
          <w:t>Eden District HNS 2018 Final Report</w:t>
        </w:r>
        <w:r w:rsidR="0034357A" w:rsidRPr="004B1CF8">
          <w:rPr>
            <w:color w:val="009999"/>
            <w:sz w:val="18"/>
            <w:szCs w:val="18"/>
          </w:rPr>
          <w:tab/>
        </w:r>
        <w:r w:rsidR="0034357A">
          <w:rPr>
            <w:color w:val="009999"/>
            <w:sz w:val="18"/>
            <w:szCs w:val="18"/>
          </w:rPr>
          <w:tab/>
        </w:r>
        <w:r w:rsidR="0034357A" w:rsidRPr="004B1CF8">
          <w:rPr>
            <w:color w:val="009999"/>
            <w:sz w:val="18"/>
            <w:szCs w:val="18"/>
          </w:rPr>
          <w:t xml:space="preserve"> Page | </w:t>
        </w:r>
        <w:r w:rsidR="0034357A" w:rsidRPr="004B1CF8">
          <w:rPr>
            <w:color w:val="009999"/>
            <w:sz w:val="18"/>
            <w:szCs w:val="18"/>
          </w:rPr>
          <w:fldChar w:fldCharType="begin"/>
        </w:r>
        <w:r w:rsidR="0034357A" w:rsidRPr="004B1CF8">
          <w:rPr>
            <w:color w:val="009999"/>
            <w:sz w:val="18"/>
            <w:szCs w:val="18"/>
          </w:rPr>
          <w:instrText xml:space="preserve"> PAGE   \* MERGEFORMAT </w:instrText>
        </w:r>
        <w:r w:rsidR="0034357A" w:rsidRPr="004B1CF8">
          <w:rPr>
            <w:color w:val="009999"/>
            <w:sz w:val="18"/>
            <w:szCs w:val="18"/>
          </w:rPr>
          <w:fldChar w:fldCharType="separate"/>
        </w:r>
        <w:r w:rsidR="0035779B" w:rsidRPr="0035779B">
          <w:rPr>
            <w:b/>
            <w:bCs/>
            <w:noProof/>
            <w:color w:val="009999"/>
            <w:sz w:val="18"/>
            <w:szCs w:val="18"/>
          </w:rPr>
          <w:t>81</w:t>
        </w:r>
        <w:r w:rsidR="0034357A" w:rsidRPr="004B1CF8">
          <w:rPr>
            <w:b/>
            <w:bCs/>
            <w:noProof/>
            <w:color w:val="009999"/>
            <w:sz w:val="18"/>
            <w:szCs w:val="18"/>
          </w:rPr>
          <w:fldChar w:fldCharType="end"/>
        </w:r>
      </w:sdtContent>
    </w:sdt>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21DD92" w14:textId="1DB67099" w:rsidR="0034357A" w:rsidRPr="0076184E" w:rsidRDefault="00A65AAD" w:rsidP="00BA2B77">
    <w:pPr>
      <w:pStyle w:val="Header"/>
      <w:pBdr>
        <w:bottom w:val="single" w:sz="18" w:space="1" w:color="0D5F5D"/>
      </w:pBdr>
      <w:tabs>
        <w:tab w:val="clear" w:pos="4153"/>
        <w:tab w:val="clear" w:pos="8306"/>
        <w:tab w:val="right" w:pos="9214"/>
      </w:tabs>
      <w:ind w:right="-29"/>
      <w:rPr>
        <w:rFonts w:cs="Calibri"/>
        <w:b/>
        <w:bCs/>
        <w:color w:val="009999"/>
        <w:sz w:val="18"/>
        <w:szCs w:val="18"/>
      </w:rPr>
    </w:pPr>
    <w:sdt>
      <w:sdtPr>
        <w:rPr>
          <w:rFonts w:cs="Calibri"/>
          <w:color w:val="009999"/>
          <w:sz w:val="18"/>
          <w:szCs w:val="18"/>
        </w:rPr>
        <w:id w:val="-1113598132"/>
        <w:docPartObj>
          <w:docPartGallery w:val="Page Numbers (Top of Page)"/>
          <w:docPartUnique/>
        </w:docPartObj>
      </w:sdtPr>
      <w:sdtEndPr>
        <w:rPr>
          <w:b/>
          <w:bCs/>
          <w:noProof/>
        </w:rPr>
      </w:sdtEndPr>
      <w:sdtContent>
        <w:r w:rsidR="0034357A">
          <w:rPr>
            <w:color w:val="009999"/>
            <w:sz w:val="18"/>
            <w:szCs w:val="18"/>
          </w:rPr>
          <w:t>Eden District HNS 2018 Final Report</w:t>
        </w:r>
        <w:r w:rsidR="0034357A" w:rsidRPr="0076184E">
          <w:rPr>
            <w:rFonts w:cs="Calibri"/>
            <w:color w:val="009999"/>
            <w:sz w:val="18"/>
            <w:szCs w:val="18"/>
          </w:rPr>
          <w:tab/>
          <w:t xml:space="preserve"> Page | </w:t>
        </w:r>
        <w:r w:rsidR="0034357A" w:rsidRPr="0076184E">
          <w:rPr>
            <w:rFonts w:cs="Calibri"/>
            <w:color w:val="009999"/>
            <w:sz w:val="18"/>
            <w:szCs w:val="18"/>
          </w:rPr>
          <w:fldChar w:fldCharType="begin"/>
        </w:r>
        <w:r w:rsidR="0034357A" w:rsidRPr="0076184E">
          <w:rPr>
            <w:rFonts w:cs="Calibri"/>
            <w:color w:val="009999"/>
            <w:sz w:val="18"/>
            <w:szCs w:val="18"/>
          </w:rPr>
          <w:instrText xml:space="preserve"> PAGE   \* MERGEFORMAT </w:instrText>
        </w:r>
        <w:r w:rsidR="0034357A" w:rsidRPr="0076184E">
          <w:rPr>
            <w:rFonts w:cs="Calibri"/>
            <w:color w:val="009999"/>
            <w:sz w:val="18"/>
            <w:szCs w:val="18"/>
          </w:rPr>
          <w:fldChar w:fldCharType="separate"/>
        </w:r>
        <w:r w:rsidR="0035779B" w:rsidRPr="0035779B">
          <w:rPr>
            <w:rFonts w:cs="Calibri"/>
            <w:b/>
            <w:bCs/>
            <w:noProof/>
            <w:color w:val="009999"/>
            <w:sz w:val="18"/>
            <w:szCs w:val="18"/>
          </w:rPr>
          <w:t>94</w:t>
        </w:r>
        <w:r w:rsidR="0034357A" w:rsidRPr="0076184E">
          <w:rPr>
            <w:rFonts w:cs="Calibri"/>
            <w:b/>
            <w:bCs/>
            <w:noProof/>
            <w:color w:val="009999"/>
            <w:sz w:val="18"/>
            <w:szCs w:val="18"/>
          </w:rPr>
          <w:fldChar w:fldCharType="end"/>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2704FB" w14:textId="72BFCC41" w:rsidR="0034357A" w:rsidRPr="00B30FC7" w:rsidRDefault="00A65AAD" w:rsidP="002B41F6">
    <w:pPr>
      <w:pStyle w:val="Header"/>
      <w:pBdr>
        <w:bottom w:val="single" w:sz="18" w:space="1" w:color="0D5F5D"/>
      </w:pBdr>
      <w:tabs>
        <w:tab w:val="clear" w:pos="4153"/>
        <w:tab w:val="clear" w:pos="8306"/>
        <w:tab w:val="right" w:pos="9214"/>
        <w:tab w:val="right" w:pos="14317"/>
      </w:tabs>
      <w:ind w:right="-29"/>
      <w:rPr>
        <w:rFonts w:asciiTheme="minorHAnsi" w:hAnsiTheme="minorHAnsi" w:cs="Arial"/>
        <w:b/>
        <w:bCs/>
        <w:color w:val="009999"/>
        <w:sz w:val="18"/>
        <w:szCs w:val="18"/>
      </w:rPr>
    </w:pPr>
    <w:sdt>
      <w:sdtPr>
        <w:rPr>
          <w:rFonts w:asciiTheme="minorHAnsi" w:hAnsiTheme="minorHAnsi" w:cs="Arial"/>
          <w:color w:val="009999"/>
          <w:sz w:val="18"/>
          <w:szCs w:val="18"/>
        </w:rPr>
        <w:id w:val="1488507174"/>
        <w:docPartObj>
          <w:docPartGallery w:val="Page Numbers (Top of Page)"/>
          <w:docPartUnique/>
        </w:docPartObj>
      </w:sdtPr>
      <w:sdtEndPr>
        <w:rPr>
          <w:b/>
          <w:bCs/>
          <w:noProof/>
        </w:rPr>
      </w:sdtEndPr>
      <w:sdtContent>
        <w:r w:rsidR="0034357A" w:rsidRPr="00B30FC7">
          <w:rPr>
            <w:rFonts w:asciiTheme="minorHAnsi" w:hAnsiTheme="minorHAnsi" w:cs="Arial"/>
            <w:color w:val="009999"/>
            <w:sz w:val="18"/>
            <w:szCs w:val="18"/>
          </w:rPr>
          <w:t>Eden District HNS 2018</w:t>
        </w:r>
        <w:r w:rsidR="0034357A">
          <w:rPr>
            <w:rFonts w:asciiTheme="minorHAnsi" w:hAnsiTheme="minorHAnsi" w:cs="Arial"/>
            <w:color w:val="009999"/>
            <w:sz w:val="18"/>
            <w:szCs w:val="18"/>
          </w:rPr>
          <w:t xml:space="preserve"> </w:t>
        </w:r>
        <w:r w:rsidR="0034357A" w:rsidRPr="00B30FC7">
          <w:rPr>
            <w:rFonts w:asciiTheme="minorHAnsi" w:hAnsiTheme="minorHAnsi" w:cs="Arial"/>
            <w:color w:val="009999"/>
            <w:sz w:val="18"/>
            <w:szCs w:val="18"/>
          </w:rPr>
          <w:t xml:space="preserve"> Fina</w:t>
        </w:r>
        <w:r w:rsidR="0034357A">
          <w:rPr>
            <w:rFonts w:asciiTheme="minorHAnsi" w:hAnsiTheme="minorHAnsi" w:cs="Arial"/>
            <w:color w:val="009999"/>
            <w:sz w:val="18"/>
            <w:szCs w:val="18"/>
          </w:rPr>
          <w:t>l</w:t>
        </w:r>
        <w:r w:rsidR="0034357A" w:rsidRPr="00B30FC7">
          <w:rPr>
            <w:rFonts w:asciiTheme="minorHAnsi" w:hAnsiTheme="minorHAnsi" w:cs="Arial"/>
            <w:color w:val="009999"/>
            <w:sz w:val="18"/>
            <w:szCs w:val="18"/>
          </w:rPr>
          <w:t xml:space="preserve"> Report</w:t>
        </w:r>
        <w:r w:rsidR="0034357A" w:rsidRPr="00B30FC7">
          <w:rPr>
            <w:rFonts w:asciiTheme="minorHAnsi" w:hAnsiTheme="minorHAnsi" w:cs="Arial"/>
            <w:color w:val="009999"/>
            <w:sz w:val="18"/>
            <w:szCs w:val="18"/>
          </w:rPr>
          <w:tab/>
          <w:t xml:space="preserve"> Page | </w:t>
        </w:r>
        <w:r w:rsidR="0034357A" w:rsidRPr="00B30FC7">
          <w:rPr>
            <w:rFonts w:asciiTheme="minorHAnsi" w:hAnsiTheme="minorHAnsi" w:cs="Arial"/>
            <w:color w:val="009999"/>
            <w:sz w:val="18"/>
            <w:szCs w:val="18"/>
          </w:rPr>
          <w:fldChar w:fldCharType="begin"/>
        </w:r>
        <w:r w:rsidR="0034357A" w:rsidRPr="00B30FC7">
          <w:rPr>
            <w:rFonts w:asciiTheme="minorHAnsi" w:hAnsiTheme="minorHAnsi" w:cs="Arial"/>
            <w:color w:val="009999"/>
            <w:sz w:val="18"/>
            <w:szCs w:val="18"/>
          </w:rPr>
          <w:instrText xml:space="preserve"> PAGE   \* MERGEFORMAT </w:instrText>
        </w:r>
        <w:r w:rsidR="0034357A" w:rsidRPr="00B30FC7">
          <w:rPr>
            <w:rFonts w:asciiTheme="minorHAnsi" w:hAnsiTheme="minorHAnsi" w:cs="Arial"/>
            <w:color w:val="009999"/>
            <w:sz w:val="18"/>
            <w:szCs w:val="18"/>
          </w:rPr>
          <w:fldChar w:fldCharType="separate"/>
        </w:r>
        <w:r w:rsidR="0035779B" w:rsidRPr="0035779B">
          <w:rPr>
            <w:rFonts w:asciiTheme="minorHAnsi" w:hAnsiTheme="minorHAnsi" w:cs="Arial"/>
            <w:b/>
            <w:bCs/>
            <w:noProof/>
            <w:color w:val="009999"/>
            <w:sz w:val="18"/>
            <w:szCs w:val="18"/>
          </w:rPr>
          <w:t>20</w:t>
        </w:r>
        <w:r w:rsidR="0034357A" w:rsidRPr="00B30FC7">
          <w:rPr>
            <w:rFonts w:asciiTheme="minorHAnsi" w:hAnsiTheme="minorHAnsi" w:cs="Arial"/>
            <w:b/>
            <w:bCs/>
            <w:noProof/>
            <w:color w:val="009999"/>
            <w:sz w:val="18"/>
            <w:szCs w:val="18"/>
          </w:rPr>
          <w:fldChar w:fldCharType="end"/>
        </w:r>
      </w:sdtContent>
    </w:sdt>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AF702" w14:textId="77777777" w:rsidR="0034357A" w:rsidRPr="0076184E" w:rsidRDefault="00A65AAD" w:rsidP="003106AD">
    <w:pPr>
      <w:pStyle w:val="Header"/>
      <w:pBdr>
        <w:bottom w:val="single" w:sz="18" w:space="1" w:color="0D5F5D"/>
      </w:pBdr>
      <w:tabs>
        <w:tab w:val="clear" w:pos="4153"/>
        <w:tab w:val="clear" w:pos="8306"/>
        <w:tab w:val="right" w:pos="14293"/>
      </w:tabs>
      <w:ind w:right="-29"/>
      <w:rPr>
        <w:rFonts w:cs="Calibri"/>
        <w:b/>
        <w:bCs/>
        <w:color w:val="009999"/>
        <w:sz w:val="18"/>
        <w:szCs w:val="18"/>
      </w:rPr>
    </w:pPr>
    <w:sdt>
      <w:sdtPr>
        <w:rPr>
          <w:rFonts w:cs="Calibri"/>
          <w:color w:val="009999"/>
          <w:sz w:val="18"/>
          <w:szCs w:val="18"/>
        </w:rPr>
        <w:id w:val="-284804858"/>
        <w:docPartObj>
          <w:docPartGallery w:val="Page Numbers (Top of Page)"/>
          <w:docPartUnique/>
        </w:docPartObj>
      </w:sdtPr>
      <w:sdtEndPr>
        <w:rPr>
          <w:b/>
          <w:bCs/>
          <w:noProof/>
        </w:rPr>
      </w:sdtEndPr>
      <w:sdtContent>
        <w:r w:rsidR="0034357A">
          <w:rPr>
            <w:color w:val="009999"/>
            <w:sz w:val="18"/>
            <w:szCs w:val="18"/>
          </w:rPr>
          <w:t>Eden District HNS 2018 Final Report</w:t>
        </w:r>
        <w:r w:rsidR="0034357A" w:rsidRPr="0076184E">
          <w:rPr>
            <w:rFonts w:cs="Calibri"/>
            <w:color w:val="009999"/>
            <w:sz w:val="18"/>
            <w:szCs w:val="18"/>
          </w:rPr>
          <w:tab/>
          <w:t xml:space="preserve"> Page | </w:t>
        </w:r>
        <w:r w:rsidR="0034357A" w:rsidRPr="0076184E">
          <w:rPr>
            <w:rFonts w:cs="Calibri"/>
            <w:color w:val="009999"/>
            <w:sz w:val="18"/>
            <w:szCs w:val="18"/>
          </w:rPr>
          <w:fldChar w:fldCharType="begin"/>
        </w:r>
        <w:r w:rsidR="0034357A" w:rsidRPr="0076184E">
          <w:rPr>
            <w:rFonts w:cs="Calibri"/>
            <w:color w:val="009999"/>
            <w:sz w:val="18"/>
            <w:szCs w:val="18"/>
          </w:rPr>
          <w:instrText xml:space="preserve"> PAGE   \* MERGEFORMAT </w:instrText>
        </w:r>
        <w:r w:rsidR="0034357A" w:rsidRPr="0076184E">
          <w:rPr>
            <w:rFonts w:cs="Calibri"/>
            <w:color w:val="009999"/>
            <w:sz w:val="18"/>
            <w:szCs w:val="18"/>
          </w:rPr>
          <w:fldChar w:fldCharType="separate"/>
        </w:r>
        <w:r w:rsidR="0035779B" w:rsidRPr="0035779B">
          <w:rPr>
            <w:rFonts w:cs="Calibri"/>
            <w:b/>
            <w:bCs/>
            <w:noProof/>
            <w:color w:val="009999"/>
            <w:sz w:val="18"/>
            <w:szCs w:val="18"/>
          </w:rPr>
          <w:t>95</w:t>
        </w:r>
        <w:r w:rsidR="0034357A" w:rsidRPr="0076184E">
          <w:rPr>
            <w:rFonts w:cs="Calibri"/>
            <w:b/>
            <w:bCs/>
            <w:noProof/>
            <w:color w:val="009999"/>
            <w:sz w:val="18"/>
            <w:szCs w:val="18"/>
          </w:rPr>
          <w:fldChar w:fldCharType="end"/>
        </w:r>
      </w:sdtContent>
    </w:sdt>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047FBD" w14:textId="77777777" w:rsidR="0034357A" w:rsidRPr="0076184E" w:rsidRDefault="00A65AAD" w:rsidP="00BA2B77">
    <w:pPr>
      <w:pStyle w:val="Header"/>
      <w:pBdr>
        <w:bottom w:val="single" w:sz="18" w:space="1" w:color="0D5F5D"/>
      </w:pBdr>
      <w:tabs>
        <w:tab w:val="clear" w:pos="4153"/>
        <w:tab w:val="clear" w:pos="8306"/>
        <w:tab w:val="right" w:pos="9214"/>
      </w:tabs>
      <w:ind w:right="-29"/>
      <w:rPr>
        <w:rFonts w:cs="Calibri"/>
        <w:b/>
        <w:bCs/>
        <w:color w:val="009999"/>
        <w:sz w:val="18"/>
        <w:szCs w:val="18"/>
      </w:rPr>
    </w:pPr>
    <w:sdt>
      <w:sdtPr>
        <w:rPr>
          <w:rFonts w:cs="Calibri"/>
          <w:color w:val="009999"/>
          <w:sz w:val="18"/>
          <w:szCs w:val="18"/>
        </w:rPr>
        <w:id w:val="290713879"/>
        <w:docPartObj>
          <w:docPartGallery w:val="Page Numbers (Top of Page)"/>
          <w:docPartUnique/>
        </w:docPartObj>
      </w:sdtPr>
      <w:sdtEndPr>
        <w:rPr>
          <w:b/>
          <w:bCs/>
          <w:noProof/>
        </w:rPr>
      </w:sdtEndPr>
      <w:sdtContent>
        <w:r w:rsidR="0034357A">
          <w:rPr>
            <w:color w:val="009999"/>
            <w:sz w:val="18"/>
            <w:szCs w:val="18"/>
          </w:rPr>
          <w:t>Eden District HNS 2018 Final Report</w:t>
        </w:r>
        <w:r w:rsidR="0034357A" w:rsidRPr="0076184E">
          <w:rPr>
            <w:rFonts w:cs="Calibri"/>
            <w:color w:val="009999"/>
            <w:sz w:val="18"/>
            <w:szCs w:val="18"/>
          </w:rPr>
          <w:tab/>
          <w:t xml:space="preserve"> Page | </w:t>
        </w:r>
        <w:r w:rsidR="0034357A" w:rsidRPr="0076184E">
          <w:rPr>
            <w:rFonts w:cs="Calibri"/>
            <w:color w:val="009999"/>
            <w:sz w:val="18"/>
            <w:szCs w:val="18"/>
          </w:rPr>
          <w:fldChar w:fldCharType="begin"/>
        </w:r>
        <w:r w:rsidR="0034357A" w:rsidRPr="0076184E">
          <w:rPr>
            <w:rFonts w:cs="Calibri"/>
            <w:color w:val="009999"/>
            <w:sz w:val="18"/>
            <w:szCs w:val="18"/>
          </w:rPr>
          <w:instrText xml:space="preserve"> PAGE   \* MERGEFORMAT </w:instrText>
        </w:r>
        <w:r w:rsidR="0034357A" w:rsidRPr="0076184E">
          <w:rPr>
            <w:rFonts w:cs="Calibri"/>
            <w:color w:val="009999"/>
            <w:sz w:val="18"/>
            <w:szCs w:val="18"/>
          </w:rPr>
          <w:fldChar w:fldCharType="separate"/>
        </w:r>
        <w:r w:rsidR="0035779B" w:rsidRPr="0035779B">
          <w:rPr>
            <w:rFonts w:cs="Calibri"/>
            <w:b/>
            <w:bCs/>
            <w:noProof/>
            <w:color w:val="009999"/>
            <w:sz w:val="18"/>
            <w:szCs w:val="18"/>
          </w:rPr>
          <w:t>101</w:t>
        </w:r>
        <w:r w:rsidR="0034357A" w:rsidRPr="0076184E">
          <w:rPr>
            <w:rFonts w:cs="Calibri"/>
            <w:b/>
            <w:bCs/>
            <w:noProof/>
            <w:color w:val="009999"/>
            <w:sz w:val="18"/>
            <w:szCs w:val="18"/>
          </w:rPr>
          <w:fldChar w:fldCharType="end"/>
        </w:r>
      </w:sdtContent>
    </w:sdt>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D9B26A" w14:textId="77777777" w:rsidR="0034357A" w:rsidRPr="0076184E" w:rsidRDefault="00A65AAD" w:rsidP="00BA2B77">
    <w:pPr>
      <w:pStyle w:val="Header"/>
      <w:pBdr>
        <w:bottom w:val="single" w:sz="18" w:space="1" w:color="0D5F5D"/>
      </w:pBdr>
      <w:tabs>
        <w:tab w:val="clear" w:pos="4153"/>
        <w:tab w:val="clear" w:pos="8306"/>
        <w:tab w:val="right" w:pos="9214"/>
      </w:tabs>
      <w:ind w:right="-29"/>
      <w:rPr>
        <w:rFonts w:cs="Calibri"/>
        <w:b/>
        <w:bCs/>
        <w:color w:val="009999"/>
        <w:sz w:val="18"/>
        <w:szCs w:val="18"/>
      </w:rPr>
    </w:pPr>
    <w:sdt>
      <w:sdtPr>
        <w:rPr>
          <w:rFonts w:cs="Calibri"/>
          <w:color w:val="009999"/>
          <w:sz w:val="18"/>
          <w:szCs w:val="18"/>
        </w:rPr>
        <w:id w:val="1923676166"/>
        <w:docPartObj>
          <w:docPartGallery w:val="Page Numbers (Top of Page)"/>
          <w:docPartUnique/>
        </w:docPartObj>
      </w:sdtPr>
      <w:sdtEndPr>
        <w:rPr>
          <w:b/>
          <w:bCs/>
          <w:noProof/>
        </w:rPr>
      </w:sdtEndPr>
      <w:sdtContent>
        <w:r w:rsidR="0034357A">
          <w:rPr>
            <w:color w:val="009999"/>
            <w:sz w:val="18"/>
            <w:szCs w:val="18"/>
          </w:rPr>
          <w:t>Eden District HNS 2018 Final Report</w:t>
        </w:r>
        <w:r w:rsidR="0034357A" w:rsidRPr="0076184E">
          <w:rPr>
            <w:rFonts w:cs="Calibri"/>
            <w:color w:val="009999"/>
            <w:sz w:val="18"/>
            <w:szCs w:val="18"/>
          </w:rPr>
          <w:tab/>
          <w:t xml:space="preserve"> Page | </w:t>
        </w:r>
        <w:r w:rsidR="0034357A" w:rsidRPr="0076184E">
          <w:rPr>
            <w:rFonts w:cs="Calibri"/>
            <w:color w:val="009999"/>
            <w:sz w:val="18"/>
            <w:szCs w:val="18"/>
          </w:rPr>
          <w:fldChar w:fldCharType="begin"/>
        </w:r>
        <w:r w:rsidR="0034357A" w:rsidRPr="0076184E">
          <w:rPr>
            <w:rFonts w:cs="Calibri"/>
            <w:color w:val="009999"/>
            <w:sz w:val="18"/>
            <w:szCs w:val="18"/>
          </w:rPr>
          <w:instrText xml:space="preserve"> PAGE   \* MERGEFORMAT </w:instrText>
        </w:r>
        <w:r w:rsidR="0034357A" w:rsidRPr="0076184E">
          <w:rPr>
            <w:rFonts w:cs="Calibri"/>
            <w:color w:val="009999"/>
            <w:sz w:val="18"/>
            <w:szCs w:val="18"/>
          </w:rPr>
          <w:fldChar w:fldCharType="separate"/>
        </w:r>
        <w:r w:rsidR="0035779B" w:rsidRPr="0035779B">
          <w:rPr>
            <w:rFonts w:cs="Calibri"/>
            <w:b/>
            <w:bCs/>
            <w:noProof/>
            <w:color w:val="009999"/>
            <w:sz w:val="18"/>
            <w:szCs w:val="18"/>
          </w:rPr>
          <w:t>115</w:t>
        </w:r>
        <w:r w:rsidR="0034357A" w:rsidRPr="0076184E">
          <w:rPr>
            <w:rFonts w:cs="Calibri"/>
            <w:b/>
            <w:bCs/>
            <w:noProof/>
            <w:color w:val="009999"/>
            <w:sz w:val="18"/>
            <w:szCs w:val="18"/>
          </w:rPr>
          <w:fldChar w:fldCharType="end"/>
        </w:r>
      </w:sdtContent>
    </w:sdt>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FC5EDB" w14:textId="4DA70700" w:rsidR="0034357A" w:rsidRPr="00E11B87" w:rsidRDefault="00A65AAD" w:rsidP="00BA2B77">
    <w:pPr>
      <w:pStyle w:val="Header"/>
      <w:pBdr>
        <w:bottom w:val="single" w:sz="18" w:space="1" w:color="0D5F5D"/>
      </w:pBdr>
      <w:tabs>
        <w:tab w:val="clear" w:pos="4153"/>
        <w:tab w:val="clear" w:pos="8306"/>
        <w:tab w:val="right" w:pos="14006"/>
      </w:tabs>
      <w:ind w:right="-29"/>
      <w:rPr>
        <w:rFonts w:cs="Calibri"/>
        <w:b/>
        <w:bCs/>
        <w:color w:val="009999"/>
        <w:sz w:val="18"/>
        <w:szCs w:val="18"/>
      </w:rPr>
    </w:pPr>
    <w:sdt>
      <w:sdtPr>
        <w:rPr>
          <w:rFonts w:cs="Calibri"/>
          <w:color w:val="009999"/>
          <w:sz w:val="18"/>
          <w:szCs w:val="18"/>
        </w:rPr>
        <w:id w:val="-176119145"/>
        <w:docPartObj>
          <w:docPartGallery w:val="Page Numbers (Top of Page)"/>
          <w:docPartUnique/>
        </w:docPartObj>
      </w:sdtPr>
      <w:sdtEndPr>
        <w:rPr>
          <w:b/>
          <w:bCs/>
          <w:noProof/>
        </w:rPr>
      </w:sdtEndPr>
      <w:sdtContent>
        <w:r w:rsidR="0034357A">
          <w:rPr>
            <w:color w:val="009999"/>
            <w:sz w:val="18"/>
            <w:szCs w:val="18"/>
          </w:rPr>
          <w:t>Eden District HNS 2018  Final Report</w:t>
        </w:r>
        <w:r w:rsidR="0034357A" w:rsidRPr="00E11B87">
          <w:rPr>
            <w:rFonts w:cs="Calibri"/>
            <w:color w:val="009999"/>
            <w:sz w:val="18"/>
            <w:szCs w:val="18"/>
          </w:rPr>
          <w:tab/>
          <w:t xml:space="preserve">Page | </w:t>
        </w:r>
        <w:r w:rsidR="0034357A" w:rsidRPr="00E11B87">
          <w:rPr>
            <w:rFonts w:cs="Calibri"/>
            <w:color w:val="009999"/>
            <w:sz w:val="18"/>
            <w:szCs w:val="18"/>
          </w:rPr>
          <w:fldChar w:fldCharType="begin"/>
        </w:r>
        <w:r w:rsidR="0034357A" w:rsidRPr="00E11B87">
          <w:rPr>
            <w:rFonts w:cs="Calibri"/>
            <w:color w:val="009999"/>
            <w:sz w:val="18"/>
            <w:szCs w:val="18"/>
          </w:rPr>
          <w:instrText xml:space="preserve"> PAGE   \* MERGEFORMAT </w:instrText>
        </w:r>
        <w:r w:rsidR="0034357A" w:rsidRPr="00E11B87">
          <w:rPr>
            <w:rFonts w:cs="Calibri"/>
            <w:color w:val="009999"/>
            <w:sz w:val="18"/>
            <w:szCs w:val="18"/>
          </w:rPr>
          <w:fldChar w:fldCharType="separate"/>
        </w:r>
        <w:r w:rsidR="0035779B" w:rsidRPr="0035779B">
          <w:rPr>
            <w:rFonts w:cs="Calibri"/>
            <w:b/>
            <w:bCs/>
            <w:noProof/>
            <w:color w:val="009999"/>
            <w:sz w:val="18"/>
            <w:szCs w:val="18"/>
          </w:rPr>
          <w:t>116</w:t>
        </w:r>
        <w:r w:rsidR="0034357A" w:rsidRPr="00E11B87">
          <w:rPr>
            <w:rFonts w:cs="Calibri"/>
            <w:b/>
            <w:bCs/>
            <w:noProof/>
            <w:color w:val="009999"/>
            <w:sz w:val="18"/>
            <w:szCs w:val="18"/>
          </w:rPr>
          <w:fldChar w:fldCharType="end"/>
        </w:r>
      </w:sdtContent>
    </w:sdt>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EB4B3E" w14:textId="229D0ACB" w:rsidR="0034357A" w:rsidRPr="00E11B87" w:rsidRDefault="00A65AAD" w:rsidP="00BA2B77">
    <w:pPr>
      <w:pStyle w:val="Header"/>
      <w:pBdr>
        <w:bottom w:val="single" w:sz="18" w:space="1" w:color="0D5F5D"/>
      </w:pBdr>
      <w:tabs>
        <w:tab w:val="clear" w:pos="4153"/>
        <w:tab w:val="clear" w:pos="8306"/>
        <w:tab w:val="right" w:pos="9356"/>
      </w:tabs>
      <w:ind w:right="-29"/>
      <w:rPr>
        <w:rFonts w:cs="Calibri"/>
        <w:b/>
        <w:bCs/>
        <w:color w:val="009999"/>
        <w:sz w:val="18"/>
        <w:szCs w:val="18"/>
      </w:rPr>
    </w:pPr>
    <w:sdt>
      <w:sdtPr>
        <w:rPr>
          <w:rFonts w:cs="Calibri"/>
          <w:color w:val="009999"/>
          <w:sz w:val="18"/>
          <w:szCs w:val="18"/>
        </w:rPr>
        <w:id w:val="-732386791"/>
        <w:docPartObj>
          <w:docPartGallery w:val="Page Numbers (Top of Page)"/>
          <w:docPartUnique/>
        </w:docPartObj>
      </w:sdtPr>
      <w:sdtEndPr>
        <w:rPr>
          <w:b/>
          <w:bCs/>
          <w:noProof/>
        </w:rPr>
      </w:sdtEndPr>
      <w:sdtContent>
        <w:r w:rsidR="0034357A">
          <w:rPr>
            <w:color w:val="009999"/>
            <w:sz w:val="18"/>
            <w:szCs w:val="18"/>
          </w:rPr>
          <w:t>Eden District HNS 2018 Final Report</w:t>
        </w:r>
        <w:r w:rsidR="0034357A" w:rsidRPr="00E11B87">
          <w:rPr>
            <w:rFonts w:cs="Calibri"/>
            <w:color w:val="009999"/>
            <w:sz w:val="18"/>
            <w:szCs w:val="18"/>
          </w:rPr>
          <w:tab/>
          <w:t xml:space="preserve"> Page | </w:t>
        </w:r>
        <w:r w:rsidR="0034357A" w:rsidRPr="00E11B87">
          <w:rPr>
            <w:rFonts w:cs="Calibri"/>
            <w:color w:val="009999"/>
            <w:sz w:val="18"/>
            <w:szCs w:val="18"/>
          </w:rPr>
          <w:fldChar w:fldCharType="begin"/>
        </w:r>
        <w:r w:rsidR="0034357A" w:rsidRPr="00E11B87">
          <w:rPr>
            <w:rFonts w:cs="Calibri"/>
            <w:color w:val="009999"/>
            <w:sz w:val="18"/>
            <w:szCs w:val="18"/>
          </w:rPr>
          <w:instrText xml:space="preserve"> PAGE   \* MERGEFORMAT </w:instrText>
        </w:r>
        <w:r w:rsidR="0034357A" w:rsidRPr="00E11B87">
          <w:rPr>
            <w:rFonts w:cs="Calibri"/>
            <w:color w:val="009999"/>
            <w:sz w:val="18"/>
            <w:szCs w:val="18"/>
          </w:rPr>
          <w:fldChar w:fldCharType="separate"/>
        </w:r>
        <w:r w:rsidR="0035779B" w:rsidRPr="0035779B">
          <w:rPr>
            <w:rFonts w:cs="Calibri"/>
            <w:b/>
            <w:bCs/>
            <w:noProof/>
            <w:color w:val="009999"/>
            <w:sz w:val="18"/>
            <w:szCs w:val="18"/>
          </w:rPr>
          <w:t>118</w:t>
        </w:r>
        <w:r w:rsidR="0034357A" w:rsidRPr="00E11B87">
          <w:rPr>
            <w:rFonts w:cs="Calibri"/>
            <w:b/>
            <w:bCs/>
            <w:noProof/>
            <w:color w:val="009999"/>
            <w:sz w:val="18"/>
            <w:szCs w:val="18"/>
          </w:rPr>
          <w:fldChar w:fldCharType="end"/>
        </w:r>
      </w:sdtContent>
    </w:sdt>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773606" w14:textId="24F6F14B" w:rsidR="0034357A" w:rsidRPr="00E11B87" w:rsidRDefault="00A65AAD" w:rsidP="00BA2B77">
    <w:pPr>
      <w:pStyle w:val="Header"/>
      <w:pBdr>
        <w:bottom w:val="single" w:sz="18" w:space="1" w:color="0D5F5D"/>
      </w:pBdr>
      <w:tabs>
        <w:tab w:val="clear" w:pos="4153"/>
        <w:tab w:val="clear" w:pos="8306"/>
        <w:tab w:val="right" w:pos="14006"/>
      </w:tabs>
      <w:ind w:right="-29"/>
      <w:rPr>
        <w:rFonts w:cs="Calibri"/>
        <w:b/>
        <w:bCs/>
        <w:color w:val="009999"/>
        <w:sz w:val="18"/>
        <w:szCs w:val="18"/>
      </w:rPr>
    </w:pPr>
    <w:sdt>
      <w:sdtPr>
        <w:rPr>
          <w:rFonts w:cs="Calibri"/>
          <w:color w:val="009999"/>
          <w:sz w:val="18"/>
          <w:szCs w:val="18"/>
        </w:rPr>
        <w:id w:val="-221918147"/>
        <w:docPartObj>
          <w:docPartGallery w:val="Page Numbers (Top of Page)"/>
          <w:docPartUnique/>
        </w:docPartObj>
      </w:sdtPr>
      <w:sdtEndPr>
        <w:rPr>
          <w:b/>
          <w:bCs/>
          <w:noProof/>
        </w:rPr>
      </w:sdtEndPr>
      <w:sdtContent>
        <w:r w:rsidR="0034357A">
          <w:rPr>
            <w:color w:val="009999"/>
            <w:sz w:val="18"/>
            <w:szCs w:val="18"/>
          </w:rPr>
          <w:t>Eden District HNS 2018  Final Report</w:t>
        </w:r>
        <w:r w:rsidR="0034357A" w:rsidRPr="00E11B87">
          <w:rPr>
            <w:rFonts w:cs="Calibri"/>
            <w:color w:val="009999"/>
            <w:sz w:val="18"/>
            <w:szCs w:val="18"/>
          </w:rPr>
          <w:tab/>
          <w:t xml:space="preserve"> Page | </w:t>
        </w:r>
        <w:r w:rsidR="0034357A" w:rsidRPr="00E11B87">
          <w:rPr>
            <w:rFonts w:cs="Calibri"/>
            <w:color w:val="009999"/>
            <w:sz w:val="18"/>
            <w:szCs w:val="18"/>
          </w:rPr>
          <w:fldChar w:fldCharType="begin"/>
        </w:r>
        <w:r w:rsidR="0034357A" w:rsidRPr="00E11B87">
          <w:rPr>
            <w:rFonts w:cs="Calibri"/>
            <w:color w:val="009999"/>
            <w:sz w:val="18"/>
            <w:szCs w:val="18"/>
          </w:rPr>
          <w:instrText xml:space="preserve"> PAGE   \* MERGEFORMAT </w:instrText>
        </w:r>
        <w:r w:rsidR="0034357A" w:rsidRPr="00E11B87">
          <w:rPr>
            <w:rFonts w:cs="Calibri"/>
            <w:color w:val="009999"/>
            <w:sz w:val="18"/>
            <w:szCs w:val="18"/>
          </w:rPr>
          <w:fldChar w:fldCharType="separate"/>
        </w:r>
        <w:r w:rsidR="0035779B" w:rsidRPr="0035779B">
          <w:rPr>
            <w:rFonts w:cs="Calibri"/>
            <w:b/>
            <w:bCs/>
            <w:noProof/>
            <w:color w:val="009999"/>
            <w:sz w:val="18"/>
            <w:szCs w:val="18"/>
          </w:rPr>
          <w:t>119</w:t>
        </w:r>
        <w:r w:rsidR="0034357A" w:rsidRPr="00E11B87">
          <w:rPr>
            <w:rFonts w:cs="Calibri"/>
            <w:b/>
            <w:bCs/>
            <w:noProof/>
            <w:color w:val="009999"/>
            <w:sz w:val="18"/>
            <w:szCs w:val="18"/>
          </w:rPr>
          <w:fldChar w:fldCharType="end"/>
        </w:r>
      </w:sdtContent>
    </w:sdt>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B72278" w14:textId="29AE5E76" w:rsidR="0034357A" w:rsidRPr="00E24FF5" w:rsidRDefault="00A65AAD" w:rsidP="0060577A">
    <w:pPr>
      <w:pStyle w:val="Header"/>
      <w:pBdr>
        <w:bottom w:val="single" w:sz="18" w:space="1" w:color="0D5F5D"/>
      </w:pBdr>
      <w:tabs>
        <w:tab w:val="clear" w:pos="4153"/>
        <w:tab w:val="clear" w:pos="8306"/>
        <w:tab w:val="left" w:pos="6855"/>
        <w:tab w:val="right" w:pos="9214"/>
        <w:tab w:val="right" w:pos="14034"/>
      </w:tabs>
      <w:ind w:right="-29"/>
      <w:jc w:val="left"/>
      <w:rPr>
        <w:b/>
        <w:bCs/>
        <w:color w:val="009999"/>
        <w:sz w:val="18"/>
        <w:szCs w:val="18"/>
      </w:rPr>
    </w:pPr>
    <w:sdt>
      <w:sdtPr>
        <w:rPr>
          <w:color w:val="009999"/>
          <w:sz w:val="18"/>
          <w:szCs w:val="18"/>
        </w:rPr>
        <w:id w:val="975343024"/>
        <w:docPartObj>
          <w:docPartGallery w:val="Page Numbers (Top of Page)"/>
          <w:docPartUnique/>
        </w:docPartObj>
      </w:sdtPr>
      <w:sdtEndPr>
        <w:rPr>
          <w:b/>
          <w:bCs/>
          <w:noProof/>
        </w:rPr>
      </w:sdtEndPr>
      <w:sdtContent>
        <w:r w:rsidR="0034357A">
          <w:rPr>
            <w:color w:val="009999"/>
            <w:sz w:val="18"/>
            <w:szCs w:val="18"/>
          </w:rPr>
          <w:t>Eden District HNS 2018 Final Report</w:t>
        </w:r>
        <w:r w:rsidR="0034357A" w:rsidRPr="004B1CF8">
          <w:rPr>
            <w:color w:val="009999"/>
            <w:sz w:val="18"/>
            <w:szCs w:val="18"/>
          </w:rPr>
          <w:tab/>
        </w:r>
        <w:r w:rsidR="0034357A">
          <w:rPr>
            <w:color w:val="009999"/>
            <w:sz w:val="18"/>
            <w:szCs w:val="18"/>
          </w:rPr>
          <w:tab/>
        </w:r>
        <w:r w:rsidR="0034357A" w:rsidRPr="004B1CF8">
          <w:rPr>
            <w:color w:val="009999"/>
            <w:sz w:val="18"/>
            <w:szCs w:val="18"/>
          </w:rPr>
          <w:t xml:space="preserve"> Page | </w:t>
        </w:r>
        <w:r w:rsidR="0034357A" w:rsidRPr="004B1CF8">
          <w:rPr>
            <w:color w:val="009999"/>
            <w:sz w:val="18"/>
            <w:szCs w:val="18"/>
          </w:rPr>
          <w:fldChar w:fldCharType="begin"/>
        </w:r>
        <w:r w:rsidR="0034357A" w:rsidRPr="004B1CF8">
          <w:rPr>
            <w:color w:val="009999"/>
            <w:sz w:val="18"/>
            <w:szCs w:val="18"/>
          </w:rPr>
          <w:instrText xml:space="preserve"> PAGE   \* MERGEFORMAT </w:instrText>
        </w:r>
        <w:r w:rsidR="0034357A" w:rsidRPr="004B1CF8">
          <w:rPr>
            <w:color w:val="009999"/>
            <w:sz w:val="18"/>
            <w:szCs w:val="18"/>
          </w:rPr>
          <w:fldChar w:fldCharType="separate"/>
        </w:r>
        <w:r w:rsidR="0035779B" w:rsidRPr="0035779B">
          <w:rPr>
            <w:b/>
            <w:bCs/>
            <w:noProof/>
            <w:color w:val="009999"/>
            <w:sz w:val="18"/>
            <w:szCs w:val="18"/>
          </w:rPr>
          <w:t>139</w:t>
        </w:r>
        <w:r w:rsidR="0034357A" w:rsidRPr="004B1CF8">
          <w:rPr>
            <w:b/>
            <w:bCs/>
            <w:noProof/>
            <w:color w:val="009999"/>
            <w:sz w:val="18"/>
            <w:szCs w:val="18"/>
          </w:rPr>
          <w:fldChar w:fldCharType="end"/>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91663" w14:textId="2CE9E5C1" w:rsidR="0034357A" w:rsidRPr="00332AFA" w:rsidRDefault="00A65AAD" w:rsidP="002B41F6">
    <w:pPr>
      <w:pStyle w:val="Header"/>
      <w:pBdr>
        <w:bottom w:val="single" w:sz="18" w:space="1" w:color="0D5F5D"/>
      </w:pBdr>
      <w:tabs>
        <w:tab w:val="clear" w:pos="4153"/>
        <w:tab w:val="clear" w:pos="8306"/>
        <w:tab w:val="right" w:pos="14175"/>
      </w:tabs>
      <w:ind w:right="-29"/>
      <w:rPr>
        <w:rFonts w:cs="Calibri"/>
        <w:b/>
        <w:bCs/>
        <w:color w:val="009999"/>
        <w:sz w:val="18"/>
        <w:szCs w:val="18"/>
      </w:rPr>
    </w:pPr>
    <w:sdt>
      <w:sdtPr>
        <w:rPr>
          <w:rFonts w:cs="Calibri"/>
          <w:color w:val="009999"/>
          <w:sz w:val="18"/>
          <w:szCs w:val="18"/>
        </w:rPr>
        <w:id w:val="-1007362217"/>
        <w:docPartObj>
          <w:docPartGallery w:val="Page Numbers (Top of Page)"/>
          <w:docPartUnique/>
        </w:docPartObj>
      </w:sdtPr>
      <w:sdtEndPr>
        <w:rPr>
          <w:b/>
          <w:bCs/>
          <w:noProof/>
        </w:rPr>
      </w:sdtEndPr>
      <w:sdtContent>
        <w:r w:rsidR="0034357A">
          <w:rPr>
            <w:rFonts w:cstheme="minorHAnsi"/>
            <w:color w:val="009999"/>
            <w:sz w:val="18"/>
            <w:szCs w:val="18"/>
          </w:rPr>
          <w:t>Eden District HNS</w:t>
        </w:r>
        <w:r w:rsidR="0034357A" w:rsidRPr="009D369A">
          <w:rPr>
            <w:rFonts w:cstheme="minorHAnsi"/>
            <w:color w:val="009999"/>
            <w:sz w:val="18"/>
            <w:szCs w:val="18"/>
          </w:rPr>
          <w:t xml:space="preserve"> 201</w:t>
        </w:r>
        <w:r w:rsidR="0034357A">
          <w:rPr>
            <w:rFonts w:cstheme="minorHAnsi"/>
            <w:color w:val="009999"/>
            <w:sz w:val="18"/>
            <w:szCs w:val="18"/>
          </w:rPr>
          <w:t>8 Final Report</w:t>
        </w:r>
        <w:r w:rsidR="0034357A" w:rsidRPr="00332AFA">
          <w:rPr>
            <w:rFonts w:cs="Calibri"/>
            <w:color w:val="009999"/>
            <w:sz w:val="18"/>
            <w:szCs w:val="18"/>
          </w:rPr>
          <w:tab/>
          <w:t xml:space="preserve"> Page | </w:t>
        </w:r>
        <w:r w:rsidR="0034357A" w:rsidRPr="00332AFA">
          <w:rPr>
            <w:rFonts w:cs="Calibri"/>
            <w:color w:val="009999"/>
            <w:sz w:val="18"/>
            <w:szCs w:val="18"/>
          </w:rPr>
          <w:fldChar w:fldCharType="begin"/>
        </w:r>
        <w:r w:rsidR="0034357A" w:rsidRPr="00332AFA">
          <w:rPr>
            <w:rFonts w:cs="Calibri"/>
            <w:color w:val="009999"/>
            <w:sz w:val="18"/>
            <w:szCs w:val="18"/>
          </w:rPr>
          <w:instrText xml:space="preserve"> PAGE   \* MERGEFORMAT </w:instrText>
        </w:r>
        <w:r w:rsidR="0034357A" w:rsidRPr="00332AFA">
          <w:rPr>
            <w:rFonts w:cs="Calibri"/>
            <w:color w:val="009999"/>
            <w:sz w:val="18"/>
            <w:szCs w:val="18"/>
          </w:rPr>
          <w:fldChar w:fldCharType="separate"/>
        </w:r>
        <w:r w:rsidR="0035779B" w:rsidRPr="0035779B">
          <w:rPr>
            <w:rFonts w:cs="Calibri"/>
            <w:b/>
            <w:bCs/>
            <w:noProof/>
            <w:color w:val="009999"/>
            <w:sz w:val="18"/>
            <w:szCs w:val="18"/>
          </w:rPr>
          <w:t>21</w:t>
        </w:r>
        <w:r w:rsidR="0034357A" w:rsidRPr="00332AFA">
          <w:rPr>
            <w:rFonts w:cs="Calibri"/>
            <w:b/>
            <w:bCs/>
            <w:noProof/>
            <w:color w:val="009999"/>
            <w:sz w:val="18"/>
            <w:szCs w:val="18"/>
          </w:rPr>
          <w:fldChar w:fldCharType="end"/>
        </w:r>
      </w:sdtContent>
    </w:sdt>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34F7CD" w14:textId="565EFAA8" w:rsidR="0034357A" w:rsidRPr="00ED0E47" w:rsidRDefault="00A65AAD" w:rsidP="00ED0E47">
    <w:pPr>
      <w:pStyle w:val="Header"/>
      <w:pBdr>
        <w:bottom w:val="single" w:sz="18" w:space="1" w:color="0D5F5D"/>
      </w:pBdr>
      <w:tabs>
        <w:tab w:val="clear" w:pos="4153"/>
        <w:tab w:val="clear" w:pos="8306"/>
        <w:tab w:val="left" w:pos="6855"/>
        <w:tab w:val="right" w:pos="9214"/>
        <w:tab w:val="right" w:pos="14034"/>
      </w:tabs>
      <w:ind w:right="-29"/>
      <w:rPr>
        <w:b/>
        <w:bCs/>
        <w:color w:val="009999"/>
        <w:sz w:val="18"/>
        <w:szCs w:val="18"/>
      </w:rPr>
    </w:pPr>
    <w:sdt>
      <w:sdtPr>
        <w:rPr>
          <w:color w:val="009999"/>
          <w:sz w:val="18"/>
          <w:szCs w:val="18"/>
        </w:rPr>
        <w:id w:val="-1733688459"/>
        <w:docPartObj>
          <w:docPartGallery w:val="Page Numbers (Top of Page)"/>
          <w:docPartUnique/>
        </w:docPartObj>
      </w:sdtPr>
      <w:sdtEndPr>
        <w:rPr>
          <w:b/>
          <w:bCs/>
          <w:noProof/>
        </w:rPr>
      </w:sdtEndPr>
      <w:sdtContent>
        <w:r w:rsidR="0034357A">
          <w:rPr>
            <w:color w:val="009999"/>
            <w:sz w:val="18"/>
            <w:szCs w:val="18"/>
          </w:rPr>
          <w:t>Eden District HNS 2018 Final Report</w:t>
        </w:r>
        <w:r w:rsidR="0034357A" w:rsidRPr="004B1CF8">
          <w:rPr>
            <w:color w:val="009999"/>
            <w:sz w:val="18"/>
            <w:szCs w:val="18"/>
          </w:rPr>
          <w:tab/>
        </w:r>
        <w:r w:rsidR="0034357A">
          <w:rPr>
            <w:color w:val="009999"/>
            <w:sz w:val="18"/>
            <w:szCs w:val="18"/>
          </w:rPr>
          <w:tab/>
        </w:r>
        <w:r w:rsidR="0034357A" w:rsidRPr="004B1CF8">
          <w:rPr>
            <w:color w:val="009999"/>
            <w:sz w:val="18"/>
            <w:szCs w:val="18"/>
          </w:rPr>
          <w:t xml:space="preserve"> Page | </w:t>
        </w:r>
        <w:r w:rsidR="0034357A" w:rsidRPr="004B1CF8">
          <w:rPr>
            <w:color w:val="009999"/>
            <w:sz w:val="18"/>
            <w:szCs w:val="18"/>
          </w:rPr>
          <w:fldChar w:fldCharType="begin"/>
        </w:r>
        <w:r w:rsidR="0034357A" w:rsidRPr="004B1CF8">
          <w:rPr>
            <w:color w:val="009999"/>
            <w:sz w:val="18"/>
            <w:szCs w:val="18"/>
          </w:rPr>
          <w:instrText xml:space="preserve"> PAGE   \* MERGEFORMAT </w:instrText>
        </w:r>
        <w:r w:rsidR="0034357A" w:rsidRPr="004B1CF8">
          <w:rPr>
            <w:color w:val="009999"/>
            <w:sz w:val="18"/>
            <w:szCs w:val="18"/>
          </w:rPr>
          <w:fldChar w:fldCharType="separate"/>
        </w:r>
        <w:r w:rsidR="0035779B">
          <w:rPr>
            <w:noProof/>
            <w:color w:val="009999"/>
            <w:sz w:val="18"/>
            <w:szCs w:val="18"/>
          </w:rPr>
          <w:t>23</w:t>
        </w:r>
        <w:r w:rsidR="0034357A" w:rsidRPr="004B1CF8">
          <w:rPr>
            <w:b/>
            <w:bCs/>
            <w:noProof/>
            <w:color w:val="009999"/>
            <w:sz w:val="18"/>
            <w:szCs w:val="18"/>
          </w:rPr>
          <w:fldChar w:fldCharType="end"/>
        </w:r>
      </w:sdtContent>
    </w:sdt>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B1FCD1" w14:textId="77777777" w:rsidR="0034357A" w:rsidRPr="00ED0E47" w:rsidRDefault="00A65AAD" w:rsidP="00ED0E47">
    <w:pPr>
      <w:pStyle w:val="Header"/>
      <w:pBdr>
        <w:bottom w:val="single" w:sz="18" w:space="1" w:color="0D5F5D"/>
      </w:pBdr>
      <w:tabs>
        <w:tab w:val="clear" w:pos="4153"/>
        <w:tab w:val="clear" w:pos="8306"/>
        <w:tab w:val="left" w:pos="6855"/>
        <w:tab w:val="right" w:pos="9214"/>
        <w:tab w:val="right" w:pos="14034"/>
      </w:tabs>
      <w:ind w:right="-29"/>
      <w:rPr>
        <w:b/>
        <w:bCs/>
        <w:color w:val="009999"/>
        <w:sz w:val="18"/>
        <w:szCs w:val="18"/>
      </w:rPr>
    </w:pPr>
    <w:sdt>
      <w:sdtPr>
        <w:rPr>
          <w:color w:val="009999"/>
          <w:sz w:val="18"/>
          <w:szCs w:val="18"/>
        </w:rPr>
        <w:id w:val="-1629312042"/>
        <w:docPartObj>
          <w:docPartGallery w:val="Page Numbers (Top of Page)"/>
          <w:docPartUnique/>
        </w:docPartObj>
      </w:sdtPr>
      <w:sdtEndPr>
        <w:rPr>
          <w:b/>
          <w:bCs/>
          <w:noProof/>
        </w:rPr>
      </w:sdtEndPr>
      <w:sdtContent>
        <w:r w:rsidR="0034357A">
          <w:rPr>
            <w:color w:val="009999"/>
            <w:sz w:val="18"/>
            <w:szCs w:val="18"/>
          </w:rPr>
          <w:t>Eden District HNS 2018 Final Report</w:t>
        </w:r>
        <w:r w:rsidR="0034357A" w:rsidRPr="004B1CF8">
          <w:rPr>
            <w:color w:val="009999"/>
            <w:sz w:val="18"/>
            <w:szCs w:val="18"/>
          </w:rPr>
          <w:tab/>
        </w:r>
        <w:r w:rsidR="0034357A">
          <w:rPr>
            <w:color w:val="009999"/>
            <w:sz w:val="18"/>
            <w:szCs w:val="18"/>
          </w:rPr>
          <w:tab/>
        </w:r>
        <w:r w:rsidR="0034357A" w:rsidRPr="004B1CF8">
          <w:rPr>
            <w:color w:val="009999"/>
            <w:sz w:val="18"/>
            <w:szCs w:val="18"/>
          </w:rPr>
          <w:t xml:space="preserve"> Page | </w:t>
        </w:r>
        <w:r w:rsidR="0034357A" w:rsidRPr="004B1CF8">
          <w:rPr>
            <w:color w:val="009999"/>
            <w:sz w:val="18"/>
            <w:szCs w:val="18"/>
          </w:rPr>
          <w:fldChar w:fldCharType="begin"/>
        </w:r>
        <w:r w:rsidR="0034357A" w:rsidRPr="004B1CF8">
          <w:rPr>
            <w:color w:val="009999"/>
            <w:sz w:val="18"/>
            <w:szCs w:val="18"/>
          </w:rPr>
          <w:instrText xml:space="preserve"> PAGE   \* MERGEFORMAT </w:instrText>
        </w:r>
        <w:r w:rsidR="0034357A" w:rsidRPr="004B1CF8">
          <w:rPr>
            <w:color w:val="009999"/>
            <w:sz w:val="18"/>
            <w:szCs w:val="18"/>
          </w:rPr>
          <w:fldChar w:fldCharType="separate"/>
        </w:r>
        <w:r w:rsidR="0035779B">
          <w:rPr>
            <w:noProof/>
            <w:color w:val="009999"/>
            <w:sz w:val="18"/>
            <w:szCs w:val="18"/>
          </w:rPr>
          <w:t>26</w:t>
        </w:r>
        <w:r w:rsidR="0034357A" w:rsidRPr="004B1CF8">
          <w:rPr>
            <w:b/>
            <w:bCs/>
            <w:noProof/>
            <w:color w:val="009999"/>
            <w:sz w:val="18"/>
            <w:szCs w:val="18"/>
          </w:rPr>
          <w:fldChar w:fldCharType="end"/>
        </w:r>
      </w:sdtContent>
    </w:sdt>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EDA88" w14:textId="5D813A76" w:rsidR="0034357A" w:rsidRPr="003718A3" w:rsidRDefault="00A65AAD" w:rsidP="002B41F6">
    <w:pPr>
      <w:pStyle w:val="Header"/>
      <w:pBdr>
        <w:bottom w:val="single" w:sz="18" w:space="1" w:color="0D5F5D"/>
      </w:pBdr>
      <w:tabs>
        <w:tab w:val="clear" w:pos="4153"/>
        <w:tab w:val="clear" w:pos="8306"/>
        <w:tab w:val="left" w:pos="3969"/>
        <w:tab w:val="right" w:pos="14175"/>
      </w:tabs>
      <w:ind w:right="-29"/>
      <w:rPr>
        <w:rFonts w:cs="Calibri"/>
        <w:b/>
        <w:bCs/>
        <w:color w:val="009999"/>
        <w:sz w:val="18"/>
        <w:szCs w:val="18"/>
      </w:rPr>
    </w:pPr>
    <w:sdt>
      <w:sdtPr>
        <w:rPr>
          <w:rFonts w:cs="Calibri"/>
          <w:color w:val="009999"/>
          <w:sz w:val="18"/>
          <w:szCs w:val="18"/>
        </w:rPr>
        <w:id w:val="431949529"/>
        <w:docPartObj>
          <w:docPartGallery w:val="Page Numbers (Top of Page)"/>
          <w:docPartUnique/>
        </w:docPartObj>
      </w:sdtPr>
      <w:sdtEndPr>
        <w:rPr>
          <w:b/>
          <w:bCs/>
          <w:noProof/>
        </w:rPr>
      </w:sdtEndPr>
      <w:sdtContent>
        <w:r w:rsidR="0034357A">
          <w:rPr>
            <w:rFonts w:cstheme="minorHAnsi"/>
            <w:color w:val="009999"/>
            <w:sz w:val="18"/>
            <w:szCs w:val="18"/>
          </w:rPr>
          <w:t>Eden District HNS</w:t>
        </w:r>
        <w:r w:rsidR="0034357A" w:rsidRPr="009D369A">
          <w:rPr>
            <w:rFonts w:cstheme="minorHAnsi"/>
            <w:color w:val="009999"/>
            <w:sz w:val="18"/>
            <w:szCs w:val="18"/>
          </w:rPr>
          <w:t xml:space="preserve"> 201</w:t>
        </w:r>
        <w:r w:rsidR="0034357A">
          <w:rPr>
            <w:rFonts w:cstheme="minorHAnsi"/>
            <w:color w:val="009999"/>
            <w:sz w:val="18"/>
            <w:szCs w:val="18"/>
          </w:rPr>
          <w:t>8 Final Report</w:t>
        </w:r>
        <w:r w:rsidR="0034357A">
          <w:rPr>
            <w:rFonts w:cs="Calibri"/>
            <w:color w:val="009999"/>
            <w:sz w:val="18"/>
            <w:szCs w:val="18"/>
          </w:rPr>
          <w:t xml:space="preserve"> </w:t>
        </w:r>
        <w:r w:rsidR="0034357A" w:rsidRPr="003718A3">
          <w:rPr>
            <w:rFonts w:cs="Calibri"/>
            <w:color w:val="009999"/>
            <w:sz w:val="18"/>
            <w:szCs w:val="18"/>
          </w:rPr>
          <w:tab/>
        </w:r>
        <w:r w:rsidR="0034357A" w:rsidRPr="003718A3">
          <w:rPr>
            <w:rFonts w:cs="Calibri"/>
            <w:color w:val="009999"/>
            <w:sz w:val="18"/>
            <w:szCs w:val="18"/>
          </w:rPr>
          <w:tab/>
          <w:t xml:space="preserve"> Page | </w:t>
        </w:r>
        <w:r w:rsidR="0034357A" w:rsidRPr="003718A3">
          <w:rPr>
            <w:rFonts w:cs="Calibri"/>
            <w:color w:val="009999"/>
            <w:sz w:val="18"/>
            <w:szCs w:val="18"/>
          </w:rPr>
          <w:fldChar w:fldCharType="begin"/>
        </w:r>
        <w:r w:rsidR="0034357A" w:rsidRPr="003718A3">
          <w:rPr>
            <w:rFonts w:cs="Calibri"/>
            <w:color w:val="009999"/>
            <w:sz w:val="18"/>
            <w:szCs w:val="18"/>
          </w:rPr>
          <w:instrText xml:space="preserve"> PAGE   \* MERGEFORMAT </w:instrText>
        </w:r>
        <w:r w:rsidR="0034357A" w:rsidRPr="003718A3">
          <w:rPr>
            <w:rFonts w:cs="Calibri"/>
            <w:color w:val="009999"/>
            <w:sz w:val="18"/>
            <w:szCs w:val="18"/>
          </w:rPr>
          <w:fldChar w:fldCharType="separate"/>
        </w:r>
        <w:r w:rsidR="0035779B" w:rsidRPr="0035779B">
          <w:rPr>
            <w:rFonts w:cs="Calibri"/>
            <w:b/>
            <w:bCs/>
            <w:noProof/>
            <w:color w:val="009999"/>
            <w:sz w:val="18"/>
            <w:szCs w:val="18"/>
          </w:rPr>
          <w:t>28</w:t>
        </w:r>
        <w:r w:rsidR="0034357A" w:rsidRPr="003718A3">
          <w:rPr>
            <w:rFonts w:cs="Calibri"/>
            <w:b/>
            <w:bCs/>
            <w:noProof/>
            <w:color w:val="009999"/>
            <w:sz w:val="18"/>
            <w:szCs w:val="18"/>
          </w:rPr>
          <w:fldChar w:fldCharType="end"/>
        </w:r>
      </w:sdtContent>
    </w:sdt>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5470B" w14:textId="41ACA978" w:rsidR="0034357A" w:rsidRPr="00185AE8" w:rsidRDefault="0034357A" w:rsidP="002B41F6">
    <w:pPr>
      <w:pStyle w:val="Header"/>
      <w:pBdr>
        <w:bottom w:val="single" w:sz="18" w:space="1" w:color="0D5F5D"/>
      </w:pBdr>
      <w:tabs>
        <w:tab w:val="clear" w:pos="4153"/>
        <w:tab w:val="clear" w:pos="8306"/>
        <w:tab w:val="left" w:pos="6855"/>
        <w:tab w:val="right" w:pos="9214"/>
      </w:tabs>
      <w:ind w:right="-29"/>
      <w:rPr>
        <w:b/>
        <w:bCs/>
        <w:color w:val="009999"/>
        <w:sz w:val="18"/>
        <w:szCs w:val="18"/>
      </w:rPr>
    </w:pPr>
    <w:r>
      <w:rPr>
        <w:rFonts w:cstheme="minorHAnsi"/>
        <w:color w:val="009999"/>
        <w:sz w:val="18"/>
        <w:szCs w:val="18"/>
      </w:rPr>
      <w:t>Eden District HNS</w:t>
    </w:r>
    <w:r w:rsidRPr="009D369A">
      <w:rPr>
        <w:rFonts w:cstheme="minorHAnsi"/>
        <w:color w:val="009999"/>
        <w:sz w:val="18"/>
        <w:szCs w:val="18"/>
      </w:rPr>
      <w:t xml:space="preserve"> 201</w:t>
    </w:r>
    <w:r>
      <w:rPr>
        <w:rFonts w:cstheme="minorHAnsi"/>
        <w:color w:val="009999"/>
        <w:sz w:val="18"/>
        <w:szCs w:val="18"/>
      </w:rPr>
      <w:t>8 Final Report</w:t>
    </w:r>
    <w:r w:rsidRPr="004B1CF8">
      <w:rPr>
        <w:color w:val="009999"/>
        <w:sz w:val="18"/>
        <w:szCs w:val="18"/>
      </w:rPr>
      <w:tab/>
    </w:r>
    <w:r>
      <w:rPr>
        <w:color w:val="009999"/>
        <w:sz w:val="18"/>
        <w:szCs w:val="18"/>
      </w:rPr>
      <w:tab/>
    </w:r>
    <w:r w:rsidRPr="004B1CF8">
      <w:rPr>
        <w:color w:val="009999"/>
        <w:sz w:val="18"/>
        <w:szCs w:val="18"/>
      </w:rPr>
      <w:t xml:space="preserve"> Page | </w:t>
    </w:r>
    <w:r w:rsidRPr="004B1CF8">
      <w:rPr>
        <w:color w:val="009999"/>
        <w:sz w:val="18"/>
        <w:szCs w:val="18"/>
      </w:rPr>
      <w:fldChar w:fldCharType="begin"/>
    </w:r>
    <w:r w:rsidRPr="004B1CF8">
      <w:rPr>
        <w:color w:val="009999"/>
        <w:sz w:val="18"/>
        <w:szCs w:val="18"/>
      </w:rPr>
      <w:instrText xml:space="preserve"> PAGE   \* MERGEFORMAT </w:instrText>
    </w:r>
    <w:r w:rsidRPr="004B1CF8">
      <w:rPr>
        <w:color w:val="009999"/>
        <w:sz w:val="18"/>
        <w:szCs w:val="18"/>
      </w:rPr>
      <w:fldChar w:fldCharType="separate"/>
    </w:r>
    <w:r w:rsidR="0035779B" w:rsidRPr="0035779B">
      <w:rPr>
        <w:b/>
        <w:bCs/>
        <w:noProof/>
        <w:color w:val="009999"/>
        <w:sz w:val="18"/>
        <w:szCs w:val="18"/>
      </w:rPr>
      <w:t>30</w:t>
    </w:r>
    <w:r w:rsidRPr="004B1CF8">
      <w:rPr>
        <w:color w:val="009999"/>
        <w:sz w:val="18"/>
        <w:szCs w:val="18"/>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6E420" w14:textId="77777777" w:rsidR="0034357A" w:rsidRPr="00185AE8" w:rsidRDefault="0034357A" w:rsidP="003106AD">
    <w:pPr>
      <w:pStyle w:val="Header"/>
      <w:pBdr>
        <w:bottom w:val="single" w:sz="18" w:space="1" w:color="0D5F5D"/>
      </w:pBdr>
      <w:tabs>
        <w:tab w:val="clear" w:pos="4153"/>
        <w:tab w:val="clear" w:pos="8306"/>
        <w:tab w:val="left" w:pos="6855"/>
        <w:tab w:val="right" w:pos="14293"/>
      </w:tabs>
      <w:ind w:right="-29"/>
      <w:rPr>
        <w:b/>
        <w:bCs/>
        <w:color w:val="009999"/>
        <w:sz w:val="18"/>
        <w:szCs w:val="18"/>
      </w:rPr>
    </w:pPr>
    <w:r>
      <w:rPr>
        <w:rFonts w:cstheme="minorHAnsi"/>
        <w:color w:val="009999"/>
        <w:sz w:val="18"/>
        <w:szCs w:val="18"/>
      </w:rPr>
      <w:t>Eden District HNS</w:t>
    </w:r>
    <w:r w:rsidRPr="009D369A">
      <w:rPr>
        <w:rFonts w:cstheme="minorHAnsi"/>
        <w:color w:val="009999"/>
        <w:sz w:val="18"/>
        <w:szCs w:val="18"/>
      </w:rPr>
      <w:t xml:space="preserve"> 201</w:t>
    </w:r>
    <w:r>
      <w:rPr>
        <w:rFonts w:cstheme="minorHAnsi"/>
        <w:color w:val="009999"/>
        <w:sz w:val="18"/>
        <w:szCs w:val="18"/>
      </w:rPr>
      <w:t>8 Final Report</w:t>
    </w:r>
    <w:r w:rsidRPr="004B1CF8">
      <w:rPr>
        <w:color w:val="009999"/>
        <w:sz w:val="18"/>
        <w:szCs w:val="18"/>
      </w:rPr>
      <w:tab/>
    </w:r>
    <w:r>
      <w:rPr>
        <w:color w:val="009999"/>
        <w:sz w:val="18"/>
        <w:szCs w:val="18"/>
      </w:rPr>
      <w:tab/>
    </w:r>
    <w:r w:rsidRPr="004B1CF8">
      <w:rPr>
        <w:color w:val="009999"/>
        <w:sz w:val="18"/>
        <w:szCs w:val="18"/>
      </w:rPr>
      <w:t xml:space="preserve"> Page | </w:t>
    </w:r>
    <w:r w:rsidRPr="004B1CF8">
      <w:rPr>
        <w:color w:val="009999"/>
        <w:sz w:val="18"/>
        <w:szCs w:val="18"/>
      </w:rPr>
      <w:fldChar w:fldCharType="begin"/>
    </w:r>
    <w:r w:rsidRPr="004B1CF8">
      <w:rPr>
        <w:color w:val="009999"/>
        <w:sz w:val="18"/>
        <w:szCs w:val="18"/>
      </w:rPr>
      <w:instrText xml:space="preserve"> PAGE   \* MERGEFORMAT </w:instrText>
    </w:r>
    <w:r w:rsidRPr="004B1CF8">
      <w:rPr>
        <w:color w:val="009999"/>
        <w:sz w:val="18"/>
        <w:szCs w:val="18"/>
      </w:rPr>
      <w:fldChar w:fldCharType="separate"/>
    </w:r>
    <w:r w:rsidR="0035779B" w:rsidRPr="0035779B">
      <w:rPr>
        <w:b/>
        <w:bCs/>
        <w:noProof/>
        <w:color w:val="009999"/>
        <w:sz w:val="18"/>
        <w:szCs w:val="18"/>
      </w:rPr>
      <w:t>31</w:t>
    </w:r>
    <w:r w:rsidRPr="004B1CF8">
      <w:rPr>
        <w:color w:val="009999"/>
        <w:sz w:val="18"/>
        <w:szCs w:val="18"/>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2FF81" w14:textId="77777777" w:rsidR="0034357A" w:rsidRPr="00185AE8" w:rsidRDefault="0034357A" w:rsidP="002B41F6">
    <w:pPr>
      <w:pStyle w:val="Header"/>
      <w:pBdr>
        <w:bottom w:val="single" w:sz="18" w:space="1" w:color="0D5F5D"/>
      </w:pBdr>
      <w:tabs>
        <w:tab w:val="clear" w:pos="4153"/>
        <w:tab w:val="clear" w:pos="8306"/>
        <w:tab w:val="left" w:pos="6855"/>
        <w:tab w:val="right" w:pos="9214"/>
      </w:tabs>
      <w:ind w:right="-29"/>
      <w:rPr>
        <w:b/>
        <w:bCs/>
        <w:color w:val="009999"/>
        <w:sz w:val="18"/>
        <w:szCs w:val="18"/>
      </w:rPr>
    </w:pPr>
    <w:r>
      <w:rPr>
        <w:rFonts w:cstheme="minorHAnsi"/>
        <w:color w:val="009999"/>
        <w:sz w:val="18"/>
        <w:szCs w:val="18"/>
      </w:rPr>
      <w:t>Eden District HNS</w:t>
    </w:r>
    <w:r w:rsidRPr="009D369A">
      <w:rPr>
        <w:rFonts w:cstheme="minorHAnsi"/>
        <w:color w:val="009999"/>
        <w:sz w:val="18"/>
        <w:szCs w:val="18"/>
      </w:rPr>
      <w:t xml:space="preserve"> 201</w:t>
    </w:r>
    <w:r>
      <w:rPr>
        <w:rFonts w:cstheme="minorHAnsi"/>
        <w:color w:val="009999"/>
        <w:sz w:val="18"/>
        <w:szCs w:val="18"/>
      </w:rPr>
      <w:t>8 Final Report</w:t>
    </w:r>
    <w:r w:rsidRPr="004B1CF8">
      <w:rPr>
        <w:color w:val="009999"/>
        <w:sz w:val="18"/>
        <w:szCs w:val="18"/>
      </w:rPr>
      <w:tab/>
    </w:r>
    <w:r>
      <w:rPr>
        <w:color w:val="009999"/>
        <w:sz w:val="18"/>
        <w:szCs w:val="18"/>
      </w:rPr>
      <w:tab/>
    </w:r>
    <w:r w:rsidRPr="004B1CF8">
      <w:rPr>
        <w:color w:val="009999"/>
        <w:sz w:val="18"/>
        <w:szCs w:val="18"/>
      </w:rPr>
      <w:t xml:space="preserve"> Page | </w:t>
    </w:r>
    <w:r w:rsidRPr="004B1CF8">
      <w:rPr>
        <w:color w:val="009999"/>
        <w:sz w:val="18"/>
        <w:szCs w:val="18"/>
      </w:rPr>
      <w:fldChar w:fldCharType="begin"/>
    </w:r>
    <w:r w:rsidRPr="004B1CF8">
      <w:rPr>
        <w:color w:val="009999"/>
        <w:sz w:val="18"/>
        <w:szCs w:val="18"/>
      </w:rPr>
      <w:instrText xml:space="preserve"> PAGE   \* MERGEFORMAT </w:instrText>
    </w:r>
    <w:r w:rsidRPr="004B1CF8">
      <w:rPr>
        <w:color w:val="009999"/>
        <w:sz w:val="18"/>
        <w:szCs w:val="18"/>
      </w:rPr>
      <w:fldChar w:fldCharType="separate"/>
    </w:r>
    <w:r w:rsidR="0035779B" w:rsidRPr="0035779B">
      <w:rPr>
        <w:b/>
        <w:bCs/>
        <w:noProof/>
        <w:color w:val="009999"/>
        <w:sz w:val="18"/>
        <w:szCs w:val="18"/>
      </w:rPr>
      <w:t>32</w:t>
    </w:r>
    <w:r w:rsidRPr="004B1CF8">
      <w:rPr>
        <w:color w:val="009999"/>
        <w:sz w:val="18"/>
        <w:szCs w:val="1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98A6A4AE"/>
    <w:lvl w:ilvl="0">
      <w:start w:val="1"/>
      <w:numFmt w:val="bullet"/>
      <w:pStyle w:val="ListBullet"/>
      <w:lvlText w:val=""/>
      <w:lvlJc w:val="left"/>
      <w:pPr>
        <w:tabs>
          <w:tab w:val="num" w:pos="1134"/>
        </w:tabs>
        <w:ind w:left="1134" w:hanging="425"/>
      </w:pPr>
      <w:rPr>
        <w:rFonts w:ascii="Symbol" w:hAnsi="Symbol" w:hint="default"/>
      </w:rPr>
    </w:lvl>
  </w:abstractNum>
  <w:abstractNum w:abstractNumId="1" w15:restartNumberingAfterBreak="0">
    <w:nsid w:val="017B097C"/>
    <w:multiLevelType w:val="multilevel"/>
    <w:tmpl w:val="05DE78E0"/>
    <w:lvl w:ilvl="0">
      <w:start w:val="1"/>
      <w:numFmt w:val="bullet"/>
      <w:lvlText w:val=""/>
      <w:lvlJc w:val="left"/>
      <w:pPr>
        <w:tabs>
          <w:tab w:val="num" w:pos="432"/>
        </w:tabs>
        <w:ind w:left="432" w:hanging="432"/>
      </w:pPr>
      <w:rPr>
        <w:rFonts w:ascii="Symbol" w:hAnsi="Symbol" w:hint="default"/>
      </w:rPr>
    </w:lvl>
    <w:lvl w:ilvl="1">
      <w:start w:val="1"/>
      <w:numFmt w:val="bullet"/>
      <w:pStyle w:val="Bulletindent"/>
      <w:lvlText w:val="-"/>
      <w:lvlJc w:val="left"/>
      <w:pPr>
        <w:tabs>
          <w:tab w:val="num" w:pos="709"/>
        </w:tabs>
        <w:ind w:left="709" w:hanging="709"/>
      </w:pPr>
      <w:rPr>
        <w:rFonts w:ascii="Arial" w:hAnsi="Arial"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 w15:restartNumberingAfterBreak="0">
    <w:nsid w:val="09681064"/>
    <w:multiLevelType w:val="hybridMultilevel"/>
    <w:tmpl w:val="EA926F82"/>
    <w:lvl w:ilvl="0" w:tplc="FFFFFFFF">
      <w:start w:val="1"/>
      <w:numFmt w:val="bullet"/>
      <w:pStyle w:val="mrukbullet1"/>
      <w:lvlText w:val=""/>
      <w:lvlJc w:val="left"/>
      <w:pPr>
        <w:tabs>
          <w:tab w:val="num" w:pos="360"/>
        </w:tabs>
        <w:ind w:left="340" w:hanging="340"/>
      </w:pPr>
      <w:rPr>
        <w:rFonts w:ascii="Wingdings" w:hAnsi="Wingdings" w:hint="default"/>
        <w:color w:val="C94338"/>
        <w:position w:val="-2"/>
        <w:sz w:val="24"/>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D13487"/>
    <w:multiLevelType w:val="hybridMultilevel"/>
    <w:tmpl w:val="A872C24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0DB91293"/>
    <w:multiLevelType w:val="hybridMultilevel"/>
    <w:tmpl w:val="73DC3A2A"/>
    <w:lvl w:ilvl="0" w:tplc="DC32F0AE">
      <w:start w:val="1"/>
      <w:numFmt w:val="bullet"/>
      <w:pStyle w:val="bullet"/>
      <w:lvlText w:val=""/>
      <w:lvlJc w:val="left"/>
      <w:pPr>
        <w:ind w:left="1069" w:hanging="360"/>
      </w:pPr>
      <w:rPr>
        <w:rFonts w:ascii="Symbol" w:hAnsi="Symbol" w:hint="default"/>
        <w:color w:val="006666"/>
      </w:rPr>
    </w:lvl>
    <w:lvl w:ilvl="1" w:tplc="08090003">
      <w:start w:val="1"/>
      <w:numFmt w:val="bullet"/>
      <w:lvlText w:val="o"/>
      <w:lvlJc w:val="left"/>
      <w:pPr>
        <w:ind w:left="2874" w:hanging="360"/>
      </w:pPr>
      <w:rPr>
        <w:rFonts w:ascii="Courier New" w:hAnsi="Courier New" w:cs="Courier New" w:hint="default"/>
      </w:rPr>
    </w:lvl>
    <w:lvl w:ilvl="2" w:tplc="08090005">
      <w:start w:val="1"/>
      <w:numFmt w:val="bullet"/>
      <w:lvlText w:val=""/>
      <w:lvlJc w:val="left"/>
      <w:pPr>
        <w:ind w:left="3594" w:hanging="360"/>
      </w:pPr>
      <w:rPr>
        <w:rFonts w:ascii="Wingdings" w:hAnsi="Wingdings" w:hint="default"/>
      </w:rPr>
    </w:lvl>
    <w:lvl w:ilvl="3" w:tplc="08090001" w:tentative="1">
      <w:start w:val="1"/>
      <w:numFmt w:val="bullet"/>
      <w:lvlText w:val=""/>
      <w:lvlJc w:val="left"/>
      <w:pPr>
        <w:ind w:left="4314" w:hanging="360"/>
      </w:pPr>
      <w:rPr>
        <w:rFonts w:ascii="Symbol" w:hAnsi="Symbol" w:hint="default"/>
      </w:rPr>
    </w:lvl>
    <w:lvl w:ilvl="4" w:tplc="08090003" w:tentative="1">
      <w:start w:val="1"/>
      <w:numFmt w:val="bullet"/>
      <w:lvlText w:val="o"/>
      <w:lvlJc w:val="left"/>
      <w:pPr>
        <w:ind w:left="5034" w:hanging="360"/>
      </w:pPr>
      <w:rPr>
        <w:rFonts w:ascii="Courier New" w:hAnsi="Courier New" w:cs="Courier New" w:hint="default"/>
      </w:rPr>
    </w:lvl>
    <w:lvl w:ilvl="5" w:tplc="08090005" w:tentative="1">
      <w:start w:val="1"/>
      <w:numFmt w:val="bullet"/>
      <w:lvlText w:val=""/>
      <w:lvlJc w:val="left"/>
      <w:pPr>
        <w:ind w:left="5754" w:hanging="360"/>
      </w:pPr>
      <w:rPr>
        <w:rFonts w:ascii="Wingdings" w:hAnsi="Wingdings" w:hint="default"/>
      </w:rPr>
    </w:lvl>
    <w:lvl w:ilvl="6" w:tplc="08090001" w:tentative="1">
      <w:start w:val="1"/>
      <w:numFmt w:val="bullet"/>
      <w:lvlText w:val=""/>
      <w:lvlJc w:val="left"/>
      <w:pPr>
        <w:ind w:left="6474" w:hanging="360"/>
      </w:pPr>
      <w:rPr>
        <w:rFonts w:ascii="Symbol" w:hAnsi="Symbol" w:hint="default"/>
      </w:rPr>
    </w:lvl>
    <w:lvl w:ilvl="7" w:tplc="08090003" w:tentative="1">
      <w:start w:val="1"/>
      <w:numFmt w:val="bullet"/>
      <w:lvlText w:val="o"/>
      <w:lvlJc w:val="left"/>
      <w:pPr>
        <w:ind w:left="7194" w:hanging="360"/>
      </w:pPr>
      <w:rPr>
        <w:rFonts w:ascii="Courier New" w:hAnsi="Courier New" w:cs="Courier New" w:hint="default"/>
      </w:rPr>
    </w:lvl>
    <w:lvl w:ilvl="8" w:tplc="08090005" w:tentative="1">
      <w:start w:val="1"/>
      <w:numFmt w:val="bullet"/>
      <w:lvlText w:val=""/>
      <w:lvlJc w:val="left"/>
      <w:pPr>
        <w:ind w:left="7914" w:hanging="360"/>
      </w:pPr>
      <w:rPr>
        <w:rFonts w:ascii="Wingdings" w:hAnsi="Wingdings" w:hint="default"/>
      </w:rPr>
    </w:lvl>
  </w:abstractNum>
  <w:abstractNum w:abstractNumId="5" w15:restartNumberingAfterBreak="0">
    <w:nsid w:val="107A50CC"/>
    <w:multiLevelType w:val="hybridMultilevel"/>
    <w:tmpl w:val="90546DEE"/>
    <w:lvl w:ilvl="0" w:tplc="08090001">
      <w:start w:val="1"/>
      <w:numFmt w:val="bullet"/>
      <w:lvlText w:val=""/>
      <w:lvlJc w:val="left"/>
      <w:pPr>
        <w:ind w:left="1080" w:hanging="360"/>
      </w:pPr>
      <w:rPr>
        <w:rFonts w:ascii="Symbol" w:hAnsi="Symbol" w:hint="default"/>
      </w:rPr>
    </w:lvl>
    <w:lvl w:ilvl="1" w:tplc="E16C81A0">
      <w:start w:val="1"/>
      <w:numFmt w:val="bullet"/>
      <w:pStyle w:val="bullet2"/>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6" w15:restartNumberingAfterBreak="0">
    <w:nsid w:val="1FBB7EC9"/>
    <w:multiLevelType w:val="hybridMultilevel"/>
    <w:tmpl w:val="96BAE36E"/>
    <w:lvl w:ilvl="0" w:tplc="08090001">
      <w:start w:val="1"/>
      <w:numFmt w:val="bullet"/>
      <w:lvlText w:val=""/>
      <w:lvlJc w:val="left"/>
      <w:pPr>
        <w:ind w:left="720" w:hanging="360"/>
      </w:pPr>
      <w:rPr>
        <w:rFonts w:ascii="Symbol" w:hAnsi="Symbol" w:hint="default"/>
      </w:rPr>
    </w:lvl>
    <w:lvl w:ilvl="1" w:tplc="A4ACF216">
      <w:start w:val="1"/>
      <w:numFmt w:val="bullet"/>
      <w:pStyle w:val="bulletlevel2"/>
      <w:lvlText w:val="-"/>
      <w:lvlJc w:val="left"/>
      <w:pPr>
        <w:ind w:left="1440" w:hanging="360"/>
      </w:pPr>
      <w:rPr>
        <w:rFonts w:ascii="Arial" w:hAnsi="Aria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BF2E8A"/>
    <w:multiLevelType w:val="multilevel"/>
    <w:tmpl w:val="FCBEC114"/>
    <w:lvl w:ilvl="0">
      <w:start w:val="1"/>
      <w:numFmt w:val="decimal"/>
      <w:pStyle w:val="TitleHeading"/>
      <w:lvlText w:val="%1."/>
      <w:lvlJc w:val="left"/>
      <w:pPr>
        <w:ind w:left="709" w:hanging="709"/>
      </w:pPr>
      <w:rPr>
        <w:rFonts w:ascii="Calibri" w:hAnsi="Calibri" w:hint="default"/>
        <w:color w:val="009999"/>
        <w:sz w:val="40"/>
      </w:rPr>
    </w:lvl>
    <w:lvl w:ilvl="1">
      <w:start w:val="1"/>
      <w:numFmt w:val="decimal"/>
      <w:lvlText w:val="%1.%2"/>
      <w:lvlJc w:val="left"/>
      <w:pPr>
        <w:ind w:left="709" w:hanging="709"/>
      </w:pPr>
      <w:rPr>
        <w:rFonts w:ascii="Calibri" w:hAnsi="Calibri" w:hint="default"/>
        <w:color w:val="auto"/>
        <w:sz w:val="22"/>
      </w:rPr>
    </w:lvl>
    <w:lvl w:ilvl="2">
      <w:start w:val="1"/>
      <w:numFmt w:val="lowerRoman"/>
      <w:lvlText w:val="%3."/>
      <w:lvlJc w:val="right"/>
      <w:pPr>
        <w:ind w:left="709" w:hanging="709"/>
      </w:pPr>
      <w:rPr>
        <w:rFonts w:hint="default"/>
      </w:rPr>
    </w:lvl>
    <w:lvl w:ilvl="3">
      <w:start w:val="1"/>
      <w:numFmt w:val="decimal"/>
      <w:lvlText w:val="%4."/>
      <w:lvlJc w:val="left"/>
      <w:pPr>
        <w:ind w:left="709" w:hanging="709"/>
      </w:pPr>
      <w:rPr>
        <w:rFonts w:hint="default"/>
      </w:rPr>
    </w:lvl>
    <w:lvl w:ilvl="4">
      <w:start w:val="1"/>
      <w:numFmt w:val="lowerLetter"/>
      <w:lvlText w:val="%5."/>
      <w:lvlJc w:val="left"/>
      <w:pPr>
        <w:ind w:left="709" w:hanging="709"/>
      </w:pPr>
      <w:rPr>
        <w:rFonts w:hint="default"/>
      </w:rPr>
    </w:lvl>
    <w:lvl w:ilvl="5">
      <w:start w:val="1"/>
      <w:numFmt w:val="lowerRoman"/>
      <w:lvlText w:val="%6."/>
      <w:lvlJc w:val="right"/>
      <w:pPr>
        <w:ind w:left="709" w:hanging="709"/>
      </w:pPr>
      <w:rPr>
        <w:rFonts w:hint="default"/>
      </w:rPr>
    </w:lvl>
    <w:lvl w:ilvl="6">
      <w:start w:val="1"/>
      <w:numFmt w:val="decimal"/>
      <w:lvlText w:val="%7."/>
      <w:lvlJc w:val="left"/>
      <w:pPr>
        <w:ind w:left="709" w:hanging="709"/>
      </w:pPr>
      <w:rPr>
        <w:rFonts w:hint="default"/>
      </w:rPr>
    </w:lvl>
    <w:lvl w:ilvl="7">
      <w:start w:val="1"/>
      <w:numFmt w:val="lowerLetter"/>
      <w:lvlText w:val="%8."/>
      <w:lvlJc w:val="left"/>
      <w:pPr>
        <w:ind w:left="709" w:hanging="709"/>
      </w:pPr>
      <w:rPr>
        <w:rFonts w:hint="default"/>
      </w:rPr>
    </w:lvl>
    <w:lvl w:ilvl="8">
      <w:start w:val="1"/>
      <w:numFmt w:val="lowerRoman"/>
      <w:lvlText w:val="%9."/>
      <w:lvlJc w:val="right"/>
      <w:pPr>
        <w:ind w:left="709" w:hanging="709"/>
      </w:pPr>
      <w:rPr>
        <w:rFonts w:hint="default"/>
      </w:rPr>
    </w:lvl>
  </w:abstractNum>
  <w:abstractNum w:abstractNumId="8" w15:restartNumberingAfterBreak="0">
    <w:nsid w:val="2B3E11BE"/>
    <w:multiLevelType w:val="hybridMultilevel"/>
    <w:tmpl w:val="169E0F1E"/>
    <w:lvl w:ilvl="0" w:tplc="5BC4C00C">
      <w:start w:val="1"/>
      <w:numFmt w:val="decimal"/>
      <w:pStyle w:val="Style2"/>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F13A5F"/>
    <w:multiLevelType w:val="hybridMultilevel"/>
    <w:tmpl w:val="52FE3992"/>
    <w:lvl w:ilvl="0" w:tplc="08090005">
      <w:start w:val="1"/>
      <w:numFmt w:val="bullet"/>
      <w:lvlText w:val=""/>
      <w:lvlJc w:val="left"/>
      <w:pPr>
        <w:ind w:left="2520" w:hanging="360"/>
      </w:pPr>
      <w:rPr>
        <w:rFonts w:ascii="Wingdings" w:hAnsi="Wingdings"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0" w15:restartNumberingAfterBreak="0">
    <w:nsid w:val="2EC62C48"/>
    <w:multiLevelType w:val="multilevel"/>
    <w:tmpl w:val="7AD481F8"/>
    <w:lvl w:ilvl="0">
      <w:start w:val="5"/>
      <w:numFmt w:val="decimal"/>
      <w:lvlText w:val="%1"/>
      <w:lvlJc w:val="left"/>
      <w:pPr>
        <w:ind w:left="360" w:hanging="360"/>
      </w:pPr>
      <w:rPr>
        <w:rFonts w:cs="Arial"/>
      </w:rPr>
    </w:lvl>
    <w:lvl w:ilvl="1">
      <w:start w:val="4"/>
      <w:numFmt w:val="decimal"/>
      <w:pStyle w:val="StyleJustified"/>
      <w:lvlText w:val="%1.%2"/>
      <w:lvlJc w:val="left"/>
      <w:pPr>
        <w:ind w:left="360" w:hanging="360"/>
      </w:pPr>
      <w:rPr>
        <w:rFonts w:cs="Arial"/>
      </w:rPr>
    </w:lvl>
    <w:lvl w:ilvl="2">
      <w:start w:val="1"/>
      <w:numFmt w:val="decimal"/>
      <w:lvlText w:val="%1.%2.%3"/>
      <w:lvlJc w:val="left"/>
      <w:pPr>
        <w:ind w:left="720" w:hanging="720"/>
      </w:pPr>
      <w:rPr>
        <w:rFonts w:cs="Arial"/>
      </w:rPr>
    </w:lvl>
    <w:lvl w:ilvl="3">
      <w:start w:val="1"/>
      <w:numFmt w:val="decimal"/>
      <w:lvlText w:val="%1.%2.%3.%4"/>
      <w:lvlJc w:val="left"/>
      <w:pPr>
        <w:ind w:left="1080" w:hanging="1080"/>
      </w:pPr>
      <w:rPr>
        <w:rFonts w:cs="Arial"/>
      </w:rPr>
    </w:lvl>
    <w:lvl w:ilvl="4">
      <w:start w:val="1"/>
      <w:numFmt w:val="decimal"/>
      <w:lvlText w:val="%1.%2.%3.%4.%5"/>
      <w:lvlJc w:val="left"/>
      <w:pPr>
        <w:ind w:left="1080" w:hanging="1080"/>
      </w:pPr>
      <w:rPr>
        <w:rFonts w:cs="Arial"/>
      </w:rPr>
    </w:lvl>
    <w:lvl w:ilvl="5">
      <w:start w:val="1"/>
      <w:numFmt w:val="decimal"/>
      <w:lvlText w:val="%1.%2.%3.%4.%5.%6"/>
      <w:lvlJc w:val="left"/>
      <w:pPr>
        <w:ind w:left="1440" w:hanging="1440"/>
      </w:pPr>
      <w:rPr>
        <w:rFonts w:cs="Arial"/>
      </w:rPr>
    </w:lvl>
    <w:lvl w:ilvl="6">
      <w:start w:val="1"/>
      <w:numFmt w:val="decimal"/>
      <w:lvlText w:val="%1.%2.%3.%4.%5.%6.%7"/>
      <w:lvlJc w:val="left"/>
      <w:pPr>
        <w:ind w:left="1440" w:hanging="1440"/>
      </w:pPr>
      <w:rPr>
        <w:rFonts w:cs="Arial"/>
      </w:rPr>
    </w:lvl>
    <w:lvl w:ilvl="7">
      <w:start w:val="1"/>
      <w:numFmt w:val="decimal"/>
      <w:lvlText w:val="%1.%2.%3.%4.%5.%6.%7.%8"/>
      <w:lvlJc w:val="left"/>
      <w:pPr>
        <w:ind w:left="1800" w:hanging="1800"/>
      </w:pPr>
      <w:rPr>
        <w:rFonts w:cs="Arial"/>
      </w:rPr>
    </w:lvl>
    <w:lvl w:ilvl="8">
      <w:start w:val="1"/>
      <w:numFmt w:val="decimal"/>
      <w:lvlText w:val="%1.%2.%3.%4.%5.%6.%7.%8.%9"/>
      <w:lvlJc w:val="left"/>
      <w:pPr>
        <w:ind w:left="1800" w:hanging="1800"/>
      </w:pPr>
      <w:rPr>
        <w:rFonts w:cs="Arial"/>
      </w:rPr>
    </w:lvl>
  </w:abstractNum>
  <w:abstractNum w:abstractNumId="11" w15:restartNumberingAfterBreak="0">
    <w:nsid w:val="331C0844"/>
    <w:multiLevelType w:val="multilevel"/>
    <w:tmpl w:val="27043366"/>
    <w:lvl w:ilvl="0">
      <w:start w:val="1"/>
      <w:numFmt w:val="decimal"/>
      <w:lvlText w:val="%1."/>
      <w:lvlJc w:val="left"/>
      <w:pPr>
        <w:tabs>
          <w:tab w:val="num" w:pos="709"/>
        </w:tabs>
        <w:ind w:left="709" w:hanging="709"/>
      </w:pPr>
      <w:rPr>
        <w:rFonts w:hint="default"/>
        <w:sz w:val="28"/>
        <w:szCs w:val="28"/>
      </w:rPr>
    </w:lvl>
    <w:lvl w:ilvl="1">
      <w:start w:val="1"/>
      <w:numFmt w:val="bullet"/>
      <w:pStyle w:val="Bullet0"/>
      <w:lvlText w:val=""/>
      <w:lvlJc w:val="left"/>
      <w:pPr>
        <w:tabs>
          <w:tab w:val="num" w:pos="709"/>
        </w:tabs>
        <w:ind w:left="709" w:hanging="709"/>
      </w:pPr>
      <w:rPr>
        <w:rFonts w:ascii="Symbol" w:hAnsi="Symbol" w:hint="default"/>
        <w:b w:val="0"/>
      </w:rPr>
    </w:lvl>
    <w:lvl w:ilvl="2">
      <w:start w:val="1"/>
      <w:numFmt w:val="bullet"/>
      <w:lvlText w:val=""/>
      <w:lvlJc w:val="left"/>
      <w:pPr>
        <w:tabs>
          <w:tab w:val="num" w:pos="992"/>
        </w:tabs>
        <w:ind w:left="992" w:hanging="283"/>
      </w:pPr>
      <w:rPr>
        <w:rFonts w:ascii="Symbol" w:hAnsi="Symbol" w:hint="default"/>
      </w:rPr>
    </w:lvl>
    <w:lvl w:ilvl="3">
      <w:start w:val="1"/>
      <w:numFmt w:val="bullet"/>
      <w:lvlText w:val=""/>
      <w:lvlJc w:val="left"/>
      <w:pPr>
        <w:tabs>
          <w:tab w:val="num" w:pos="1276"/>
        </w:tabs>
        <w:ind w:left="1276" w:hanging="284"/>
      </w:pPr>
      <w:rPr>
        <w:rFonts w:ascii="Symbol" w:hAnsi="Symbol"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33546B59"/>
    <w:multiLevelType w:val="multilevel"/>
    <w:tmpl w:val="2408939C"/>
    <w:lvl w:ilvl="0">
      <w:start w:val="2"/>
      <w:numFmt w:val="upperLetter"/>
      <w:lvlText w:val="%1"/>
      <w:lvlJc w:val="left"/>
      <w:pPr>
        <w:tabs>
          <w:tab w:val="num" w:pos="709"/>
        </w:tabs>
        <w:ind w:left="709" w:hanging="709"/>
      </w:pPr>
      <w:rPr>
        <w:rFonts w:hint="default"/>
      </w:rPr>
    </w:lvl>
    <w:lvl w:ilvl="1">
      <w:start w:val="1"/>
      <w:numFmt w:val="decimal"/>
      <w:lvlText w:val="D.%2"/>
      <w:lvlJc w:val="left"/>
      <w:pPr>
        <w:tabs>
          <w:tab w:val="num" w:pos="709"/>
        </w:tabs>
        <w:ind w:left="709" w:hanging="709"/>
      </w:pPr>
      <w:rPr>
        <w:rFonts w:hint="default"/>
        <w:b w:val="0"/>
        <w:i w:val="0"/>
        <w:color w:val="auto"/>
        <w:sz w:val="22"/>
        <w:szCs w:val="22"/>
      </w:rPr>
    </w:lvl>
    <w:lvl w:ilvl="2">
      <w:start w:val="1"/>
      <w:numFmt w:val="bullet"/>
      <w:lvlText w:val=""/>
      <w:lvlJc w:val="left"/>
      <w:pPr>
        <w:tabs>
          <w:tab w:val="num" w:pos="992"/>
        </w:tabs>
        <w:ind w:left="992" w:hanging="283"/>
      </w:pPr>
      <w:rPr>
        <w:rFonts w:ascii="Symbol" w:hAnsi="Symbol" w:hint="default"/>
      </w:rPr>
    </w:lvl>
    <w:lvl w:ilvl="3">
      <w:start w:val="1"/>
      <w:numFmt w:val="bullet"/>
      <w:lvlText w:val=""/>
      <w:lvlJc w:val="left"/>
      <w:pPr>
        <w:tabs>
          <w:tab w:val="num" w:pos="1276"/>
        </w:tabs>
        <w:ind w:left="1276" w:hanging="284"/>
      </w:pPr>
      <w:rPr>
        <w:rFonts w:ascii="Symbol" w:hAnsi="Symbol" w:hint="default"/>
      </w:rPr>
    </w:lvl>
    <w:lvl w:ilvl="4">
      <w:start w:val="1"/>
      <w:numFmt w:val="decimal"/>
      <w:lvlText w:val="%1.%2.%5"/>
      <w:lvlJc w:val="left"/>
      <w:pPr>
        <w:tabs>
          <w:tab w:val="num" w:pos="1418"/>
        </w:tabs>
        <w:ind w:left="1418" w:hanging="709"/>
      </w:pPr>
      <w:rPr>
        <w:rFonts w:hint="default"/>
      </w:rPr>
    </w:lvl>
    <w:lvl w:ilvl="5">
      <w:start w:val="1"/>
      <w:numFmt w:val="bullet"/>
      <w:lvlText w:val=""/>
      <w:lvlJc w:val="left"/>
      <w:pPr>
        <w:tabs>
          <w:tab w:val="num" w:pos="1701"/>
        </w:tabs>
        <w:ind w:left="1701" w:hanging="283"/>
      </w:pPr>
      <w:rPr>
        <w:rFonts w:ascii="Symbol" w:hAnsi="Symbol"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3461278C"/>
    <w:multiLevelType w:val="multilevel"/>
    <w:tmpl w:val="BB6216A4"/>
    <w:lvl w:ilvl="0">
      <w:start w:val="1"/>
      <w:numFmt w:val="decimal"/>
      <w:pStyle w:val="Heading31"/>
      <w:lvlText w:val="%1."/>
      <w:lvlJc w:val="left"/>
      <w:pPr>
        <w:ind w:left="1429" w:hanging="360"/>
      </w:pPr>
      <w:rPr>
        <w:rFonts w:cs="Times New Roman"/>
      </w:rPr>
    </w:lvl>
    <w:lvl w:ilvl="1">
      <w:start w:val="1"/>
      <w:numFmt w:val="decimal"/>
      <w:lvlText w:val="%2."/>
      <w:lvlJc w:val="left"/>
      <w:pPr>
        <w:ind w:left="1804" w:hanging="735"/>
      </w:pPr>
      <w:rPr>
        <w:rFonts w:cs="Times New Roman" w:hint="default"/>
      </w:rPr>
    </w:lvl>
    <w:lvl w:ilvl="2">
      <w:start w:val="1"/>
      <w:numFmt w:val="decimal"/>
      <w:isLgl/>
      <w:lvlText w:val="%1.%2.%3"/>
      <w:lvlJc w:val="left"/>
      <w:pPr>
        <w:ind w:left="1804" w:hanging="735"/>
      </w:pPr>
      <w:rPr>
        <w:rFonts w:cs="Times New Roman" w:hint="default"/>
      </w:rPr>
    </w:lvl>
    <w:lvl w:ilvl="3">
      <w:start w:val="1"/>
      <w:numFmt w:val="decimal"/>
      <w:isLgl/>
      <w:lvlText w:val="%1.%2.%3.%4"/>
      <w:lvlJc w:val="left"/>
      <w:pPr>
        <w:ind w:left="1804" w:hanging="735"/>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149" w:hanging="1080"/>
      </w:pPr>
      <w:rPr>
        <w:rFonts w:cs="Times New Roman" w:hint="default"/>
      </w:rPr>
    </w:lvl>
    <w:lvl w:ilvl="6">
      <w:start w:val="1"/>
      <w:numFmt w:val="decimal"/>
      <w:isLgl/>
      <w:lvlText w:val="%1.%2.%3.%4.%5.%6.%7"/>
      <w:lvlJc w:val="left"/>
      <w:pPr>
        <w:ind w:left="2509" w:hanging="1440"/>
      </w:pPr>
      <w:rPr>
        <w:rFonts w:cs="Times New Roman" w:hint="default"/>
      </w:rPr>
    </w:lvl>
    <w:lvl w:ilvl="7">
      <w:start w:val="1"/>
      <w:numFmt w:val="decimal"/>
      <w:isLgl/>
      <w:lvlText w:val="%1.%2.%3.%4.%5.%6.%7.%8"/>
      <w:lvlJc w:val="left"/>
      <w:pPr>
        <w:ind w:left="2509" w:hanging="1440"/>
      </w:pPr>
      <w:rPr>
        <w:rFonts w:cs="Times New Roman" w:hint="default"/>
      </w:rPr>
    </w:lvl>
    <w:lvl w:ilvl="8">
      <w:start w:val="1"/>
      <w:numFmt w:val="decimal"/>
      <w:isLgl/>
      <w:lvlText w:val="%1.%2.%3.%4.%5.%6.%7.%8.%9"/>
      <w:lvlJc w:val="left"/>
      <w:pPr>
        <w:ind w:left="2869" w:hanging="1800"/>
      </w:pPr>
      <w:rPr>
        <w:rFonts w:cs="Times New Roman" w:hint="default"/>
      </w:rPr>
    </w:lvl>
  </w:abstractNum>
  <w:abstractNum w:abstractNumId="14" w15:restartNumberingAfterBreak="0">
    <w:nsid w:val="3AB73B02"/>
    <w:multiLevelType w:val="hybridMultilevel"/>
    <w:tmpl w:val="54D85CCA"/>
    <w:lvl w:ilvl="0" w:tplc="32624380">
      <w:numFmt w:val="bullet"/>
      <w:pStyle w:val="BodyTextIndent"/>
      <w:lvlText w:val=""/>
      <w:lvlJc w:val="left"/>
      <w:pPr>
        <w:tabs>
          <w:tab w:val="num" w:pos="1914"/>
        </w:tabs>
        <w:ind w:left="1914" w:hanging="397"/>
      </w:pPr>
      <w:rPr>
        <w:rFonts w:ascii="Symbol" w:hAnsi="Symbol" w:hint="default"/>
        <w:color w:val="008080"/>
      </w:rPr>
    </w:lvl>
    <w:lvl w:ilvl="1" w:tplc="E1B6885A">
      <w:start w:val="1"/>
      <w:numFmt w:val="bullet"/>
      <w:lvlText w:val=""/>
      <w:lvlJc w:val="left"/>
      <w:pPr>
        <w:tabs>
          <w:tab w:val="num" w:pos="2220"/>
        </w:tabs>
        <w:ind w:left="2220" w:hanging="360"/>
      </w:pPr>
      <w:rPr>
        <w:rFonts w:ascii="Symbol" w:hAnsi="Symbol" w:hint="default"/>
        <w:color w:val="auto"/>
      </w:rPr>
    </w:lvl>
    <w:lvl w:ilvl="2" w:tplc="7520EA3A" w:tentative="1">
      <w:start w:val="1"/>
      <w:numFmt w:val="bullet"/>
      <w:lvlText w:val=""/>
      <w:lvlJc w:val="left"/>
      <w:pPr>
        <w:tabs>
          <w:tab w:val="num" w:pos="2940"/>
        </w:tabs>
        <w:ind w:left="2940" w:hanging="360"/>
      </w:pPr>
      <w:rPr>
        <w:rFonts w:ascii="Wingdings" w:hAnsi="Wingdings" w:hint="default"/>
      </w:rPr>
    </w:lvl>
    <w:lvl w:ilvl="3" w:tplc="754E956E" w:tentative="1">
      <w:start w:val="1"/>
      <w:numFmt w:val="bullet"/>
      <w:lvlText w:val=""/>
      <w:lvlJc w:val="left"/>
      <w:pPr>
        <w:tabs>
          <w:tab w:val="num" w:pos="3660"/>
        </w:tabs>
        <w:ind w:left="3660" w:hanging="360"/>
      </w:pPr>
      <w:rPr>
        <w:rFonts w:ascii="Symbol" w:hAnsi="Symbol" w:hint="default"/>
      </w:rPr>
    </w:lvl>
    <w:lvl w:ilvl="4" w:tplc="04F8EBA4" w:tentative="1">
      <w:start w:val="1"/>
      <w:numFmt w:val="bullet"/>
      <w:lvlText w:val="o"/>
      <w:lvlJc w:val="left"/>
      <w:pPr>
        <w:tabs>
          <w:tab w:val="num" w:pos="4380"/>
        </w:tabs>
        <w:ind w:left="4380" w:hanging="360"/>
      </w:pPr>
      <w:rPr>
        <w:rFonts w:ascii="Courier New" w:hAnsi="Courier New" w:hint="default"/>
      </w:rPr>
    </w:lvl>
    <w:lvl w:ilvl="5" w:tplc="B2F03A4E" w:tentative="1">
      <w:start w:val="1"/>
      <w:numFmt w:val="bullet"/>
      <w:lvlText w:val=""/>
      <w:lvlJc w:val="left"/>
      <w:pPr>
        <w:tabs>
          <w:tab w:val="num" w:pos="5100"/>
        </w:tabs>
        <w:ind w:left="5100" w:hanging="360"/>
      </w:pPr>
      <w:rPr>
        <w:rFonts w:ascii="Wingdings" w:hAnsi="Wingdings" w:hint="default"/>
      </w:rPr>
    </w:lvl>
    <w:lvl w:ilvl="6" w:tplc="2B2E0334" w:tentative="1">
      <w:start w:val="1"/>
      <w:numFmt w:val="bullet"/>
      <w:lvlText w:val=""/>
      <w:lvlJc w:val="left"/>
      <w:pPr>
        <w:tabs>
          <w:tab w:val="num" w:pos="5820"/>
        </w:tabs>
        <w:ind w:left="5820" w:hanging="360"/>
      </w:pPr>
      <w:rPr>
        <w:rFonts w:ascii="Symbol" w:hAnsi="Symbol" w:hint="default"/>
      </w:rPr>
    </w:lvl>
    <w:lvl w:ilvl="7" w:tplc="647ED6A6" w:tentative="1">
      <w:start w:val="1"/>
      <w:numFmt w:val="bullet"/>
      <w:lvlText w:val="o"/>
      <w:lvlJc w:val="left"/>
      <w:pPr>
        <w:tabs>
          <w:tab w:val="num" w:pos="6540"/>
        </w:tabs>
        <w:ind w:left="6540" w:hanging="360"/>
      </w:pPr>
      <w:rPr>
        <w:rFonts w:ascii="Courier New" w:hAnsi="Courier New" w:hint="default"/>
      </w:rPr>
    </w:lvl>
    <w:lvl w:ilvl="8" w:tplc="3F0618B4" w:tentative="1">
      <w:start w:val="1"/>
      <w:numFmt w:val="bullet"/>
      <w:lvlText w:val=""/>
      <w:lvlJc w:val="left"/>
      <w:pPr>
        <w:tabs>
          <w:tab w:val="num" w:pos="7260"/>
        </w:tabs>
        <w:ind w:left="7260" w:hanging="360"/>
      </w:pPr>
      <w:rPr>
        <w:rFonts w:ascii="Wingdings" w:hAnsi="Wingdings" w:hint="default"/>
      </w:rPr>
    </w:lvl>
  </w:abstractNum>
  <w:abstractNum w:abstractNumId="15" w15:restartNumberingAfterBreak="0">
    <w:nsid w:val="3CE01B29"/>
    <w:multiLevelType w:val="multilevel"/>
    <w:tmpl w:val="A6A81A9E"/>
    <w:lvl w:ilvl="0">
      <w:start w:val="1"/>
      <w:numFmt w:val="decimal"/>
      <w:pStyle w:val="GVABullets"/>
      <w:lvlText w:val="%1."/>
      <w:lvlJc w:val="left"/>
      <w:pPr>
        <w:tabs>
          <w:tab w:val="num" w:pos="709"/>
        </w:tabs>
        <w:ind w:left="709" w:hanging="709"/>
      </w:pPr>
      <w:rPr>
        <w:rFonts w:ascii="Arial" w:eastAsia="Times New Roman" w:hAnsi="Arial" w:cs="Times New Roman"/>
        <w:b/>
        <w:i w:val="0"/>
        <w:sz w:val="32"/>
      </w:rPr>
    </w:lvl>
    <w:lvl w:ilvl="1">
      <w:start w:val="1"/>
      <w:numFmt w:val="decimal"/>
      <w:lvlText w:val="%1.%2"/>
      <w:lvlJc w:val="left"/>
      <w:pPr>
        <w:tabs>
          <w:tab w:val="num" w:pos="709"/>
        </w:tabs>
        <w:ind w:left="709" w:hanging="709"/>
      </w:pPr>
      <w:rPr>
        <w:rFonts w:ascii="Arial" w:hAnsi="Arial" w:cs="Arial" w:hint="default"/>
        <w:b w:val="0"/>
        <w:i w:val="0"/>
        <w:color w:val="auto"/>
        <w:sz w:val="24"/>
        <w:szCs w:val="24"/>
      </w:rPr>
    </w:lvl>
    <w:lvl w:ilvl="2">
      <w:start w:val="1"/>
      <w:numFmt w:val="bullet"/>
      <w:lvlText w:val=""/>
      <w:lvlJc w:val="left"/>
      <w:pPr>
        <w:tabs>
          <w:tab w:val="num" w:pos="1134"/>
        </w:tabs>
        <w:ind w:left="1134" w:hanging="425"/>
      </w:pPr>
      <w:rPr>
        <w:rFonts w:ascii="Symbol" w:hAnsi="Symbol" w:hint="default"/>
        <w:b w:val="0"/>
        <w:i w:val="0"/>
        <w:color w:val="auto"/>
        <w:sz w:val="24"/>
      </w:rPr>
    </w:lvl>
    <w:lvl w:ilvl="3">
      <w:start w:val="1"/>
      <w:numFmt w:val="bullet"/>
      <w:lvlText w:val=""/>
      <w:lvlJc w:val="left"/>
      <w:pPr>
        <w:tabs>
          <w:tab w:val="num" w:pos="1276"/>
        </w:tabs>
        <w:ind w:left="1276" w:hanging="284"/>
      </w:pPr>
      <w:rPr>
        <w:rFonts w:ascii="Symbol" w:hAnsi="Symbol"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3F513A64"/>
    <w:multiLevelType w:val="hybridMultilevel"/>
    <w:tmpl w:val="5FD6E7EC"/>
    <w:lvl w:ilvl="0" w:tplc="190898DE">
      <w:start w:val="1"/>
      <w:numFmt w:val="bullet"/>
      <w:pStyle w:val="Bulletarc4"/>
      <w:lvlText w:val=""/>
      <w:lvlJc w:val="left"/>
      <w:pPr>
        <w:tabs>
          <w:tab w:val="num" w:pos="720"/>
        </w:tabs>
        <w:ind w:left="720" w:hanging="360"/>
      </w:pPr>
      <w:rPr>
        <w:rFonts w:ascii="Symbol" w:hAnsi="Symbol" w:cs="Symbol" w:hint="default"/>
      </w:rPr>
    </w:lvl>
    <w:lvl w:ilvl="1" w:tplc="E7E49476">
      <w:start w:val="1"/>
      <w:numFmt w:val="bullet"/>
      <w:lvlText w:val="o"/>
      <w:lvlJc w:val="left"/>
      <w:pPr>
        <w:tabs>
          <w:tab w:val="num" w:pos="1440"/>
        </w:tabs>
        <w:ind w:left="1440" w:hanging="360"/>
      </w:pPr>
      <w:rPr>
        <w:rFonts w:ascii="Courier New" w:hAnsi="Courier New" w:cs="Courier New" w:hint="default"/>
      </w:rPr>
    </w:lvl>
    <w:lvl w:ilvl="2" w:tplc="ECF044DA">
      <w:start w:val="1"/>
      <w:numFmt w:val="bullet"/>
      <w:lvlText w:val=""/>
      <w:lvlJc w:val="left"/>
      <w:pPr>
        <w:tabs>
          <w:tab w:val="num" w:pos="2160"/>
        </w:tabs>
        <w:ind w:left="2160" w:hanging="360"/>
      </w:pPr>
      <w:rPr>
        <w:rFonts w:ascii="Wingdings" w:hAnsi="Wingdings" w:cs="Wingdings" w:hint="default"/>
      </w:rPr>
    </w:lvl>
    <w:lvl w:ilvl="3" w:tplc="ED0A3636">
      <w:start w:val="1"/>
      <w:numFmt w:val="bullet"/>
      <w:lvlText w:val=""/>
      <w:lvlJc w:val="left"/>
      <w:pPr>
        <w:tabs>
          <w:tab w:val="num" w:pos="2880"/>
        </w:tabs>
        <w:ind w:left="2880" w:hanging="360"/>
      </w:pPr>
      <w:rPr>
        <w:rFonts w:ascii="Symbol" w:hAnsi="Symbol" w:cs="Symbol" w:hint="default"/>
      </w:rPr>
    </w:lvl>
    <w:lvl w:ilvl="4" w:tplc="4288DC7E">
      <w:start w:val="1"/>
      <w:numFmt w:val="bullet"/>
      <w:lvlText w:val="o"/>
      <w:lvlJc w:val="left"/>
      <w:pPr>
        <w:tabs>
          <w:tab w:val="num" w:pos="3600"/>
        </w:tabs>
        <w:ind w:left="3600" w:hanging="360"/>
      </w:pPr>
      <w:rPr>
        <w:rFonts w:ascii="Courier New" w:hAnsi="Courier New" w:cs="Courier New" w:hint="default"/>
      </w:rPr>
    </w:lvl>
    <w:lvl w:ilvl="5" w:tplc="83AE40F4">
      <w:start w:val="1"/>
      <w:numFmt w:val="bullet"/>
      <w:lvlText w:val=""/>
      <w:lvlJc w:val="left"/>
      <w:pPr>
        <w:tabs>
          <w:tab w:val="num" w:pos="4320"/>
        </w:tabs>
        <w:ind w:left="4320" w:hanging="360"/>
      </w:pPr>
      <w:rPr>
        <w:rFonts w:ascii="Wingdings" w:hAnsi="Wingdings" w:cs="Wingdings" w:hint="default"/>
      </w:rPr>
    </w:lvl>
    <w:lvl w:ilvl="6" w:tplc="373458DC">
      <w:start w:val="1"/>
      <w:numFmt w:val="bullet"/>
      <w:lvlText w:val=""/>
      <w:lvlJc w:val="left"/>
      <w:pPr>
        <w:tabs>
          <w:tab w:val="num" w:pos="5040"/>
        </w:tabs>
        <w:ind w:left="5040" w:hanging="360"/>
      </w:pPr>
      <w:rPr>
        <w:rFonts w:ascii="Symbol" w:hAnsi="Symbol" w:cs="Symbol" w:hint="default"/>
      </w:rPr>
    </w:lvl>
    <w:lvl w:ilvl="7" w:tplc="768EA056">
      <w:start w:val="1"/>
      <w:numFmt w:val="bullet"/>
      <w:lvlText w:val="o"/>
      <w:lvlJc w:val="left"/>
      <w:pPr>
        <w:tabs>
          <w:tab w:val="num" w:pos="5760"/>
        </w:tabs>
        <w:ind w:left="5760" w:hanging="360"/>
      </w:pPr>
      <w:rPr>
        <w:rFonts w:ascii="Courier New" w:hAnsi="Courier New" w:cs="Courier New" w:hint="default"/>
      </w:rPr>
    </w:lvl>
    <w:lvl w:ilvl="8" w:tplc="90522328">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4A6E200B"/>
    <w:multiLevelType w:val="multilevel"/>
    <w:tmpl w:val="2D2C4178"/>
    <w:styleLink w:val="Reportnumberingstyle"/>
    <w:lvl w:ilvl="0">
      <w:start w:val="1"/>
      <w:numFmt w:val="decimal"/>
      <w:lvlText w:val="%1."/>
      <w:lvlJc w:val="left"/>
      <w:pPr>
        <w:ind w:left="709" w:hanging="709"/>
      </w:pPr>
      <w:rPr>
        <w:rFonts w:ascii="Arial" w:hAnsi="Arial" w:hint="default"/>
        <w:color w:val="0070C0"/>
        <w:sz w:val="40"/>
      </w:rPr>
    </w:lvl>
    <w:lvl w:ilvl="1">
      <w:start w:val="1"/>
      <w:numFmt w:val="decimal"/>
      <w:lvlText w:val="%1.%2"/>
      <w:lvlJc w:val="left"/>
      <w:pPr>
        <w:ind w:left="709" w:hanging="709"/>
      </w:pPr>
      <w:rPr>
        <w:rFonts w:ascii="Arial" w:hAnsi="Arial" w:hint="default"/>
        <w:color w:val="auto"/>
        <w:sz w:val="22"/>
      </w:rPr>
    </w:lvl>
    <w:lvl w:ilvl="2">
      <w:start w:val="1"/>
      <w:numFmt w:val="lowerRoman"/>
      <w:lvlText w:val="%3."/>
      <w:lvlJc w:val="right"/>
      <w:pPr>
        <w:ind w:left="709" w:hanging="709"/>
      </w:pPr>
      <w:rPr>
        <w:rFonts w:hint="default"/>
      </w:rPr>
    </w:lvl>
    <w:lvl w:ilvl="3">
      <w:start w:val="1"/>
      <w:numFmt w:val="decimal"/>
      <w:lvlText w:val="%4."/>
      <w:lvlJc w:val="left"/>
      <w:pPr>
        <w:ind w:left="709" w:hanging="709"/>
      </w:pPr>
      <w:rPr>
        <w:rFonts w:hint="default"/>
      </w:rPr>
    </w:lvl>
    <w:lvl w:ilvl="4">
      <w:start w:val="1"/>
      <w:numFmt w:val="lowerLetter"/>
      <w:lvlText w:val="%5."/>
      <w:lvlJc w:val="left"/>
      <w:pPr>
        <w:ind w:left="709" w:hanging="709"/>
      </w:pPr>
      <w:rPr>
        <w:rFonts w:hint="default"/>
      </w:rPr>
    </w:lvl>
    <w:lvl w:ilvl="5">
      <w:start w:val="1"/>
      <w:numFmt w:val="lowerRoman"/>
      <w:lvlText w:val="%6."/>
      <w:lvlJc w:val="right"/>
      <w:pPr>
        <w:ind w:left="709" w:hanging="709"/>
      </w:pPr>
      <w:rPr>
        <w:rFonts w:hint="default"/>
      </w:rPr>
    </w:lvl>
    <w:lvl w:ilvl="6">
      <w:start w:val="1"/>
      <w:numFmt w:val="decimal"/>
      <w:lvlText w:val="%7."/>
      <w:lvlJc w:val="left"/>
      <w:pPr>
        <w:ind w:left="709" w:hanging="709"/>
      </w:pPr>
      <w:rPr>
        <w:rFonts w:hint="default"/>
      </w:rPr>
    </w:lvl>
    <w:lvl w:ilvl="7">
      <w:start w:val="1"/>
      <w:numFmt w:val="lowerLetter"/>
      <w:lvlText w:val="%8."/>
      <w:lvlJc w:val="left"/>
      <w:pPr>
        <w:ind w:left="709" w:hanging="709"/>
      </w:pPr>
      <w:rPr>
        <w:rFonts w:hint="default"/>
      </w:rPr>
    </w:lvl>
    <w:lvl w:ilvl="8">
      <w:start w:val="1"/>
      <w:numFmt w:val="lowerRoman"/>
      <w:lvlText w:val="%9."/>
      <w:lvlJc w:val="right"/>
      <w:pPr>
        <w:ind w:left="709" w:hanging="709"/>
      </w:pPr>
      <w:rPr>
        <w:rFonts w:hint="default"/>
      </w:rPr>
    </w:lvl>
  </w:abstractNum>
  <w:abstractNum w:abstractNumId="18" w15:restartNumberingAfterBreak="0">
    <w:nsid w:val="4AB96564"/>
    <w:multiLevelType w:val="multilevel"/>
    <w:tmpl w:val="EE82B3C4"/>
    <w:lvl w:ilvl="0">
      <w:start w:val="1"/>
      <w:numFmt w:val="decimal"/>
      <w:lvlText w:val="%1.0"/>
      <w:lvlJc w:val="left"/>
      <w:pPr>
        <w:tabs>
          <w:tab w:val="num" w:pos="851"/>
        </w:tabs>
        <w:ind w:left="851" w:hanging="851"/>
      </w:pPr>
      <w:rPr>
        <w:rFonts w:hint="default"/>
      </w:rPr>
    </w:lvl>
    <w:lvl w:ilvl="1">
      <w:start w:val="1"/>
      <w:numFmt w:val="decimal"/>
      <w:pStyle w:val="StyleMaintextGillSansMT"/>
      <w:lvlText w:val="%1.%2"/>
      <w:lvlJc w:val="left"/>
      <w:pPr>
        <w:tabs>
          <w:tab w:val="num" w:pos="709"/>
        </w:tabs>
        <w:ind w:left="709" w:hanging="709"/>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4E10754F"/>
    <w:multiLevelType w:val="multilevel"/>
    <w:tmpl w:val="A502B9AE"/>
    <w:styleLink w:val="Reportnumberingstyle5"/>
    <w:lvl w:ilvl="0">
      <w:start w:val="1"/>
      <w:numFmt w:val="decimal"/>
      <w:lvlText w:val="%1.1"/>
      <w:lvlJc w:val="left"/>
      <w:pPr>
        <w:tabs>
          <w:tab w:val="num" w:pos="432"/>
        </w:tabs>
        <w:ind w:left="432" w:hanging="432"/>
      </w:pPr>
      <w:rPr>
        <w:rFonts w:hint="default"/>
      </w:rPr>
    </w:lvl>
    <w:lvl w:ilvl="1">
      <w:start w:val="1"/>
      <w:numFmt w:val="decimal"/>
      <w:pStyle w:val="BodyCopy"/>
      <w:lvlText w:val="%2%1.0"/>
      <w:lvlJc w:val="left"/>
      <w:pPr>
        <w:tabs>
          <w:tab w:val="num" w:pos="709"/>
        </w:tabs>
        <w:ind w:left="709" w:hanging="709"/>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4F7E6AD0"/>
    <w:multiLevelType w:val="multilevel"/>
    <w:tmpl w:val="7B3AFE68"/>
    <w:lvl w:ilvl="0">
      <w:start w:val="2"/>
      <w:numFmt w:val="upperLetter"/>
      <w:lvlText w:val="%1"/>
      <w:lvlJc w:val="left"/>
      <w:pPr>
        <w:tabs>
          <w:tab w:val="num" w:pos="709"/>
        </w:tabs>
        <w:ind w:left="709" w:hanging="709"/>
      </w:pPr>
      <w:rPr>
        <w:rFonts w:hint="default"/>
      </w:rPr>
    </w:lvl>
    <w:lvl w:ilvl="1">
      <w:start w:val="1"/>
      <w:numFmt w:val="decimal"/>
      <w:lvlText w:val="B.%2"/>
      <w:lvlJc w:val="left"/>
      <w:pPr>
        <w:tabs>
          <w:tab w:val="num" w:pos="709"/>
        </w:tabs>
        <w:ind w:left="709" w:hanging="709"/>
      </w:pPr>
      <w:rPr>
        <w:rFonts w:hint="default"/>
        <w:b w:val="0"/>
        <w:i w:val="0"/>
        <w:color w:val="auto"/>
        <w:sz w:val="24"/>
        <w:szCs w:val="24"/>
      </w:rPr>
    </w:lvl>
    <w:lvl w:ilvl="2">
      <w:start w:val="1"/>
      <w:numFmt w:val="bullet"/>
      <w:lvlText w:val=""/>
      <w:lvlJc w:val="left"/>
      <w:pPr>
        <w:tabs>
          <w:tab w:val="num" w:pos="992"/>
        </w:tabs>
        <w:ind w:left="992" w:hanging="283"/>
      </w:pPr>
      <w:rPr>
        <w:rFonts w:ascii="Symbol" w:hAnsi="Symbol" w:hint="default"/>
        <w:color w:val="009999"/>
      </w:rPr>
    </w:lvl>
    <w:lvl w:ilvl="3">
      <w:start w:val="1"/>
      <w:numFmt w:val="bullet"/>
      <w:lvlText w:val=""/>
      <w:lvlJc w:val="left"/>
      <w:pPr>
        <w:tabs>
          <w:tab w:val="num" w:pos="1276"/>
        </w:tabs>
        <w:ind w:left="1276" w:hanging="284"/>
      </w:pPr>
      <w:rPr>
        <w:rFonts w:ascii="Symbol" w:hAnsi="Symbol" w:hint="default"/>
      </w:rPr>
    </w:lvl>
    <w:lvl w:ilvl="4">
      <w:start w:val="1"/>
      <w:numFmt w:val="decimal"/>
      <w:lvlText w:val="%1.%2.%5"/>
      <w:lvlJc w:val="left"/>
      <w:pPr>
        <w:tabs>
          <w:tab w:val="num" w:pos="1418"/>
        </w:tabs>
        <w:ind w:left="1418" w:hanging="709"/>
      </w:pPr>
      <w:rPr>
        <w:rFonts w:hint="default"/>
      </w:rPr>
    </w:lvl>
    <w:lvl w:ilvl="5">
      <w:start w:val="1"/>
      <w:numFmt w:val="bullet"/>
      <w:lvlText w:val=""/>
      <w:lvlJc w:val="left"/>
      <w:pPr>
        <w:tabs>
          <w:tab w:val="num" w:pos="1701"/>
        </w:tabs>
        <w:ind w:left="1701" w:hanging="283"/>
      </w:pPr>
      <w:rPr>
        <w:rFonts w:ascii="Symbol" w:hAnsi="Symbol"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5373240A"/>
    <w:multiLevelType w:val="multilevel"/>
    <w:tmpl w:val="CC240856"/>
    <w:lvl w:ilvl="0">
      <w:start w:val="1"/>
      <w:numFmt w:val="decimal"/>
      <w:lvlText w:val="%1.0"/>
      <w:lvlJc w:val="left"/>
      <w:pPr>
        <w:tabs>
          <w:tab w:val="num" w:pos="709"/>
        </w:tabs>
        <w:ind w:left="709" w:hanging="709"/>
      </w:pPr>
      <w:rPr>
        <w:rFonts w:hint="default"/>
      </w:rPr>
    </w:lvl>
    <w:lvl w:ilvl="1">
      <w:start w:val="1"/>
      <w:numFmt w:val="decimal"/>
      <w:pStyle w:val="StyleMaintextJustified1"/>
      <w:lvlText w:val="%1.%2"/>
      <w:lvlJc w:val="left"/>
      <w:pPr>
        <w:tabs>
          <w:tab w:val="num" w:pos="709"/>
        </w:tabs>
        <w:ind w:left="709" w:hanging="709"/>
      </w:pPr>
      <w:rPr>
        <w:rFonts w:hint="default"/>
      </w:rPr>
    </w:lvl>
    <w:lvl w:ilvl="2">
      <w:start w:val="1"/>
      <w:numFmt w:val="bullet"/>
      <w:lvlText w:val=""/>
      <w:lvlJc w:val="left"/>
      <w:pPr>
        <w:tabs>
          <w:tab w:val="num" w:pos="992"/>
        </w:tabs>
        <w:ind w:left="992" w:hanging="283"/>
      </w:pPr>
      <w:rPr>
        <w:rFonts w:ascii="Symbol" w:hAnsi="Symbol" w:hint="default"/>
      </w:rPr>
    </w:lvl>
    <w:lvl w:ilvl="3">
      <w:start w:val="1"/>
      <w:numFmt w:val="bullet"/>
      <w:lvlText w:val=""/>
      <w:lvlJc w:val="left"/>
      <w:pPr>
        <w:tabs>
          <w:tab w:val="num" w:pos="1134"/>
        </w:tabs>
        <w:ind w:left="1134" w:hanging="142"/>
      </w:pPr>
      <w:rPr>
        <w:rFonts w:ascii="Symbol" w:hAnsi="Symbol"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5441000F"/>
    <w:multiLevelType w:val="multilevel"/>
    <w:tmpl w:val="1A5A74D8"/>
    <w:lvl w:ilvl="0">
      <w:start w:val="1"/>
      <w:numFmt w:val="upp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575C3F0E"/>
    <w:multiLevelType w:val="multilevel"/>
    <w:tmpl w:val="C13CA6AC"/>
    <w:lvl w:ilvl="0">
      <w:start w:val="1"/>
      <w:numFmt w:val="upperLetter"/>
      <w:lvlText w:val="%1.0"/>
      <w:lvlJc w:val="left"/>
      <w:pPr>
        <w:tabs>
          <w:tab w:val="num" w:pos="709"/>
        </w:tabs>
        <w:ind w:left="709" w:hanging="709"/>
      </w:pPr>
      <w:rPr>
        <w:rFonts w:hint="default"/>
      </w:rPr>
    </w:lvl>
    <w:lvl w:ilvl="1">
      <w:start w:val="1"/>
      <w:numFmt w:val="decimal"/>
      <w:lvlText w:val="B.%2"/>
      <w:lvlJc w:val="left"/>
      <w:pPr>
        <w:tabs>
          <w:tab w:val="num" w:pos="709"/>
        </w:tabs>
        <w:ind w:left="709" w:hanging="709"/>
      </w:pPr>
      <w:rPr>
        <w:rFonts w:hint="default"/>
        <w:b w:val="0"/>
        <w:i w:val="0"/>
        <w:color w:val="auto"/>
        <w:sz w:val="22"/>
        <w:szCs w:val="22"/>
      </w:rPr>
    </w:lvl>
    <w:lvl w:ilvl="2">
      <w:start w:val="1"/>
      <w:numFmt w:val="bullet"/>
      <w:lvlText w:val=""/>
      <w:lvlJc w:val="left"/>
      <w:pPr>
        <w:tabs>
          <w:tab w:val="num" w:pos="992"/>
        </w:tabs>
        <w:ind w:left="992" w:hanging="283"/>
      </w:pPr>
      <w:rPr>
        <w:rFonts w:ascii="Symbol" w:hAnsi="Symbol" w:hint="default"/>
      </w:rPr>
    </w:lvl>
    <w:lvl w:ilvl="3">
      <w:start w:val="1"/>
      <w:numFmt w:val="bullet"/>
      <w:lvlText w:val=""/>
      <w:lvlJc w:val="left"/>
      <w:pPr>
        <w:tabs>
          <w:tab w:val="num" w:pos="1276"/>
        </w:tabs>
        <w:ind w:left="1276" w:hanging="284"/>
      </w:pPr>
      <w:rPr>
        <w:rFonts w:ascii="Symbol" w:hAnsi="Symbol" w:hint="default"/>
      </w:rPr>
    </w:lvl>
    <w:lvl w:ilvl="4">
      <w:start w:val="1"/>
      <w:numFmt w:val="decimal"/>
      <w:lvlText w:val="%1.%2.%5"/>
      <w:lvlJc w:val="left"/>
      <w:pPr>
        <w:tabs>
          <w:tab w:val="num" w:pos="1418"/>
        </w:tabs>
        <w:ind w:left="1418" w:hanging="709"/>
      </w:pPr>
      <w:rPr>
        <w:rFonts w:hint="default"/>
      </w:rPr>
    </w:lvl>
    <w:lvl w:ilvl="5">
      <w:start w:val="1"/>
      <w:numFmt w:val="bullet"/>
      <w:lvlText w:val=""/>
      <w:lvlJc w:val="left"/>
      <w:pPr>
        <w:tabs>
          <w:tab w:val="num" w:pos="1701"/>
        </w:tabs>
        <w:ind w:left="1701" w:hanging="283"/>
      </w:pPr>
      <w:rPr>
        <w:rFonts w:ascii="Symbol" w:hAnsi="Symbol"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5A9A2144"/>
    <w:multiLevelType w:val="hybridMultilevel"/>
    <w:tmpl w:val="DCEA7F1A"/>
    <w:lvl w:ilvl="0" w:tplc="D4CAE75A">
      <w:start w:val="1"/>
      <w:numFmt w:val="bullet"/>
      <w:pStyle w:val="bullets"/>
      <w:lvlText w:val=""/>
      <w:lvlJc w:val="left"/>
      <w:pPr>
        <w:tabs>
          <w:tab w:val="num" w:pos="720"/>
        </w:tabs>
        <w:ind w:left="720" w:hanging="360"/>
      </w:pPr>
      <w:rPr>
        <w:rFonts w:ascii="Symbol" w:hAnsi="Symbol" w:hint="default"/>
      </w:rPr>
    </w:lvl>
    <w:lvl w:ilvl="1" w:tplc="06CE577C" w:tentative="1">
      <w:start w:val="1"/>
      <w:numFmt w:val="bullet"/>
      <w:lvlText w:val="o"/>
      <w:lvlJc w:val="left"/>
      <w:pPr>
        <w:tabs>
          <w:tab w:val="num" w:pos="1440"/>
        </w:tabs>
        <w:ind w:left="1440" w:hanging="360"/>
      </w:pPr>
      <w:rPr>
        <w:rFonts w:ascii="Courier New" w:hAnsi="Courier New" w:cs="Courier New" w:hint="default"/>
      </w:rPr>
    </w:lvl>
    <w:lvl w:ilvl="2" w:tplc="C9B4BB2A" w:tentative="1">
      <w:start w:val="1"/>
      <w:numFmt w:val="bullet"/>
      <w:lvlText w:val=""/>
      <w:lvlJc w:val="left"/>
      <w:pPr>
        <w:tabs>
          <w:tab w:val="num" w:pos="2160"/>
        </w:tabs>
        <w:ind w:left="2160" w:hanging="360"/>
      </w:pPr>
      <w:rPr>
        <w:rFonts w:ascii="Wingdings" w:hAnsi="Wingdings" w:hint="default"/>
      </w:rPr>
    </w:lvl>
    <w:lvl w:ilvl="3" w:tplc="EB18ABFA" w:tentative="1">
      <w:start w:val="1"/>
      <w:numFmt w:val="bullet"/>
      <w:lvlText w:val=""/>
      <w:lvlJc w:val="left"/>
      <w:pPr>
        <w:tabs>
          <w:tab w:val="num" w:pos="2880"/>
        </w:tabs>
        <w:ind w:left="2880" w:hanging="360"/>
      </w:pPr>
      <w:rPr>
        <w:rFonts w:ascii="Symbol" w:hAnsi="Symbol" w:hint="default"/>
      </w:rPr>
    </w:lvl>
    <w:lvl w:ilvl="4" w:tplc="40069FB6" w:tentative="1">
      <w:start w:val="1"/>
      <w:numFmt w:val="bullet"/>
      <w:lvlText w:val="o"/>
      <w:lvlJc w:val="left"/>
      <w:pPr>
        <w:tabs>
          <w:tab w:val="num" w:pos="3600"/>
        </w:tabs>
        <w:ind w:left="3600" w:hanging="360"/>
      </w:pPr>
      <w:rPr>
        <w:rFonts w:ascii="Courier New" w:hAnsi="Courier New" w:cs="Courier New" w:hint="default"/>
      </w:rPr>
    </w:lvl>
    <w:lvl w:ilvl="5" w:tplc="7EDA19AA" w:tentative="1">
      <w:start w:val="1"/>
      <w:numFmt w:val="bullet"/>
      <w:lvlText w:val=""/>
      <w:lvlJc w:val="left"/>
      <w:pPr>
        <w:tabs>
          <w:tab w:val="num" w:pos="4320"/>
        </w:tabs>
        <w:ind w:left="4320" w:hanging="360"/>
      </w:pPr>
      <w:rPr>
        <w:rFonts w:ascii="Wingdings" w:hAnsi="Wingdings" w:hint="default"/>
      </w:rPr>
    </w:lvl>
    <w:lvl w:ilvl="6" w:tplc="DC80B8F8" w:tentative="1">
      <w:start w:val="1"/>
      <w:numFmt w:val="bullet"/>
      <w:lvlText w:val=""/>
      <w:lvlJc w:val="left"/>
      <w:pPr>
        <w:tabs>
          <w:tab w:val="num" w:pos="5040"/>
        </w:tabs>
        <w:ind w:left="5040" w:hanging="360"/>
      </w:pPr>
      <w:rPr>
        <w:rFonts w:ascii="Symbol" w:hAnsi="Symbol" w:hint="default"/>
      </w:rPr>
    </w:lvl>
    <w:lvl w:ilvl="7" w:tplc="B7049C24" w:tentative="1">
      <w:start w:val="1"/>
      <w:numFmt w:val="bullet"/>
      <w:lvlText w:val="o"/>
      <w:lvlJc w:val="left"/>
      <w:pPr>
        <w:tabs>
          <w:tab w:val="num" w:pos="5760"/>
        </w:tabs>
        <w:ind w:left="5760" w:hanging="360"/>
      </w:pPr>
      <w:rPr>
        <w:rFonts w:ascii="Courier New" w:hAnsi="Courier New" w:cs="Courier New" w:hint="default"/>
      </w:rPr>
    </w:lvl>
    <w:lvl w:ilvl="8" w:tplc="7C88142A"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D8D4594"/>
    <w:multiLevelType w:val="multilevel"/>
    <w:tmpl w:val="57F245DE"/>
    <w:lvl w:ilvl="0">
      <w:start w:val="1"/>
      <w:numFmt w:val="decimal"/>
      <w:pStyle w:val="Heading1"/>
      <w:lvlText w:val="%1."/>
      <w:lvlJc w:val="left"/>
      <w:pPr>
        <w:tabs>
          <w:tab w:val="num" w:pos="709"/>
        </w:tabs>
        <w:ind w:left="709" w:hanging="709"/>
      </w:pPr>
      <w:rPr>
        <w:rFonts w:ascii="Calibri" w:hAnsi="Calibri" w:cs="Times New Roman" w:hint="default"/>
        <w:b w:val="0"/>
        <w:bCs w:val="0"/>
        <w:i w:val="0"/>
        <w:iCs w:val="0"/>
        <w:caps w:val="0"/>
        <w:smallCaps w:val="0"/>
        <w:strike w:val="0"/>
        <w:dstrike w:val="0"/>
        <w:noProof w:val="0"/>
        <w:vanish w:val="0"/>
        <w:color w:val="009999"/>
        <w:spacing w:val="0"/>
        <w:kern w:val="0"/>
        <w:position w:val="0"/>
        <w:sz w:val="4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Reporttext"/>
      <w:lvlText w:val="%1.%2"/>
      <w:lvlJc w:val="left"/>
      <w:pPr>
        <w:tabs>
          <w:tab w:val="num" w:pos="4680"/>
        </w:tabs>
        <w:ind w:left="709" w:hanging="709"/>
      </w:pPr>
      <w:rPr>
        <w:rFonts w:ascii="Calibri" w:hAnsi="Calibri"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Text w:val=""/>
      <w:lvlJc w:val="left"/>
      <w:pPr>
        <w:tabs>
          <w:tab w:val="num" w:pos="992"/>
        </w:tabs>
        <w:ind w:left="992" w:hanging="283"/>
      </w:pPr>
      <w:rPr>
        <w:rFonts w:ascii="Symbol" w:hAnsi="Symbol" w:hint="default"/>
        <w:color w:val="auto"/>
      </w:rPr>
    </w:lvl>
    <w:lvl w:ilvl="3">
      <w:start w:val="1"/>
      <w:numFmt w:val="bullet"/>
      <w:lvlText w:val=""/>
      <w:lvlJc w:val="left"/>
      <w:pPr>
        <w:tabs>
          <w:tab w:val="num" w:pos="1276"/>
        </w:tabs>
        <w:ind w:left="1276" w:hanging="284"/>
      </w:pPr>
      <w:rPr>
        <w:rFonts w:ascii="Symbol" w:hAnsi="Symbol"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5EE25171"/>
    <w:multiLevelType w:val="multilevel"/>
    <w:tmpl w:val="E86C2678"/>
    <w:lvl w:ilvl="0">
      <w:start w:val="1"/>
      <w:numFmt w:val="decimal"/>
      <w:lvlText w:val="%1"/>
      <w:lvlJc w:val="left"/>
      <w:pPr>
        <w:tabs>
          <w:tab w:val="num" w:pos="567"/>
        </w:tabs>
        <w:ind w:left="567" w:hanging="567"/>
      </w:pPr>
    </w:lvl>
    <w:lvl w:ilvl="1">
      <w:start w:val="1"/>
      <w:numFmt w:val="decimal"/>
      <w:isLgl/>
      <w:lvlText w:val="%1.%2"/>
      <w:lvlJc w:val="left"/>
      <w:pPr>
        <w:tabs>
          <w:tab w:val="num" w:pos="1418"/>
        </w:tabs>
        <w:ind w:left="1418" w:hanging="851"/>
      </w:pPr>
    </w:lvl>
    <w:lvl w:ilvl="2">
      <w:start w:val="1"/>
      <w:numFmt w:val="decimal"/>
      <w:lvlText w:val="%1.%2.%3"/>
      <w:lvlJc w:val="left"/>
      <w:pPr>
        <w:tabs>
          <w:tab w:val="num" w:pos="2268"/>
        </w:tabs>
        <w:ind w:left="2268" w:hanging="850"/>
      </w:pPr>
    </w:lvl>
    <w:lvl w:ilvl="3">
      <w:start w:val="1"/>
      <w:numFmt w:val="lowerLetter"/>
      <w:pStyle w:val="prec4"/>
      <w:lvlText w:val="(%4)"/>
      <w:lvlJc w:val="left"/>
      <w:pPr>
        <w:tabs>
          <w:tab w:val="num" w:pos="3119"/>
        </w:tabs>
        <w:ind w:left="3119" w:hanging="567"/>
      </w:pPr>
    </w:lvl>
    <w:lvl w:ilvl="4">
      <w:start w:val="1"/>
      <w:numFmt w:val="lowerRoman"/>
      <w:lvlText w:val="(%5)"/>
      <w:lvlJc w:val="left"/>
      <w:pPr>
        <w:tabs>
          <w:tab w:val="num" w:pos="3555"/>
        </w:tabs>
        <w:ind w:left="3402" w:hanging="567"/>
      </w:pPr>
    </w:lvl>
    <w:lvl w:ilvl="5">
      <w:start w:val="1"/>
      <w:numFmt w:val="none"/>
      <w:isLgl/>
      <w:lvlText w:val=""/>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15:restartNumberingAfterBreak="0">
    <w:nsid w:val="65F375BB"/>
    <w:multiLevelType w:val="hybridMultilevel"/>
    <w:tmpl w:val="9EB880C0"/>
    <w:lvl w:ilvl="0" w:tplc="04090001">
      <w:start w:val="1"/>
      <w:numFmt w:val="bullet"/>
      <w:lvlText w:val=""/>
      <w:lvlJc w:val="left"/>
      <w:pPr>
        <w:ind w:left="1797" w:hanging="360"/>
      </w:pPr>
      <w:rPr>
        <w:rFonts w:ascii="Symbol" w:hAnsi="Symbol" w:hint="default"/>
      </w:rPr>
    </w:lvl>
    <w:lvl w:ilvl="1" w:tplc="04090003" w:tentative="1">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28" w15:restartNumberingAfterBreak="0">
    <w:nsid w:val="68AB2CCA"/>
    <w:multiLevelType w:val="hybridMultilevel"/>
    <w:tmpl w:val="0E486536"/>
    <w:lvl w:ilvl="0" w:tplc="2014E4FE">
      <w:start w:val="1"/>
      <w:numFmt w:val="decimal"/>
      <w:pStyle w:val="3bullet"/>
      <w:lvlText w:val="%1."/>
      <w:lvlJc w:val="left"/>
      <w:pPr>
        <w:tabs>
          <w:tab w:val="num" w:pos="928"/>
        </w:tabs>
        <w:ind w:left="928" w:hanging="360"/>
      </w:pPr>
      <w:rPr>
        <w:rFonts w:ascii="Arial" w:hAnsi="Arial" w:hint="default"/>
        <w:sz w:val="28"/>
        <w:szCs w:val="28"/>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AC5567B"/>
    <w:multiLevelType w:val="hybridMultilevel"/>
    <w:tmpl w:val="AD0C499A"/>
    <w:lvl w:ilvl="0" w:tplc="B67414FE">
      <w:start w:val="1"/>
      <w:numFmt w:val="lowerLetter"/>
      <w:pStyle w:val="abullet"/>
      <w:lvlText w:val="%1."/>
      <w:lvlJc w:val="left"/>
      <w:pPr>
        <w:tabs>
          <w:tab w:val="num" w:pos="688"/>
        </w:tabs>
        <w:ind w:left="688" w:hanging="405"/>
      </w:pPr>
      <w:rPr>
        <w:rFonts w:hint="default"/>
        <w:sz w:val="28"/>
        <w:szCs w:val="28"/>
      </w:rPr>
    </w:lvl>
    <w:lvl w:ilvl="1" w:tplc="04090019" w:tentative="1">
      <w:start w:val="1"/>
      <w:numFmt w:val="lowerLetter"/>
      <w:lvlText w:val="%2."/>
      <w:lvlJc w:val="left"/>
      <w:pPr>
        <w:tabs>
          <w:tab w:val="num" w:pos="1363"/>
        </w:tabs>
        <w:ind w:left="1363" w:hanging="360"/>
      </w:pPr>
    </w:lvl>
    <w:lvl w:ilvl="2" w:tplc="0409001B" w:tentative="1">
      <w:start w:val="1"/>
      <w:numFmt w:val="lowerRoman"/>
      <w:lvlText w:val="%3."/>
      <w:lvlJc w:val="right"/>
      <w:pPr>
        <w:tabs>
          <w:tab w:val="num" w:pos="2083"/>
        </w:tabs>
        <w:ind w:left="2083" w:hanging="180"/>
      </w:pPr>
    </w:lvl>
    <w:lvl w:ilvl="3" w:tplc="0409000F" w:tentative="1">
      <w:start w:val="1"/>
      <w:numFmt w:val="decimal"/>
      <w:lvlText w:val="%4."/>
      <w:lvlJc w:val="left"/>
      <w:pPr>
        <w:tabs>
          <w:tab w:val="num" w:pos="2803"/>
        </w:tabs>
        <w:ind w:left="2803" w:hanging="360"/>
      </w:pPr>
    </w:lvl>
    <w:lvl w:ilvl="4" w:tplc="04090019" w:tentative="1">
      <w:start w:val="1"/>
      <w:numFmt w:val="lowerLetter"/>
      <w:lvlText w:val="%5."/>
      <w:lvlJc w:val="left"/>
      <w:pPr>
        <w:tabs>
          <w:tab w:val="num" w:pos="3523"/>
        </w:tabs>
        <w:ind w:left="3523" w:hanging="360"/>
      </w:pPr>
    </w:lvl>
    <w:lvl w:ilvl="5" w:tplc="0409001B" w:tentative="1">
      <w:start w:val="1"/>
      <w:numFmt w:val="lowerRoman"/>
      <w:lvlText w:val="%6."/>
      <w:lvlJc w:val="right"/>
      <w:pPr>
        <w:tabs>
          <w:tab w:val="num" w:pos="4243"/>
        </w:tabs>
        <w:ind w:left="4243" w:hanging="180"/>
      </w:pPr>
    </w:lvl>
    <w:lvl w:ilvl="6" w:tplc="0409000F" w:tentative="1">
      <w:start w:val="1"/>
      <w:numFmt w:val="decimal"/>
      <w:lvlText w:val="%7."/>
      <w:lvlJc w:val="left"/>
      <w:pPr>
        <w:tabs>
          <w:tab w:val="num" w:pos="4963"/>
        </w:tabs>
        <w:ind w:left="4963" w:hanging="360"/>
      </w:pPr>
    </w:lvl>
    <w:lvl w:ilvl="7" w:tplc="04090019" w:tentative="1">
      <w:start w:val="1"/>
      <w:numFmt w:val="lowerLetter"/>
      <w:lvlText w:val="%8."/>
      <w:lvlJc w:val="left"/>
      <w:pPr>
        <w:tabs>
          <w:tab w:val="num" w:pos="5683"/>
        </w:tabs>
        <w:ind w:left="5683" w:hanging="360"/>
      </w:pPr>
    </w:lvl>
    <w:lvl w:ilvl="8" w:tplc="0409001B" w:tentative="1">
      <w:start w:val="1"/>
      <w:numFmt w:val="lowerRoman"/>
      <w:lvlText w:val="%9."/>
      <w:lvlJc w:val="right"/>
      <w:pPr>
        <w:tabs>
          <w:tab w:val="num" w:pos="6403"/>
        </w:tabs>
        <w:ind w:left="6403" w:hanging="180"/>
      </w:pPr>
    </w:lvl>
  </w:abstractNum>
  <w:abstractNum w:abstractNumId="30" w15:restartNumberingAfterBreak="0">
    <w:nsid w:val="6BA73DAB"/>
    <w:multiLevelType w:val="hybridMultilevel"/>
    <w:tmpl w:val="CC381C62"/>
    <w:lvl w:ilvl="0" w:tplc="39A86BD8">
      <w:start w:val="1"/>
      <w:numFmt w:val="upperLetter"/>
      <w:lvlText w:val="%1."/>
      <w:lvlJc w:val="left"/>
      <w:pPr>
        <w:ind w:left="1069" w:hanging="360"/>
      </w:pPr>
      <w:rPr>
        <w:rFonts w:hint="default"/>
        <w:b/>
        <w:i/>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15:restartNumberingAfterBreak="0">
    <w:nsid w:val="6E4C1CEF"/>
    <w:multiLevelType w:val="multilevel"/>
    <w:tmpl w:val="0B7E2098"/>
    <w:lvl w:ilvl="0">
      <w:start w:val="1"/>
      <w:numFmt w:val="decimal"/>
      <w:pStyle w:val="scheda"/>
      <w:lvlText w:val="%1"/>
      <w:lvlJc w:val="left"/>
      <w:pPr>
        <w:tabs>
          <w:tab w:val="num" w:pos="720"/>
        </w:tabs>
        <w:ind w:left="720" w:hanging="720"/>
      </w:pPr>
      <w:rPr>
        <w:rFonts w:hint="default"/>
      </w:rPr>
    </w:lvl>
    <w:lvl w:ilvl="1">
      <w:start w:val="1"/>
      <w:numFmt w:val="decimal"/>
      <w:pStyle w:val="schedb"/>
      <w:isLgl/>
      <w:lvlText w:val="%1.%2"/>
      <w:lvlJc w:val="left"/>
      <w:pPr>
        <w:tabs>
          <w:tab w:val="num" w:pos="1440"/>
        </w:tabs>
        <w:ind w:left="1440" w:hanging="720"/>
      </w:pPr>
      <w:rPr>
        <w:rFonts w:hint="default"/>
      </w:rPr>
    </w:lvl>
    <w:lvl w:ilvl="2">
      <w:start w:val="1"/>
      <w:numFmt w:val="decimal"/>
      <w:pStyle w:val="schedc"/>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600"/>
        </w:tabs>
        <w:ind w:left="3600" w:hanging="72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400"/>
        </w:tabs>
        <w:ind w:left="5400" w:hanging="108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200"/>
        </w:tabs>
        <w:ind w:left="7200" w:hanging="1440"/>
      </w:pPr>
      <w:rPr>
        <w:rFonts w:hint="default"/>
      </w:rPr>
    </w:lvl>
  </w:abstractNum>
  <w:abstractNum w:abstractNumId="32" w15:restartNumberingAfterBreak="0">
    <w:nsid w:val="708455A7"/>
    <w:multiLevelType w:val="multilevel"/>
    <w:tmpl w:val="A308EC7C"/>
    <w:lvl w:ilvl="0">
      <w:start w:val="1"/>
      <w:numFmt w:val="decimal"/>
      <w:lvlText w:val="%1."/>
      <w:lvlJc w:val="left"/>
      <w:pPr>
        <w:ind w:left="360" w:hanging="360"/>
      </w:pPr>
      <w:rPr>
        <w:rFonts w:ascii="Arial" w:hAnsi="Arial" w:hint="default"/>
        <w:b w:val="0"/>
        <w:i w:val="0"/>
        <w:color w:val="0070C0"/>
        <w:sz w:val="36"/>
      </w:rPr>
    </w:lvl>
    <w:lvl w:ilvl="1">
      <w:start w:val="1"/>
      <w:numFmt w:val="decimal"/>
      <w:pStyle w:val="Maintext"/>
      <w:lvlText w:val="%1.%2"/>
      <w:lvlJc w:val="left"/>
      <w:pPr>
        <w:tabs>
          <w:tab w:val="num" w:pos="993"/>
        </w:tabs>
        <w:ind w:left="993" w:hanging="709"/>
      </w:pPr>
      <w:rPr>
        <w:rFonts w:ascii="Arial" w:hAnsi="Arial" w:cs="Arial" w:hint="default"/>
        <w:b w:val="0"/>
        <w:i w:val="0"/>
        <w:color w:val="auto"/>
        <w:sz w:val="24"/>
        <w:szCs w:val="24"/>
      </w:rPr>
    </w:lvl>
    <w:lvl w:ilvl="2">
      <w:start w:val="1"/>
      <w:numFmt w:val="bullet"/>
      <w:lvlText w:val=""/>
      <w:lvlJc w:val="left"/>
      <w:pPr>
        <w:tabs>
          <w:tab w:val="num" w:pos="992"/>
        </w:tabs>
        <w:ind w:left="992" w:hanging="283"/>
      </w:pPr>
      <w:rPr>
        <w:rFonts w:ascii="Symbol" w:hAnsi="Symbol" w:hint="default"/>
        <w:color w:val="auto"/>
      </w:rPr>
    </w:lvl>
    <w:lvl w:ilvl="3">
      <w:start w:val="1"/>
      <w:numFmt w:val="bullet"/>
      <w:lvlText w:val=""/>
      <w:lvlJc w:val="left"/>
      <w:pPr>
        <w:tabs>
          <w:tab w:val="num" w:pos="1276"/>
        </w:tabs>
        <w:ind w:left="1276" w:hanging="284"/>
      </w:pPr>
      <w:rPr>
        <w:rFonts w:ascii="Symbol" w:hAnsi="Symbol"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3" w15:restartNumberingAfterBreak="0">
    <w:nsid w:val="77D61255"/>
    <w:multiLevelType w:val="multilevel"/>
    <w:tmpl w:val="75386D2A"/>
    <w:lvl w:ilvl="0">
      <w:start w:val="1"/>
      <w:numFmt w:val="decimal"/>
      <w:lvlText w:val="%1."/>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BLevel2"/>
      <w:lvlText w:val="%1.%2"/>
      <w:lvlJc w:val="left"/>
      <w:pPr>
        <w:tabs>
          <w:tab w:val="num" w:pos="720"/>
        </w:tabs>
        <w:ind w:left="720" w:hanging="720"/>
      </w:pPr>
      <w:rPr>
        <w:rFonts w:ascii="Arial" w:hAnsi="Arial" w:cs="Arial" w:hint="default"/>
        <w:b w:val="0"/>
        <w:i w:val="0"/>
        <w:caps w:val="0"/>
        <w:sz w:val="20"/>
        <w:szCs w:val="20"/>
      </w:rPr>
    </w:lvl>
    <w:lvl w:ilvl="2">
      <w:start w:val="1"/>
      <w:numFmt w:val="decimal"/>
      <w:pStyle w:val="BLevel3"/>
      <w:lvlText w:val="%1.%2.%3"/>
      <w:lvlJc w:val="left"/>
      <w:pPr>
        <w:tabs>
          <w:tab w:val="num" w:pos="1497"/>
        </w:tabs>
        <w:ind w:left="1497" w:hanging="777"/>
      </w:pPr>
      <w:rPr>
        <w:rFonts w:ascii="Arial" w:hAnsi="Arial" w:cs="Arial" w:hint="default"/>
        <w:b w:val="0"/>
        <w:i w:val="0"/>
        <w:sz w:val="20"/>
        <w:szCs w:val="20"/>
      </w:rPr>
    </w:lvl>
    <w:lvl w:ilvl="3">
      <w:start w:val="1"/>
      <w:numFmt w:val="decimal"/>
      <w:pStyle w:val="BLevel4"/>
      <w:lvlText w:val="%1.%2.%3.%4"/>
      <w:lvlJc w:val="left"/>
      <w:pPr>
        <w:tabs>
          <w:tab w:val="num" w:pos="2631"/>
        </w:tabs>
        <w:ind w:left="2631" w:hanging="113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lowerLetter"/>
      <w:pStyle w:val="BLevel5"/>
      <w:lvlText w:val="(%5)"/>
      <w:lvlJc w:val="left"/>
      <w:pPr>
        <w:tabs>
          <w:tab w:val="num" w:pos="3878"/>
        </w:tabs>
        <w:ind w:left="3878" w:hanging="1247"/>
      </w:pPr>
      <w:rPr>
        <w:rFonts w:hint="default"/>
        <w:b w:val="0"/>
        <w:i w:val="0"/>
        <w:sz w:val="20"/>
        <w:szCs w:val="20"/>
      </w:rPr>
    </w:lvl>
    <w:lvl w:ilvl="5">
      <w:start w:val="1"/>
      <w:numFmt w:val="none"/>
      <w:lvlText w:val=""/>
      <w:lvlJc w:val="left"/>
      <w:pPr>
        <w:tabs>
          <w:tab w:val="num" w:pos="720"/>
        </w:tabs>
        <w:ind w:left="720" w:hanging="720"/>
      </w:pPr>
      <w:rPr>
        <w:rFonts w:ascii="Times New Roman" w:hAnsi="Times New Roman" w:hint="default"/>
        <w:b w:val="0"/>
        <w:i w:val="0"/>
        <w:sz w:val="24"/>
      </w:rPr>
    </w:lvl>
    <w:lvl w:ilvl="6">
      <w:start w:val="1"/>
      <w:numFmt w:val="none"/>
      <w:lvlText w:val=""/>
      <w:lvlJc w:val="left"/>
      <w:pPr>
        <w:tabs>
          <w:tab w:val="num" w:pos="1440"/>
        </w:tabs>
        <w:ind w:left="1440" w:hanging="720"/>
      </w:pPr>
      <w:rPr>
        <w:rFonts w:ascii="Times New Roman" w:hAnsi="Times New Roman" w:hint="default"/>
        <w:sz w:val="24"/>
      </w:rPr>
    </w:lvl>
    <w:lvl w:ilvl="7">
      <w:start w:val="1"/>
      <w:numFmt w:val="none"/>
      <w:lvlText w:val=""/>
      <w:lvlJc w:val="left"/>
      <w:pPr>
        <w:tabs>
          <w:tab w:val="num" w:pos="5040"/>
        </w:tabs>
        <w:ind w:left="5040" w:hanging="720"/>
      </w:pPr>
      <w:rPr>
        <w:rFonts w:ascii="Times New Roman" w:hAnsi="Times New Roman" w:hint="default"/>
        <w:b w:val="0"/>
        <w:i w:val="0"/>
        <w:sz w:val="22"/>
      </w:rPr>
    </w:lvl>
    <w:lvl w:ilvl="8">
      <w:start w:val="1"/>
      <w:numFmt w:val="none"/>
      <w:lvlText w:val=""/>
      <w:lvlJc w:val="left"/>
      <w:pPr>
        <w:tabs>
          <w:tab w:val="num" w:pos="5760"/>
        </w:tabs>
        <w:ind w:left="5760" w:hanging="720"/>
      </w:pPr>
      <w:rPr>
        <w:rFonts w:ascii="Times New Roman" w:hAnsi="Times New Roman" w:hint="default"/>
        <w:b w:val="0"/>
        <w:i w:val="0"/>
        <w:sz w:val="22"/>
      </w:rPr>
    </w:lvl>
  </w:abstractNum>
  <w:abstractNum w:abstractNumId="34" w15:restartNumberingAfterBreak="0">
    <w:nsid w:val="77DA34AE"/>
    <w:multiLevelType w:val="multilevel"/>
    <w:tmpl w:val="3B8A8E88"/>
    <w:lvl w:ilvl="0">
      <w:start w:val="1"/>
      <w:numFmt w:val="decimal"/>
      <w:lvlText w:val="%1."/>
      <w:lvlJc w:val="left"/>
      <w:pPr>
        <w:ind w:left="360" w:hanging="360"/>
      </w:pPr>
      <w:rPr>
        <w:rFonts w:cs="Times New Roman"/>
      </w:rPr>
    </w:lvl>
    <w:lvl w:ilvl="1">
      <w:start w:val="1"/>
      <w:numFmt w:val="decimal"/>
      <w:pStyle w:val="Para"/>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5" w15:restartNumberingAfterBreak="0">
    <w:nsid w:val="7B0C58AD"/>
    <w:multiLevelType w:val="hybridMultilevel"/>
    <w:tmpl w:val="A9F0088C"/>
    <w:lvl w:ilvl="0" w:tplc="4098902E">
      <w:start w:val="1"/>
      <w:numFmt w:val="decimal"/>
      <w:pStyle w:val="GTTAquestionno"/>
      <w:lvlText w:val="Q%1"/>
      <w:lvlJc w:val="left"/>
      <w:pPr>
        <w:ind w:left="567" w:hanging="567"/>
      </w:pPr>
      <w:rPr>
        <w:rFonts w:hint="default"/>
        <w:b w:val="0"/>
        <w:i/>
        <w:color w:val="009999"/>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DC41C69"/>
    <w:multiLevelType w:val="hybridMultilevel"/>
    <w:tmpl w:val="C75EDF7A"/>
    <w:lvl w:ilvl="0" w:tplc="F9B68564">
      <w:start w:val="1"/>
      <w:numFmt w:val="decimal"/>
      <w:lvlText w:val="%1."/>
      <w:lvlJc w:val="left"/>
      <w:pPr>
        <w:tabs>
          <w:tab w:val="num" w:pos="720"/>
        </w:tabs>
        <w:ind w:left="720" w:hanging="360"/>
      </w:pPr>
    </w:lvl>
    <w:lvl w:ilvl="1" w:tplc="04090003">
      <w:start w:val="1"/>
      <w:numFmt w:val="bullet"/>
      <w:lvlText w:val=""/>
      <w:lvlJc w:val="left"/>
      <w:pPr>
        <w:tabs>
          <w:tab w:val="num" w:pos="1440"/>
        </w:tabs>
        <w:ind w:left="1440" w:hanging="360"/>
      </w:pPr>
      <w:rPr>
        <w:rFonts w:ascii="Symbol" w:hAnsi="Symbol" w:hint="default"/>
      </w:rPr>
    </w:lvl>
    <w:lvl w:ilvl="2" w:tplc="04090005">
      <w:start w:val="1"/>
      <w:numFmt w:val="lowerRoman"/>
      <w:pStyle w:val="bullet20"/>
      <w:lvlText w:val="%3."/>
      <w:lvlJc w:val="right"/>
      <w:pPr>
        <w:tabs>
          <w:tab w:val="num" w:pos="2160"/>
        </w:tabs>
        <w:ind w:left="2160" w:hanging="180"/>
      </w:p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abstractNumId w:val="19"/>
  </w:num>
  <w:num w:numId="2">
    <w:abstractNumId w:val="15"/>
  </w:num>
  <w:num w:numId="3">
    <w:abstractNumId w:val="0"/>
  </w:num>
  <w:num w:numId="4">
    <w:abstractNumId w:val="18"/>
  </w:num>
  <w:num w:numId="5">
    <w:abstractNumId w:val="21"/>
  </w:num>
  <w:num w:numId="6">
    <w:abstractNumId w:val="14"/>
  </w:num>
  <w:num w:numId="7">
    <w:abstractNumId w:val="24"/>
  </w:num>
  <w:num w:numId="8">
    <w:abstractNumId w:val="29"/>
  </w:num>
  <w:num w:numId="9">
    <w:abstractNumId w:val="4"/>
  </w:num>
  <w:num w:numId="10">
    <w:abstractNumId w:val="32"/>
  </w:num>
  <w:num w:numId="11">
    <w:abstractNumId w:val="28"/>
  </w:num>
  <w:num w:numId="12">
    <w:abstractNumId w:val="36"/>
  </w:num>
  <w:num w:numId="13">
    <w:abstractNumId w:val="26"/>
  </w:num>
  <w:num w:numId="14">
    <w:abstractNumId w:val="2"/>
  </w:num>
  <w:num w:numId="15">
    <w:abstractNumId w:val="11"/>
  </w:num>
  <w:num w:numId="16">
    <w:abstractNumId w:val="17"/>
  </w:num>
  <w:num w:numId="17">
    <w:abstractNumId w:val="6"/>
  </w:num>
  <w:num w:numId="18">
    <w:abstractNumId w:val="10"/>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35"/>
  </w:num>
  <w:num w:numId="21">
    <w:abstractNumId w:val="7"/>
  </w:num>
  <w:num w:numId="22">
    <w:abstractNumId w:val="13"/>
  </w:num>
  <w:num w:numId="23">
    <w:abstractNumId w:val="34"/>
  </w:num>
  <w:num w:numId="24">
    <w:abstractNumId w:val="1"/>
  </w:num>
  <w:num w:numId="25">
    <w:abstractNumId w:val="16"/>
  </w:num>
  <w:num w:numId="26">
    <w:abstractNumId w:val="31"/>
  </w:num>
  <w:num w:numId="27">
    <w:abstractNumId w:val="22"/>
    <w:lvlOverride w:ilvl="0">
      <w:lvl w:ilvl="0">
        <w:start w:val="1"/>
        <w:numFmt w:val="upperLetter"/>
        <w:lvlText w:val="%1.0"/>
        <w:lvlJc w:val="left"/>
        <w:pPr>
          <w:tabs>
            <w:tab w:val="num" w:pos="709"/>
          </w:tabs>
          <w:ind w:left="709" w:hanging="709"/>
        </w:pPr>
        <w:rPr>
          <w:rFonts w:hint="default"/>
        </w:rPr>
      </w:lvl>
    </w:lvlOverride>
    <w:lvlOverride w:ilvl="1">
      <w:lvl w:ilvl="1">
        <w:start w:val="1"/>
        <w:numFmt w:val="decimal"/>
        <w:lvlText w:val="%1.%2"/>
        <w:lvlJc w:val="left"/>
        <w:pPr>
          <w:tabs>
            <w:tab w:val="num" w:pos="709"/>
          </w:tabs>
          <w:ind w:left="709" w:hanging="709"/>
        </w:pPr>
        <w:rPr>
          <w:rFonts w:hint="default"/>
          <w:b w:val="0"/>
          <w:i w:val="0"/>
          <w:color w:val="auto"/>
          <w:sz w:val="22"/>
          <w:szCs w:val="22"/>
        </w:rPr>
      </w:lvl>
    </w:lvlOverride>
    <w:lvlOverride w:ilvl="2">
      <w:lvl w:ilvl="2">
        <w:start w:val="1"/>
        <w:numFmt w:val="bullet"/>
        <w:lvlText w:val=""/>
        <w:lvlJc w:val="left"/>
        <w:pPr>
          <w:tabs>
            <w:tab w:val="num" w:pos="992"/>
          </w:tabs>
          <w:ind w:left="992" w:hanging="283"/>
        </w:pPr>
        <w:rPr>
          <w:rFonts w:ascii="Symbol" w:hAnsi="Symbol" w:hint="default"/>
        </w:rPr>
      </w:lvl>
    </w:lvlOverride>
    <w:lvlOverride w:ilvl="3">
      <w:lvl w:ilvl="3">
        <w:start w:val="1"/>
        <w:numFmt w:val="bullet"/>
        <w:lvlText w:val=""/>
        <w:lvlJc w:val="left"/>
        <w:pPr>
          <w:tabs>
            <w:tab w:val="num" w:pos="1276"/>
          </w:tabs>
          <w:ind w:left="1276" w:hanging="284"/>
        </w:pPr>
        <w:rPr>
          <w:rFonts w:ascii="Symbol" w:hAnsi="Symbol" w:hint="default"/>
        </w:rPr>
      </w:lvl>
    </w:lvlOverride>
    <w:lvlOverride w:ilvl="4">
      <w:lvl w:ilvl="4">
        <w:start w:val="1"/>
        <w:numFmt w:val="decimal"/>
        <w:lvlText w:val="%1.%2.%5"/>
        <w:lvlJc w:val="left"/>
        <w:pPr>
          <w:tabs>
            <w:tab w:val="num" w:pos="1418"/>
          </w:tabs>
          <w:ind w:left="1418" w:hanging="709"/>
        </w:pPr>
        <w:rPr>
          <w:rFonts w:hint="default"/>
        </w:rPr>
      </w:lvl>
    </w:lvlOverride>
    <w:lvlOverride w:ilvl="5">
      <w:lvl w:ilvl="5">
        <w:start w:val="1"/>
        <w:numFmt w:val="bullet"/>
        <w:lvlText w:val=""/>
        <w:lvlJc w:val="left"/>
        <w:pPr>
          <w:tabs>
            <w:tab w:val="num" w:pos="1701"/>
          </w:tabs>
          <w:ind w:left="1701" w:hanging="283"/>
        </w:pPr>
        <w:rPr>
          <w:rFonts w:ascii="Symbol" w:hAnsi="Symbol"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8">
    <w:abstractNumId w:val="33"/>
  </w:num>
  <w:num w:numId="29">
    <w:abstractNumId w:val="8"/>
  </w:num>
  <w:num w:numId="30">
    <w:abstractNumId w:val="25"/>
  </w:num>
  <w:num w:numId="31">
    <w:abstractNumId w:val="23"/>
  </w:num>
  <w:num w:numId="32">
    <w:abstractNumId w:val="30"/>
  </w:num>
  <w:num w:numId="33">
    <w:abstractNumId w:val="3"/>
  </w:num>
  <w:num w:numId="34">
    <w:abstractNumId w:val="20"/>
    <w:lvlOverride w:ilvl="0">
      <w:lvl w:ilvl="0">
        <w:start w:val="2"/>
        <w:numFmt w:val="upperLetter"/>
        <w:lvlText w:val="%1"/>
        <w:lvlJc w:val="left"/>
        <w:pPr>
          <w:tabs>
            <w:tab w:val="num" w:pos="709"/>
          </w:tabs>
          <w:ind w:left="709" w:hanging="709"/>
        </w:pPr>
        <w:rPr>
          <w:rFonts w:hint="default"/>
        </w:rPr>
      </w:lvl>
    </w:lvlOverride>
    <w:lvlOverride w:ilvl="1">
      <w:lvl w:ilvl="1">
        <w:start w:val="1"/>
        <w:numFmt w:val="decimal"/>
        <w:lvlText w:val="C.%2"/>
        <w:lvlJc w:val="left"/>
        <w:pPr>
          <w:tabs>
            <w:tab w:val="num" w:pos="709"/>
          </w:tabs>
          <w:ind w:left="709" w:hanging="709"/>
        </w:pPr>
        <w:rPr>
          <w:rFonts w:hint="default"/>
          <w:b w:val="0"/>
          <w:i w:val="0"/>
          <w:color w:val="auto"/>
          <w:sz w:val="22"/>
          <w:szCs w:val="22"/>
        </w:rPr>
      </w:lvl>
    </w:lvlOverride>
    <w:lvlOverride w:ilvl="2">
      <w:lvl w:ilvl="2">
        <w:start w:val="1"/>
        <w:numFmt w:val="bullet"/>
        <w:lvlText w:val=""/>
        <w:lvlJc w:val="left"/>
        <w:pPr>
          <w:tabs>
            <w:tab w:val="num" w:pos="992"/>
          </w:tabs>
          <w:ind w:left="992" w:hanging="283"/>
        </w:pPr>
        <w:rPr>
          <w:rFonts w:ascii="Symbol" w:hAnsi="Symbol" w:hint="default"/>
        </w:rPr>
      </w:lvl>
    </w:lvlOverride>
    <w:lvlOverride w:ilvl="3">
      <w:lvl w:ilvl="3">
        <w:start w:val="1"/>
        <w:numFmt w:val="bullet"/>
        <w:lvlText w:val=""/>
        <w:lvlJc w:val="left"/>
        <w:pPr>
          <w:tabs>
            <w:tab w:val="num" w:pos="1276"/>
          </w:tabs>
          <w:ind w:left="1276" w:hanging="284"/>
        </w:pPr>
        <w:rPr>
          <w:rFonts w:ascii="Symbol" w:hAnsi="Symbol" w:hint="default"/>
        </w:rPr>
      </w:lvl>
    </w:lvlOverride>
    <w:lvlOverride w:ilvl="4">
      <w:lvl w:ilvl="4">
        <w:start w:val="1"/>
        <w:numFmt w:val="decimal"/>
        <w:lvlText w:val="%1.%2.%5"/>
        <w:lvlJc w:val="left"/>
        <w:pPr>
          <w:tabs>
            <w:tab w:val="num" w:pos="1418"/>
          </w:tabs>
          <w:ind w:left="1418" w:hanging="709"/>
        </w:pPr>
        <w:rPr>
          <w:rFonts w:hint="default"/>
        </w:rPr>
      </w:lvl>
    </w:lvlOverride>
    <w:lvlOverride w:ilvl="5">
      <w:lvl w:ilvl="5">
        <w:start w:val="1"/>
        <w:numFmt w:val="bullet"/>
        <w:lvlText w:val=""/>
        <w:lvlJc w:val="left"/>
        <w:pPr>
          <w:tabs>
            <w:tab w:val="num" w:pos="1701"/>
          </w:tabs>
          <w:ind w:left="1701" w:hanging="283"/>
        </w:pPr>
        <w:rPr>
          <w:rFonts w:ascii="Symbol" w:hAnsi="Symbol"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35">
    <w:abstractNumId w:val="20"/>
  </w:num>
  <w:num w:numId="36">
    <w:abstractNumId w:val="12"/>
  </w:num>
  <w:num w:numId="37">
    <w:abstractNumId w:val="9"/>
  </w:num>
  <w:num w:numId="38">
    <w:abstractNumId w:val="4"/>
  </w:num>
  <w:num w:numId="39">
    <w:abstractNumId w:val="27"/>
  </w:num>
  <w:num w:numId="40">
    <w:abstractNumId w:val="32"/>
  </w:num>
  <w:num w:numId="41">
    <w:abstractNumId w:val="2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attachedTemplate r:id="rId1"/>
  <w:defaultTabStop w:val="720"/>
  <w:drawingGridHorizontalSpacing w:val="120"/>
  <w:displayHorizontalDrawingGridEvery w:val="2"/>
  <w:displayVerticalDrawingGridEvery w:val="2"/>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FD7"/>
    <w:rsid w:val="0000042F"/>
    <w:rsid w:val="00000C14"/>
    <w:rsid w:val="00000D5D"/>
    <w:rsid w:val="00000F24"/>
    <w:rsid w:val="000016E7"/>
    <w:rsid w:val="00001926"/>
    <w:rsid w:val="00001F45"/>
    <w:rsid w:val="00002FD5"/>
    <w:rsid w:val="00004B23"/>
    <w:rsid w:val="00004CE2"/>
    <w:rsid w:val="00004F1C"/>
    <w:rsid w:val="0000567A"/>
    <w:rsid w:val="00005D6C"/>
    <w:rsid w:val="00006184"/>
    <w:rsid w:val="000065E9"/>
    <w:rsid w:val="00006689"/>
    <w:rsid w:val="00006B07"/>
    <w:rsid w:val="00006FDA"/>
    <w:rsid w:val="000072B1"/>
    <w:rsid w:val="0000753F"/>
    <w:rsid w:val="00010653"/>
    <w:rsid w:val="0001098E"/>
    <w:rsid w:val="00010E25"/>
    <w:rsid w:val="000110E5"/>
    <w:rsid w:val="00011890"/>
    <w:rsid w:val="00012053"/>
    <w:rsid w:val="000121FE"/>
    <w:rsid w:val="00012830"/>
    <w:rsid w:val="00012840"/>
    <w:rsid w:val="000128B9"/>
    <w:rsid w:val="0001460B"/>
    <w:rsid w:val="0001471A"/>
    <w:rsid w:val="000160F7"/>
    <w:rsid w:val="00016145"/>
    <w:rsid w:val="0001619C"/>
    <w:rsid w:val="00016C5C"/>
    <w:rsid w:val="00016F0E"/>
    <w:rsid w:val="000173C6"/>
    <w:rsid w:val="00017D63"/>
    <w:rsid w:val="0002150D"/>
    <w:rsid w:val="00021C45"/>
    <w:rsid w:val="00021E83"/>
    <w:rsid w:val="0002214D"/>
    <w:rsid w:val="0002258B"/>
    <w:rsid w:val="00022A4C"/>
    <w:rsid w:val="00022E7A"/>
    <w:rsid w:val="0002352E"/>
    <w:rsid w:val="00023C75"/>
    <w:rsid w:val="00023D29"/>
    <w:rsid w:val="00023F7B"/>
    <w:rsid w:val="00024DDC"/>
    <w:rsid w:val="00024F2B"/>
    <w:rsid w:val="000250A2"/>
    <w:rsid w:val="000254B3"/>
    <w:rsid w:val="00025B0C"/>
    <w:rsid w:val="0002603E"/>
    <w:rsid w:val="0002639A"/>
    <w:rsid w:val="000263B7"/>
    <w:rsid w:val="000264FC"/>
    <w:rsid w:val="00027991"/>
    <w:rsid w:val="00027CD1"/>
    <w:rsid w:val="00027D0A"/>
    <w:rsid w:val="0003067A"/>
    <w:rsid w:val="000306A4"/>
    <w:rsid w:val="00030943"/>
    <w:rsid w:val="00030D18"/>
    <w:rsid w:val="00030EFD"/>
    <w:rsid w:val="0003192E"/>
    <w:rsid w:val="00031B12"/>
    <w:rsid w:val="00031EC2"/>
    <w:rsid w:val="00032034"/>
    <w:rsid w:val="00032776"/>
    <w:rsid w:val="00033C95"/>
    <w:rsid w:val="00034387"/>
    <w:rsid w:val="0003441A"/>
    <w:rsid w:val="000347D4"/>
    <w:rsid w:val="00034C06"/>
    <w:rsid w:val="00034FC7"/>
    <w:rsid w:val="000356E7"/>
    <w:rsid w:val="00035AA7"/>
    <w:rsid w:val="00035C7F"/>
    <w:rsid w:val="000366C4"/>
    <w:rsid w:val="00036958"/>
    <w:rsid w:val="000374CB"/>
    <w:rsid w:val="000374DE"/>
    <w:rsid w:val="000379C8"/>
    <w:rsid w:val="00037A04"/>
    <w:rsid w:val="00037FE5"/>
    <w:rsid w:val="0004072A"/>
    <w:rsid w:val="00040FCB"/>
    <w:rsid w:val="00041416"/>
    <w:rsid w:val="0004154C"/>
    <w:rsid w:val="000417F8"/>
    <w:rsid w:val="00042646"/>
    <w:rsid w:val="00042A94"/>
    <w:rsid w:val="00042E0E"/>
    <w:rsid w:val="00042F0B"/>
    <w:rsid w:val="00042F25"/>
    <w:rsid w:val="000430A7"/>
    <w:rsid w:val="00043C08"/>
    <w:rsid w:val="0004482F"/>
    <w:rsid w:val="0004493C"/>
    <w:rsid w:val="00044F26"/>
    <w:rsid w:val="00045212"/>
    <w:rsid w:val="000459FB"/>
    <w:rsid w:val="0004643D"/>
    <w:rsid w:val="0004646E"/>
    <w:rsid w:val="00046CEC"/>
    <w:rsid w:val="00046E74"/>
    <w:rsid w:val="00047AB8"/>
    <w:rsid w:val="00047D91"/>
    <w:rsid w:val="00047F43"/>
    <w:rsid w:val="00050AFA"/>
    <w:rsid w:val="0005106E"/>
    <w:rsid w:val="00051A87"/>
    <w:rsid w:val="00051C16"/>
    <w:rsid w:val="00051D4B"/>
    <w:rsid w:val="000522A0"/>
    <w:rsid w:val="000528AE"/>
    <w:rsid w:val="00052D13"/>
    <w:rsid w:val="00052F0A"/>
    <w:rsid w:val="00053453"/>
    <w:rsid w:val="00053B31"/>
    <w:rsid w:val="0005403A"/>
    <w:rsid w:val="00054BFF"/>
    <w:rsid w:val="00054D73"/>
    <w:rsid w:val="00055494"/>
    <w:rsid w:val="00055A49"/>
    <w:rsid w:val="000565E7"/>
    <w:rsid w:val="00056E2A"/>
    <w:rsid w:val="00056F2C"/>
    <w:rsid w:val="00057006"/>
    <w:rsid w:val="0005712F"/>
    <w:rsid w:val="00057750"/>
    <w:rsid w:val="000577EF"/>
    <w:rsid w:val="0005789A"/>
    <w:rsid w:val="00057DD8"/>
    <w:rsid w:val="0006029D"/>
    <w:rsid w:val="00060A56"/>
    <w:rsid w:val="0006176C"/>
    <w:rsid w:val="00062661"/>
    <w:rsid w:val="000629A1"/>
    <w:rsid w:val="00062CC9"/>
    <w:rsid w:val="00063329"/>
    <w:rsid w:val="00063AFF"/>
    <w:rsid w:val="00063CE5"/>
    <w:rsid w:val="00063CEB"/>
    <w:rsid w:val="00063DAC"/>
    <w:rsid w:val="00064CE8"/>
    <w:rsid w:val="00065DD5"/>
    <w:rsid w:val="00066B1A"/>
    <w:rsid w:val="00066B92"/>
    <w:rsid w:val="00066EC2"/>
    <w:rsid w:val="00067678"/>
    <w:rsid w:val="000676DE"/>
    <w:rsid w:val="000679A0"/>
    <w:rsid w:val="00067DA3"/>
    <w:rsid w:val="00067E91"/>
    <w:rsid w:val="00070382"/>
    <w:rsid w:val="00070598"/>
    <w:rsid w:val="00071036"/>
    <w:rsid w:val="000712D3"/>
    <w:rsid w:val="000716D1"/>
    <w:rsid w:val="00071784"/>
    <w:rsid w:val="00071A68"/>
    <w:rsid w:val="00071AD6"/>
    <w:rsid w:val="00072288"/>
    <w:rsid w:val="00072FE8"/>
    <w:rsid w:val="00073138"/>
    <w:rsid w:val="00073366"/>
    <w:rsid w:val="00073E24"/>
    <w:rsid w:val="00074A68"/>
    <w:rsid w:val="00074A7A"/>
    <w:rsid w:val="00074AA3"/>
    <w:rsid w:val="00075662"/>
    <w:rsid w:val="000757DB"/>
    <w:rsid w:val="00075E75"/>
    <w:rsid w:val="000775EB"/>
    <w:rsid w:val="00077788"/>
    <w:rsid w:val="00077794"/>
    <w:rsid w:val="00077E64"/>
    <w:rsid w:val="00077E67"/>
    <w:rsid w:val="00080402"/>
    <w:rsid w:val="0008046D"/>
    <w:rsid w:val="000805A7"/>
    <w:rsid w:val="000810C9"/>
    <w:rsid w:val="00081FE7"/>
    <w:rsid w:val="000820F1"/>
    <w:rsid w:val="00082681"/>
    <w:rsid w:val="000829CD"/>
    <w:rsid w:val="00083E33"/>
    <w:rsid w:val="00084402"/>
    <w:rsid w:val="000844A4"/>
    <w:rsid w:val="000847E1"/>
    <w:rsid w:val="00084A36"/>
    <w:rsid w:val="00084BBA"/>
    <w:rsid w:val="00084EA3"/>
    <w:rsid w:val="00086553"/>
    <w:rsid w:val="00087918"/>
    <w:rsid w:val="00090B40"/>
    <w:rsid w:val="00090BA3"/>
    <w:rsid w:val="00090ED7"/>
    <w:rsid w:val="000915CD"/>
    <w:rsid w:val="000929D2"/>
    <w:rsid w:val="00092F1E"/>
    <w:rsid w:val="00093D6E"/>
    <w:rsid w:val="00094681"/>
    <w:rsid w:val="00094EAD"/>
    <w:rsid w:val="00095260"/>
    <w:rsid w:val="00095577"/>
    <w:rsid w:val="000960DF"/>
    <w:rsid w:val="000962F0"/>
    <w:rsid w:val="00096C9A"/>
    <w:rsid w:val="000974F6"/>
    <w:rsid w:val="000A06D4"/>
    <w:rsid w:val="000A08FE"/>
    <w:rsid w:val="000A0B62"/>
    <w:rsid w:val="000A10B6"/>
    <w:rsid w:val="000A13DF"/>
    <w:rsid w:val="000A2149"/>
    <w:rsid w:val="000A26D6"/>
    <w:rsid w:val="000A3255"/>
    <w:rsid w:val="000A3D14"/>
    <w:rsid w:val="000A3FF2"/>
    <w:rsid w:val="000A4A01"/>
    <w:rsid w:val="000A4CA2"/>
    <w:rsid w:val="000A4FB1"/>
    <w:rsid w:val="000A5283"/>
    <w:rsid w:val="000A52D4"/>
    <w:rsid w:val="000A566F"/>
    <w:rsid w:val="000A5685"/>
    <w:rsid w:val="000A5DB7"/>
    <w:rsid w:val="000A6486"/>
    <w:rsid w:val="000A6921"/>
    <w:rsid w:val="000A6D92"/>
    <w:rsid w:val="000A70F7"/>
    <w:rsid w:val="000A74A4"/>
    <w:rsid w:val="000B0724"/>
    <w:rsid w:val="000B0E29"/>
    <w:rsid w:val="000B1473"/>
    <w:rsid w:val="000B186B"/>
    <w:rsid w:val="000B1B43"/>
    <w:rsid w:val="000B1B90"/>
    <w:rsid w:val="000B1C11"/>
    <w:rsid w:val="000B1CFA"/>
    <w:rsid w:val="000B1EEB"/>
    <w:rsid w:val="000B25B0"/>
    <w:rsid w:val="000B2730"/>
    <w:rsid w:val="000B2A1A"/>
    <w:rsid w:val="000B2DB1"/>
    <w:rsid w:val="000B3C33"/>
    <w:rsid w:val="000B3C8A"/>
    <w:rsid w:val="000B3CA9"/>
    <w:rsid w:val="000B3FF9"/>
    <w:rsid w:val="000B4068"/>
    <w:rsid w:val="000B40C0"/>
    <w:rsid w:val="000B45C9"/>
    <w:rsid w:val="000B50D4"/>
    <w:rsid w:val="000B5179"/>
    <w:rsid w:val="000B5196"/>
    <w:rsid w:val="000B6769"/>
    <w:rsid w:val="000B6975"/>
    <w:rsid w:val="000B6A81"/>
    <w:rsid w:val="000B6D17"/>
    <w:rsid w:val="000C0A49"/>
    <w:rsid w:val="000C0EC5"/>
    <w:rsid w:val="000C1216"/>
    <w:rsid w:val="000C1687"/>
    <w:rsid w:val="000C29DF"/>
    <w:rsid w:val="000C29F0"/>
    <w:rsid w:val="000C2B99"/>
    <w:rsid w:val="000C2C5C"/>
    <w:rsid w:val="000C3598"/>
    <w:rsid w:val="000C3A10"/>
    <w:rsid w:val="000C3A56"/>
    <w:rsid w:val="000C3FDE"/>
    <w:rsid w:val="000C40B8"/>
    <w:rsid w:val="000C4687"/>
    <w:rsid w:val="000C499F"/>
    <w:rsid w:val="000C4F39"/>
    <w:rsid w:val="000C5726"/>
    <w:rsid w:val="000C57BA"/>
    <w:rsid w:val="000C5CAD"/>
    <w:rsid w:val="000C621A"/>
    <w:rsid w:val="000C62CA"/>
    <w:rsid w:val="000C6383"/>
    <w:rsid w:val="000C6F0A"/>
    <w:rsid w:val="000C76F1"/>
    <w:rsid w:val="000D0E07"/>
    <w:rsid w:val="000D0F35"/>
    <w:rsid w:val="000D161B"/>
    <w:rsid w:val="000D1AA9"/>
    <w:rsid w:val="000D21DC"/>
    <w:rsid w:val="000D2D89"/>
    <w:rsid w:val="000D3927"/>
    <w:rsid w:val="000D3AD0"/>
    <w:rsid w:val="000D4116"/>
    <w:rsid w:val="000D42EC"/>
    <w:rsid w:val="000D45C2"/>
    <w:rsid w:val="000D4745"/>
    <w:rsid w:val="000D4AE9"/>
    <w:rsid w:val="000D4EBD"/>
    <w:rsid w:val="000D5168"/>
    <w:rsid w:val="000D566F"/>
    <w:rsid w:val="000D5688"/>
    <w:rsid w:val="000D5ACD"/>
    <w:rsid w:val="000D5EC0"/>
    <w:rsid w:val="000D601C"/>
    <w:rsid w:val="000D6741"/>
    <w:rsid w:val="000D6904"/>
    <w:rsid w:val="000D6FB8"/>
    <w:rsid w:val="000D740D"/>
    <w:rsid w:val="000D7723"/>
    <w:rsid w:val="000D7A87"/>
    <w:rsid w:val="000E031F"/>
    <w:rsid w:val="000E0672"/>
    <w:rsid w:val="000E0BF7"/>
    <w:rsid w:val="000E12BE"/>
    <w:rsid w:val="000E136C"/>
    <w:rsid w:val="000E13DF"/>
    <w:rsid w:val="000E152C"/>
    <w:rsid w:val="000E17EC"/>
    <w:rsid w:val="000E1A5A"/>
    <w:rsid w:val="000E231E"/>
    <w:rsid w:val="000E2F85"/>
    <w:rsid w:val="000E3227"/>
    <w:rsid w:val="000E3782"/>
    <w:rsid w:val="000E3984"/>
    <w:rsid w:val="000E4045"/>
    <w:rsid w:val="000E411E"/>
    <w:rsid w:val="000E4DC4"/>
    <w:rsid w:val="000E5113"/>
    <w:rsid w:val="000E5455"/>
    <w:rsid w:val="000E5A1E"/>
    <w:rsid w:val="000E61A4"/>
    <w:rsid w:val="000E70FB"/>
    <w:rsid w:val="000E76E6"/>
    <w:rsid w:val="000E7B38"/>
    <w:rsid w:val="000E7DA0"/>
    <w:rsid w:val="000E7FAE"/>
    <w:rsid w:val="000F0AF8"/>
    <w:rsid w:val="000F15C5"/>
    <w:rsid w:val="000F16B2"/>
    <w:rsid w:val="000F1713"/>
    <w:rsid w:val="000F1D06"/>
    <w:rsid w:val="000F22FC"/>
    <w:rsid w:val="000F23CA"/>
    <w:rsid w:val="000F23D5"/>
    <w:rsid w:val="000F2AC0"/>
    <w:rsid w:val="000F2BF2"/>
    <w:rsid w:val="000F3283"/>
    <w:rsid w:val="000F3A41"/>
    <w:rsid w:val="000F3D3D"/>
    <w:rsid w:val="000F3EB6"/>
    <w:rsid w:val="000F42E8"/>
    <w:rsid w:val="000F43D5"/>
    <w:rsid w:val="000F4E4D"/>
    <w:rsid w:val="000F514B"/>
    <w:rsid w:val="000F546E"/>
    <w:rsid w:val="000F5B50"/>
    <w:rsid w:val="000F5C38"/>
    <w:rsid w:val="000F5C88"/>
    <w:rsid w:val="000F7D15"/>
    <w:rsid w:val="000F7EA5"/>
    <w:rsid w:val="001002FB"/>
    <w:rsid w:val="00100398"/>
    <w:rsid w:val="001005AF"/>
    <w:rsid w:val="0010078F"/>
    <w:rsid w:val="00100D9A"/>
    <w:rsid w:val="00100EF9"/>
    <w:rsid w:val="00100FDD"/>
    <w:rsid w:val="00101084"/>
    <w:rsid w:val="00101B40"/>
    <w:rsid w:val="00101E58"/>
    <w:rsid w:val="00102736"/>
    <w:rsid w:val="001028D7"/>
    <w:rsid w:val="0010301C"/>
    <w:rsid w:val="001039C4"/>
    <w:rsid w:val="00103E93"/>
    <w:rsid w:val="001040F4"/>
    <w:rsid w:val="00105235"/>
    <w:rsid w:val="001066DA"/>
    <w:rsid w:val="00106749"/>
    <w:rsid w:val="00106AF2"/>
    <w:rsid w:val="00106B14"/>
    <w:rsid w:val="00106E6A"/>
    <w:rsid w:val="001104CC"/>
    <w:rsid w:val="00110B43"/>
    <w:rsid w:val="001113B5"/>
    <w:rsid w:val="0011191E"/>
    <w:rsid w:val="00111B5E"/>
    <w:rsid w:val="00112544"/>
    <w:rsid w:val="001125F0"/>
    <w:rsid w:val="00112807"/>
    <w:rsid w:val="00112B8C"/>
    <w:rsid w:val="00112B94"/>
    <w:rsid w:val="001134F7"/>
    <w:rsid w:val="00113DAC"/>
    <w:rsid w:val="00114361"/>
    <w:rsid w:val="00114421"/>
    <w:rsid w:val="00115349"/>
    <w:rsid w:val="001158A3"/>
    <w:rsid w:val="00115A66"/>
    <w:rsid w:val="00115EE4"/>
    <w:rsid w:val="00116551"/>
    <w:rsid w:val="0011659E"/>
    <w:rsid w:val="001165E9"/>
    <w:rsid w:val="00117451"/>
    <w:rsid w:val="00117D8F"/>
    <w:rsid w:val="001202DF"/>
    <w:rsid w:val="001205D7"/>
    <w:rsid w:val="001208E2"/>
    <w:rsid w:val="0012260A"/>
    <w:rsid w:val="00123080"/>
    <w:rsid w:val="00123920"/>
    <w:rsid w:val="001242AC"/>
    <w:rsid w:val="001245C7"/>
    <w:rsid w:val="0012499B"/>
    <w:rsid w:val="001251F0"/>
    <w:rsid w:val="001252A3"/>
    <w:rsid w:val="001255D7"/>
    <w:rsid w:val="00125A0A"/>
    <w:rsid w:val="00126233"/>
    <w:rsid w:val="00126D75"/>
    <w:rsid w:val="0012779A"/>
    <w:rsid w:val="0012788E"/>
    <w:rsid w:val="00127DAA"/>
    <w:rsid w:val="00130BC1"/>
    <w:rsid w:val="00130DFB"/>
    <w:rsid w:val="001323CF"/>
    <w:rsid w:val="001324E6"/>
    <w:rsid w:val="00132B54"/>
    <w:rsid w:val="00132ED4"/>
    <w:rsid w:val="001345EB"/>
    <w:rsid w:val="00134A98"/>
    <w:rsid w:val="00134ED6"/>
    <w:rsid w:val="00135912"/>
    <w:rsid w:val="00136126"/>
    <w:rsid w:val="001361D8"/>
    <w:rsid w:val="001361EB"/>
    <w:rsid w:val="00136347"/>
    <w:rsid w:val="00136C40"/>
    <w:rsid w:val="00136D8C"/>
    <w:rsid w:val="00137F03"/>
    <w:rsid w:val="001414B6"/>
    <w:rsid w:val="001414E2"/>
    <w:rsid w:val="001421D3"/>
    <w:rsid w:val="00142A21"/>
    <w:rsid w:val="001437B0"/>
    <w:rsid w:val="001447EB"/>
    <w:rsid w:val="00144DD5"/>
    <w:rsid w:val="00144F15"/>
    <w:rsid w:val="00145032"/>
    <w:rsid w:val="00145144"/>
    <w:rsid w:val="00145592"/>
    <w:rsid w:val="001459A0"/>
    <w:rsid w:val="001462DB"/>
    <w:rsid w:val="0014662D"/>
    <w:rsid w:val="00147459"/>
    <w:rsid w:val="001475A0"/>
    <w:rsid w:val="00147646"/>
    <w:rsid w:val="00147F3A"/>
    <w:rsid w:val="00150694"/>
    <w:rsid w:val="00150B3F"/>
    <w:rsid w:val="00151411"/>
    <w:rsid w:val="001514C3"/>
    <w:rsid w:val="00151F0C"/>
    <w:rsid w:val="00152023"/>
    <w:rsid w:val="00152DB3"/>
    <w:rsid w:val="00153DF2"/>
    <w:rsid w:val="001545E1"/>
    <w:rsid w:val="00154695"/>
    <w:rsid w:val="001548D3"/>
    <w:rsid w:val="00154D4A"/>
    <w:rsid w:val="00155DB6"/>
    <w:rsid w:val="00155FAD"/>
    <w:rsid w:val="00156DE0"/>
    <w:rsid w:val="001579E7"/>
    <w:rsid w:val="001579F1"/>
    <w:rsid w:val="00157A72"/>
    <w:rsid w:val="00157D37"/>
    <w:rsid w:val="0016105E"/>
    <w:rsid w:val="0016199F"/>
    <w:rsid w:val="00161E54"/>
    <w:rsid w:val="00162339"/>
    <w:rsid w:val="00162552"/>
    <w:rsid w:val="001626AA"/>
    <w:rsid w:val="00162BE1"/>
    <w:rsid w:val="00162D75"/>
    <w:rsid w:val="00163212"/>
    <w:rsid w:val="00164019"/>
    <w:rsid w:val="00164360"/>
    <w:rsid w:val="001645E2"/>
    <w:rsid w:val="00164707"/>
    <w:rsid w:val="001647C5"/>
    <w:rsid w:val="00165495"/>
    <w:rsid w:val="00165753"/>
    <w:rsid w:val="0016579F"/>
    <w:rsid w:val="001662EF"/>
    <w:rsid w:val="0016645F"/>
    <w:rsid w:val="00166ABC"/>
    <w:rsid w:val="00166C95"/>
    <w:rsid w:val="00166D6E"/>
    <w:rsid w:val="00166FCC"/>
    <w:rsid w:val="00167557"/>
    <w:rsid w:val="001676BE"/>
    <w:rsid w:val="0017028F"/>
    <w:rsid w:val="00170E50"/>
    <w:rsid w:val="0017107B"/>
    <w:rsid w:val="001710A0"/>
    <w:rsid w:val="001711A7"/>
    <w:rsid w:val="0017148E"/>
    <w:rsid w:val="0017173F"/>
    <w:rsid w:val="00171DAB"/>
    <w:rsid w:val="00172604"/>
    <w:rsid w:val="00172C9A"/>
    <w:rsid w:val="00173567"/>
    <w:rsid w:val="001736CD"/>
    <w:rsid w:val="00173863"/>
    <w:rsid w:val="00173A65"/>
    <w:rsid w:val="00173AE6"/>
    <w:rsid w:val="00173C27"/>
    <w:rsid w:val="001748C1"/>
    <w:rsid w:val="00175E89"/>
    <w:rsid w:val="00176B87"/>
    <w:rsid w:val="00176EA0"/>
    <w:rsid w:val="001773D5"/>
    <w:rsid w:val="0017799E"/>
    <w:rsid w:val="00177B6E"/>
    <w:rsid w:val="00177EE2"/>
    <w:rsid w:val="001803CC"/>
    <w:rsid w:val="00180506"/>
    <w:rsid w:val="001806D9"/>
    <w:rsid w:val="0018090F"/>
    <w:rsid w:val="0018104B"/>
    <w:rsid w:val="00181B1C"/>
    <w:rsid w:val="00181F41"/>
    <w:rsid w:val="00181F96"/>
    <w:rsid w:val="0018222E"/>
    <w:rsid w:val="00182431"/>
    <w:rsid w:val="00182B16"/>
    <w:rsid w:val="0018300D"/>
    <w:rsid w:val="00183DB6"/>
    <w:rsid w:val="00184520"/>
    <w:rsid w:val="00184756"/>
    <w:rsid w:val="001848AF"/>
    <w:rsid w:val="0018517E"/>
    <w:rsid w:val="00185C4E"/>
    <w:rsid w:val="001860AC"/>
    <w:rsid w:val="00186AE0"/>
    <w:rsid w:val="00186BCC"/>
    <w:rsid w:val="00186BEE"/>
    <w:rsid w:val="00186D51"/>
    <w:rsid w:val="00187291"/>
    <w:rsid w:val="001875A8"/>
    <w:rsid w:val="00187609"/>
    <w:rsid w:val="001876A2"/>
    <w:rsid w:val="0018786D"/>
    <w:rsid w:val="001878EA"/>
    <w:rsid w:val="00190881"/>
    <w:rsid w:val="00191208"/>
    <w:rsid w:val="001914E1"/>
    <w:rsid w:val="00191719"/>
    <w:rsid w:val="00191DA1"/>
    <w:rsid w:val="00192D22"/>
    <w:rsid w:val="00192DCB"/>
    <w:rsid w:val="0019390E"/>
    <w:rsid w:val="00193B82"/>
    <w:rsid w:val="00193C9F"/>
    <w:rsid w:val="001943B0"/>
    <w:rsid w:val="00194CDB"/>
    <w:rsid w:val="00194D01"/>
    <w:rsid w:val="001963E9"/>
    <w:rsid w:val="001973FB"/>
    <w:rsid w:val="00197490"/>
    <w:rsid w:val="0019766C"/>
    <w:rsid w:val="00197CE6"/>
    <w:rsid w:val="001A0334"/>
    <w:rsid w:val="001A0372"/>
    <w:rsid w:val="001A03A3"/>
    <w:rsid w:val="001A064F"/>
    <w:rsid w:val="001A0A61"/>
    <w:rsid w:val="001A0F4C"/>
    <w:rsid w:val="001A14C3"/>
    <w:rsid w:val="001A226F"/>
    <w:rsid w:val="001A2663"/>
    <w:rsid w:val="001A273D"/>
    <w:rsid w:val="001A3B5A"/>
    <w:rsid w:val="001A3C4E"/>
    <w:rsid w:val="001A3D8A"/>
    <w:rsid w:val="001A48DA"/>
    <w:rsid w:val="001A52C3"/>
    <w:rsid w:val="001A5A2E"/>
    <w:rsid w:val="001A5F47"/>
    <w:rsid w:val="001A5FD2"/>
    <w:rsid w:val="001A6177"/>
    <w:rsid w:val="001A635D"/>
    <w:rsid w:val="001A6650"/>
    <w:rsid w:val="001A7D70"/>
    <w:rsid w:val="001B00D8"/>
    <w:rsid w:val="001B02E1"/>
    <w:rsid w:val="001B0365"/>
    <w:rsid w:val="001B0F00"/>
    <w:rsid w:val="001B11DC"/>
    <w:rsid w:val="001B1F0E"/>
    <w:rsid w:val="001B249B"/>
    <w:rsid w:val="001B304B"/>
    <w:rsid w:val="001B38D0"/>
    <w:rsid w:val="001B402E"/>
    <w:rsid w:val="001B49EF"/>
    <w:rsid w:val="001B4DE4"/>
    <w:rsid w:val="001B5078"/>
    <w:rsid w:val="001B547E"/>
    <w:rsid w:val="001B5916"/>
    <w:rsid w:val="001B62D0"/>
    <w:rsid w:val="001B6963"/>
    <w:rsid w:val="001B6FF2"/>
    <w:rsid w:val="001B71ED"/>
    <w:rsid w:val="001B783D"/>
    <w:rsid w:val="001C01D5"/>
    <w:rsid w:val="001C023A"/>
    <w:rsid w:val="001C0983"/>
    <w:rsid w:val="001C0BB7"/>
    <w:rsid w:val="001C0F7A"/>
    <w:rsid w:val="001C1834"/>
    <w:rsid w:val="001C243A"/>
    <w:rsid w:val="001C2C07"/>
    <w:rsid w:val="001C302B"/>
    <w:rsid w:val="001C346F"/>
    <w:rsid w:val="001C3A7A"/>
    <w:rsid w:val="001C4E77"/>
    <w:rsid w:val="001C5E0C"/>
    <w:rsid w:val="001C5FDD"/>
    <w:rsid w:val="001C6ACF"/>
    <w:rsid w:val="001C6B54"/>
    <w:rsid w:val="001C6CEF"/>
    <w:rsid w:val="001C7020"/>
    <w:rsid w:val="001C749A"/>
    <w:rsid w:val="001C771A"/>
    <w:rsid w:val="001C7EBE"/>
    <w:rsid w:val="001D08D3"/>
    <w:rsid w:val="001D0A28"/>
    <w:rsid w:val="001D0FD4"/>
    <w:rsid w:val="001D1DEF"/>
    <w:rsid w:val="001D1E6A"/>
    <w:rsid w:val="001D1FDD"/>
    <w:rsid w:val="001D2649"/>
    <w:rsid w:val="001D2764"/>
    <w:rsid w:val="001D2AD4"/>
    <w:rsid w:val="001D2EA0"/>
    <w:rsid w:val="001D3E30"/>
    <w:rsid w:val="001D4782"/>
    <w:rsid w:val="001D4D96"/>
    <w:rsid w:val="001D527B"/>
    <w:rsid w:val="001D60A2"/>
    <w:rsid w:val="001D610D"/>
    <w:rsid w:val="001D615F"/>
    <w:rsid w:val="001D6454"/>
    <w:rsid w:val="001D6E92"/>
    <w:rsid w:val="001D6F15"/>
    <w:rsid w:val="001D725C"/>
    <w:rsid w:val="001D734B"/>
    <w:rsid w:val="001D7ACB"/>
    <w:rsid w:val="001D7B80"/>
    <w:rsid w:val="001D7BAD"/>
    <w:rsid w:val="001E014D"/>
    <w:rsid w:val="001E0DD6"/>
    <w:rsid w:val="001E125D"/>
    <w:rsid w:val="001E1513"/>
    <w:rsid w:val="001E1FF7"/>
    <w:rsid w:val="001E30B1"/>
    <w:rsid w:val="001E376F"/>
    <w:rsid w:val="001E4A15"/>
    <w:rsid w:val="001E64F1"/>
    <w:rsid w:val="001E6BAE"/>
    <w:rsid w:val="001E7F25"/>
    <w:rsid w:val="001F037E"/>
    <w:rsid w:val="001F05C6"/>
    <w:rsid w:val="001F0A98"/>
    <w:rsid w:val="001F0F47"/>
    <w:rsid w:val="001F1204"/>
    <w:rsid w:val="001F1B42"/>
    <w:rsid w:val="001F1CCF"/>
    <w:rsid w:val="001F1E52"/>
    <w:rsid w:val="001F1EF9"/>
    <w:rsid w:val="001F203B"/>
    <w:rsid w:val="001F23B9"/>
    <w:rsid w:val="001F27D2"/>
    <w:rsid w:val="001F2CC7"/>
    <w:rsid w:val="001F2D60"/>
    <w:rsid w:val="001F2E58"/>
    <w:rsid w:val="001F2FB6"/>
    <w:rsid w:val="001F304E"/>
    <w:rsid w:val="001F33D1"/>
    <w:rsid w:val="001F3893"/>
    <w:rsid w:val="001F3FEC"/>
    <w:rsid w:val="001F4667"/>
    <w:rsid w:val="001F4B96"/>
    <w:rsid w:val="001F4F21"/>
    <w:rsid w:val="001F55BB"/>
    <w:rsid w:val="001F5D01"/>
    <w:rsid w:val="001F6425"/>
    <w:rsid w:val="001F6FAA"/>
    <w:rsid w:val="002000A7"/>
    <w:rsid w:val="00200103"/>
    <w:rsid w:val="00200509"/>
    <w:rsid w:val="0020060E"/>
    <w:rsid w:val="00200FA6"/>
    <w:rsid w:val="0020219B"/>
    <w:rsid w:val="00202609"/>
    <w:rsid w:val="00202D8C"/>
    <w:rsid w:val="00202F82"/>
    <w:rsid w:val="00203049"/>
    <w:rsid w:val="002041FE"/>
    <w:rsid w:val="00204DEC"/>
    <w:rsid w:val="00205719"/>
    <w:rsid w:val="002059E3"/>
    <w:rsid w:val="00205F8A"/>
    <w:rsid w:val="0020605D"/>
    <w:rsid w:val="0020651C"/>
    <w:rsid w:val="00206982"/>
    <w:rsid w:val="00206B2D"/>
    <w:rsid w:val="00206C48"/>
    <w:rsid w:val="0020720B"/>
    <w:rsid w:val="002075CA"/>
    <w:rsid w:val="002078EE"/>
    <w:rsid w:val="002105BF"/>
    <w:rsid w:val="00210E4B"/>
    <w:rsid w:val="002113E8"/>
    <w:rsid w:val="00211474"/>
    <w:rsid w:val="002114CA"/>
    <w:rsid w:val="00211956"/>
    <w:rsid w:val="00211E99"/>
    <w:rsid w:val="00212F08"/>
    <w:rsid w:val="00213061"/>
    <w:rsid w:val="002130E8"/>
    <w:rsid w:val="00213566"/>
    <w:rsid w:val="002137BC"/>
    <w:rsid w:val="0021405B"/>
    <w:rsid w:val="002145B0"/>
    <w:rsid w:val="002147BC"/>
    <w:rsid w:val="00214B26"/>
    <w:rsid w:val="00214E97"/>
    <w:rsid w:val="00215391"/>
    <w:rsid w:val="00215720"/>
    <w:rsid w:val="00215CFF"/>
    <w:rsid w:val="00216BFB"/>
    <w:rsid w:val="00217192"/>
    <w:rsid w:val="0021719F"/>
    <w:rsid w:val="0021725B"/>
    <w:rsid w:val="0021747B"/>
    <w:rsid w:val="00217738"/>
    <w:rsid w:val="00217DBA"/>
    <w:rsid w:val="00221491"/>
    <w:rsid w:val="002214B9"/>
    <w:rsid w:val="00221B21"/>
    <w:rsid w:val="002226A6"/>
    <w:rsid w:val="002226B0"/>
    <w:rsid w:val="00222BC6"/>
    <w:rsid w:val="00223358"/>
    <w:rsid w:val="002237EF"/>
    <w:rsid w:val="002239EA"/>
    <w:rsid w:val="00223C12"/>
    <w:rsid w:val="00223D4C"/>
    <w:rsid w:val="00224432"/>
    <w:rsid w:val="00225110"/>
    <w:rsid w:val="00225113"/>
    <w:rsid w:val="00225231"/>
    <w:rsid w:val="0022586F"/>
    <w:rsid w:val="00226B8C"/>
    <w:rsid w:val="0022722F"/>
    <w:rsid w:val="00227291"/>
    <w:rsid w:val="00227682"/>
    <w:rsid w:val="00227C6A"/>
    <w:rsid w:val="0023161C"/>
    <w:rsid w:val="00231AAC"/>
    <w:rsid w:val="00231D57"/>
    <w:rsid w:val="00231EF2"/>
    <w:rsid w:val="002329A0"/>
    <w:rsid w:val="00232E8F"/>
    <w:rsid w:val="00232EDD"/>
    <w:rsid w:val="00233339"/>
    <w:rsid w:val="00233694"/>
    <w:rsid w:val="00233D06"/>
    <w:rsid w:val="0023425B"/>
    <w:rsid w:val="0023432C"/>
    <w:rsid w:val="00234925"/>
    <w:rsid w:val="00234B99"/>
    <w:rsid w:val="002352F5"/>
    <w:rsid w:val="00235AFE"/>
    <w:rsid w:val="00235E3E"/>
    <w:rsid w:val="00235E6E"/>
    <w:rsid w:val="002370AE"/>
    <w:rsid w:val="00237155"/>
    <w:rsid w:val="00237354"/>
    <w:rsid w:val="002375E7"/>
    <w:rsid w:val="0023778C"/>
    <w:rsid w:val="0024069B"/>
    <w:rsid w:val="0024110E"/>
    <w:rsid w:val="002412AE"/>
    <w:rsid w:val="00241B96"/>
    <w:rsid w:val="00241F51"/>
    <w:rsid w:val="0024317E"/>
    <w:rsid w:val="00243463"/>
    <w:rsid w:val="00243C09"/>
    <w:rsid w:val="00244446"/>
    <w:rsid w:val="002448AB"/>
    <w:rsid w:val="0024613F"/>
    <w:rsid w:val="00246CFE"/>
    <w:rsid w:val="00246F9C"/>
    <w:rsid w:val="00247233"/>
    <w:rsid w:val="00247C34"/>
    <w:rsid w:val="002500C0"/>
    <w:rsid w:val="0025072D"/>
    <w:rsid w:val="002507C2"/>
    <w:rsid w:val="00250D18"/>
    <w:rsid w:val="00250F03"/>
    <w:rsid w:val="0025117C"/>
    <w:rsid w:val="0025177D"/>
    <w:rsid w:val="00251DCA"/>
    <w:rsid w:val="00251EB5"/>
    <w:rsid w:val="00252310"/>
    <w:rsid w:val="002526F6"/>
    <w:rsid w:val="00252BF4"/>
    <w:rsid w:val="00252DBE"/>
    <w:rsid w:val="00252E5B"/>
    <w:rsid w:val="00252E96"/>
    <w:rsid w:val="00253218"/>
    <w:rsid w:val="00253560"/>
    <w:rsid w:val="002537E9"/>
    <w:rsid w:val="00253930"/>
    <w:rsid w:val="00253DBA"/>
    <w:rsid w:val="00253DC9"/>
    <w:rsid w:val="00253F1C"/>
    <w:rsid w:val="00255E20"/>
    <w:rsid w:val="00255F69"/>
    <w:rsid w:val="0025620D"/>
    <w:rsid w:val="00256596"/>
    <w:rsid w:val="002565C4"/>
    <w:rsid w:val="00256D26"/>
    <w:rsid w:val="0025778A"/>
    <w:rsid w:val="00257931"/>
    <w:rsid w:val="00260E78"/>
    <w:rsid w:val="00262C4E"/>
    <w:rsid w:val="0026315B"/>
    <w:rsid w:val="00263410"/>
    <w:rsid w:val="00264794"/>
    <w:rsid w:val="0026486F"/>
    <w:rsid w:val="002656CA"/>
    <w:rsid w:val="0026575B"/>
    <w:rsid w:val="0026626E"/>
    <w:rsid w:val="00266A60"/>
    <w:rsid w:val="00266D00"/>
    <w:rsid w:val="002700FE"/>
    <w:rsid w:val="002706F9"/>
    <w:rsid w:val="00270F77"/>
    <w:rsid w:val="00271075"/>
    <w:rsid w:val="002711B1"/>
    <w:rsid w:val="00271510"/>
    <w:rsid w:val="002718CB"/>
    <w:rsid w:val="00271DE3"/>
    <w:rsid w:val="00271E21"/>
    <w:rsid w:val="002725AB"/>
    <w:rsid w:val="002726D5"/>
    <w:rsid w:val="00272E4A"/>
    <w:rsid w:val="002733AD"/>
    <w:rsid w:val="00273798"/>
    <w:rsid w:val="002738F8"/>
    <w:rsid w:val="00273A2D"/>
    <w:rsid w:val="00274CF6"/>
    <w:rsid w:val="002767CF"/>
    <w:rsid w:val="002767E2"/>
    <w:rsid w:val="00276C32"/>
    <w:rsid w:val="00277CF1"/>
    <w:rsid w:val="00280762"/>
    <w:rsid w:val="00280B35"/>
    <w:rsid w:val="00281AB4"/>
    <w:rsid w:val="00282148"/>
    <w:rsid w:val="00282394"/>
    <w:rsid w:val="00283DA5"/>
    <w:rsid w:val="002843FB"/>
    <w:rsid w:val="00284512"/>
    <w:rsid w:val="002849D7"/>
    <w:rsid w:val="00284DE1"/>
    <w:rsid w:val="0028508D"/>
    <w:rsid w:val="002850CC"/>
    <w:rsid w:val="00285B23"/>
    <w:rsid w:val="00285D87"/>
    <w:rsid w:val="00286160"/>
    <w:rsid w:val="00286484"/>
    <w:rsid w:val="0028694E"/>
    <w:rsid w:val="002869E4"/>
    <w:rsid w:val="002873A6"/>
    <w:rsid w:val="00287905"/>
    <w:rsid w:val="00287B4A"/>
    <w:rsid w:val="00287CDA"/>
    <w:rsid w:val="00290498"/>
    <w:rsid w:val="002913FA"/>
    <w:rsid w:val="0029165C"/>
    <w:rsid w:val="00291EF4"/>
    <w:rsid w:val="002923C6"/>
    <w:rsid w:val="00292B5B"/>
    <w:rsid w:val="00292E46"/>
    <w:rsid w:val="002935FA"/>
    <w:rsid w:val="0029382C"/>
    <w:rsid w:val="00293A77"/>
    <w:rsid w:val="00294DF7"/>
    <w:rsid w:val="00294F72"/>
    <w:rsid w:val="0029525F"/>
    <w:rsid w:val="002953A7"/>
    <w:rsid w:val="00295A0F"/>
    <w:rsid w:val="00295E47"/>
    <w:rsid w:val="0029648F"/>
    <w:rsid w:val="00296D2D"/>
    <w:rsid w:val="00296D42"/>
    <w:rsid w:val="002970AE"/>
    <w:rsid w:val="00297533"/>
    <w:rsid w:val="00297DCA"/>
    <w:rsid w:val="00297E94"/>
    <w:rsid w:val="002A0546"/>
    <w:rsid w:val="002A0B1E"/>
    <w:rsid w:val="002A12B4"/>
    <w:rsid w:val="002A1793"/>
    <w:rsid w:val="002A34DF"/>
    <w:rsid w:val="002A3B13"/>
    <w:rsid w:val="002A4246"/>
    <w:rsid w:val="002A433E"/>
    <w:rsid w:val="002A45D5"/>
    <w:rsid w:val="002A4948"/>
    <w:rsid w:val="002A49B7"/>
    <w:rsid w:val="002A4C2F"/>
    <w:rsid w:val="002A4C96"/>
    <w:rsid w:val="002A4D95"/>
    <w:rsid w:val="002A52B8"/>
    <w:rsid w:val="002A556A"/>
    <w:rsid w:val="002A5A51"/>
    <w:rsid w:val="002A5B01"/>
    <w:rsid w:val="002A63D5"/>
    <w:rsid w:val="002A66A0"/>
    <w:rsid w:val="002A66EC"/>
    <w:rsid w:val="002A6ADE"/>
    <w:rsid w:val="002A6D3D"/>
    <w:rsid w:val="002A6ED3"/>
    <w:rsid w:val="002A7483"/>
    <w:rsid w:val="002A7609"/>
    <w:rsid w:val="002A7B71"/>
    <w:rsid w:val="002B0513"/>
    <w:rsid w:val="002B0CB9"/>
    <w:rsid w:val="002B11ED"/>
    <w:rsid w:val="002B168E"/>
    <w:rsid w:val="002B1A45"/>
    <w:rsid w:val="002B2176"/>
    <w:rsid w:val="002B3165"/>
    <w:rsid w:val="002B317D"/>
    <w:rsid w:val="002B367B"/>
    <w:rsid w:val="002B3C7F"/>
    <w:rsid w:val="002B3E10"/>
    <w:rsid w:val="002B3FC9"/>
    <w:rsid w:val="002B4099"/>
    <w:rsid w:val="002B40E0"/>
    <w:rsid w:val="002B41F6"/>
    <w:rsid w:val="002B47D4"/>
    <w:rsid w:val="002B5285"/>
    <w:rsid w:val="002B5468"/>
    <w:rsid w:val="002B5A24"/>
    <w:rsid w:val="002B5A79"/>
    <w:rsid w:val="002B61AB"/>
    <w:rsid w:val="002B65FF"/>
    <w:rsid w:val="002B6694"/>
    <w:rsid w:val="002B6F3E"/>
    <w:rsid w:val="002B724B"/>
    <w:rsid w:val="002B75B8"/>
    <w:rsid w:val="002B7CFB"/>
    <w:rsid w:val="002C0243"/>
    <w:rsid w:val="002C03B8"/>
    <w:rsid w:val="002C073F"/>
    <w:rsid w:val="002C07E3"/>
    <w:rsid w:val="002C09F3"/>
    <w:rsid w:val="002C0A62"/>
    <w:rsid w:val="002C11C3"/>
    <w:rsid w:val="002C1793"/>
    <w:rsid w:val="002C255A"/>
    <w:rsid w:val="002C2796"/>
    <w:rsid w:val="002C3067"/>
    <w:rsid w:val="002C3825"/>
    <w:rsid w:val="002C3E71"/>
    <w:rsid w:val="002C461C"/>
    <w:rsid w:val="002C4EDE"/>
    <w:rsid w:val="002C50DD"/>
    <w:rsid w:val="002C53D7"/>
    <w:rsid w:val="002C586C"/>
    <w:rsid w:val="002C5E60"/>
    <w:rsid w:val="002C6F62"/>
    <w:rsid w:val="002C7650"/>
    <w:rsid w:val="002D00F0"/>
    <w:rsid w:val="002D03A2"/>
    <w:rsid w:val="002D0BBC"/>
    <w:rsid w:val="002D0E3B"/>
    <w:rsid w:val="002D1595"/>
    <w:rsid w:val="002D1A0F"/>
    <w:rsid w:val="002D2169"/>
    <w:rsid w:val="002D23C3"/>
    <w:rsid w:val="002D249A"/>
    <w:rsid w:val="002D301E"/>
    <w:rsid w:val="002D32DA"/>
    <w:rsid w:val="002D387A"/>
    <w:rsid w:val="002D3C99"/>
    <w:rsid w:val="002D45C4"/>
    <w:rsid w:val="002D470C"/>
    <w:rsid w:val="002D477C"/>
    <w:rsid w:val="002D4C3F"/>
    <w:rsid w:val="002D4FA1"/>
    <w:rsid w:val="002D6654"/>
    <w:rsid w:val="002D67B1"/>
    <w:rsid w:val="002D6FB9"/>
    <w:rsid w:val="002D7D5D"/>
    <w:rsid w:val="002D7EAB"/>
    <w:rsid w:val="002E036D"/>
    <w:rsid w:val="002E0821"/>
    <w:rsid w:val="002E088D"/>
    <w:rsid w:val="002E191B"/>
    <w:rsid w:val="002E1937"/>
    <w:rsid w:val="002E1CF8"/>
    <w:rsid w:val="002E2518"/>
    <w:rsid w:val="002E2B1C"/>
    <w:rsid w:val="002E2E4A"/>
    <w:rsid w:val="002E35F8"/>
    <w:rsid w:val="002E3646"/>
    <w:rsid w:val="002E3927"/>
    <w:rsid w:val="002E3BEA"/>
    <w:rsid w:val="002E3CD8"/>
    <w:rsid w:val="002E3F9E"/>
    <w:rsid w:val="002E3FC3"/>
    <w:rsid w:val="002E4535"/>
    <w:rsid w:val="002E519C"/>
    <w:rsid w:val="002E56A4"/>
    <w:rsid w:val="002E5865"/>
    <w:rsid w:val="002E5971"/>
    <w:rsid w:val="002E5D8C"/>
    <w:rsid w:val="002E5EBD"/>
    <w:rsid w:val="002E60A0"/>
    <w:rsid w:val="002E7962"/>
    <w:rsid w:val="002E7A0B"/>
    <w:rsid w:val="002E7D30"/>
    <w:rsid w:val="002E7E2A"/>
    <w:rsid w:val="002F030F"/>
    <w:rsid w:val="002F0C14"/>
    <w:rsid w:val="002F0D71"/>
    <w:rsid w:val="002F0E68"/>
    <w:rsid w:val="002F0F00"/>
    <w:rsid w:val="002F1584"/>
    <w:rsid w:val="002F16E1"/>
    <w:rsid w:val="002F1BC0"/>
    <w:rsid w:val="002F249B"/>
    <w:rsid w:val="002F2525"/>
    <w:rsid w:val="002F2AE9"/>
    <w:rsid w:val="002F348B"/>
    <w:rsid w:val="002F5066"/>
    <w:rsid w:val="002F5970"/>
    <w:rsid w:val="002F604A"/>
    <w:rsid w:val="002F6DC6"/>
    <w:rsid w:val="002F73C1"/>
    <w:rsid w:val="002F77E1"/>
    <w:rsid w:val="002F7E99"/>
    <w:rsid w:val="00300003"/>
    <w:rsid w:val="00300ECD"/>
    <w:rsid w:val="003010C9"/>
    <w:rsid w:val="0030125F"/>
    <w:rsid w:val="00301341"/>
    <w:rsid w:val="00301A2D"/>
    <w:rsid w:val="00301AA6"/>
    <w:rsid w:val="00301F70"/>
    <w:rsid w:val="00301FE5"/>
    <w:rsid w:val="0030287C"/>
    <w:rsid w:val="00302FF4"/>
    <w:rsid w:val="00304C33"/>
    <w:rsid w:val="0030535F"/>
    <w:rsid w:val="00305AF9"/>
    <w:rsid w:val="0030750E"/>
    <w:rsid w:val="0031054C"/>
    <w:rsid w:val="00310684"/>
    <w:rsid w:val="003106AD"/>
    <w:rsid w:val="00310BAB"/>
    <w:rsid w:val="00310FAF"/>
    <w:rsid w:val="003110BF"/>
    <w:rsid w:val="00311D64"/>
    <w:rsid w:val="0031276C"/>
    <w:rsid w:val="0031285F"/>
    <w:rsid w:val="00312E4E"/>
    <w:rsid w:val="00312FF0"/>
    <w:rsid w:val="00313022"/>
    <w:rsid w:val="00313062"/>
    <w:rsid w:val="00313BCF"/>
    <w:rsid w:val="00314110"/>
    <w:rsid w:val="00315086"/>
    <w:rsid w:val="0031537A"/>
    <w:rsid w:val="003155D5"/>
    <w:rsid w:val="0031571B"/>
    <w:rsid w:val="003161F1"/>
    <w:rsid w:val="00316312"/>
    <w:rsid w:val="00316351"/>
    <w:rsid w:val="0031678E"/>
    <w:rsid w:val="003175C9"/>
    <w:rsid w:val="00317D07"/>
    <w:rsid w:val="003206BE"/>
    <w:rsid w:val="003206C0"/>
    <w:rsid w:val="00320B26"/>
    <w:rsid w:val="0032127D"/>
    <w:rsid w:val="00321BE6"/>
    <w:rsid w:val="00321D49"/>
    <w:rsid w:val="00321E94"/>
    <w:rsid w:val="00322558"/>
    <w:rsid w:val="0032268F"/>
    <w:rsid w:val="00323030"/>
    <w:rsid w:val="003234CF"/>
    <w:rsid w:val="00323A61"/>
    <w:rsid w:val="00323FE4"/>
    <w:rsid w:val="003242D9"/>
    <w:rsid w:val="003243ED"/>
    <w:rsid w:val="00324736"/>
    <w:rsid w:val="003249FB"/>
    <w:rsid w:val="00324BBF"/>
    <w:rsid w:val="003250C0"/>
    <w:rsid w:val="00325144"/>
    <w:rsid w:val="0032552A"/>
    <w:rsid w:val="003259AE"/>
    <w:rsid w:val="00325E97"/>
    <w:rsid w:val="003267C8"/>
    <w:rsid w:val="00326815"/>
    <w:rsid w:val="00326A0E"/>
    <w:rsid w:val="00326BB3"/>
    <w:rsid w:val="00326C06"/>
    <w:rsid w:val="00326DBC"/>
    <w:rsid w:val="00326E0B"/>
    <w:rsid w:val="00326FA8"/>
    <w:rsid w:val="00327046"/>
    <w:rsid w:val="00327093"/>
    <w:rsid w:val="0032741A"/>
    <w:rsid w:val="0032741E"/>
    <w:rsid w:val="00327740"/>
    <w:rsid w:val="00327816"/>
    <w:rsid w:val="00327CA1"/>
    <w:rsid w:val="00330A91"/>
    <w:rsid w:val="00330ACA"/>
    <w:rsid w:val="00330E30"/>
    <w:rsid w:val="00330E5B"/>
    <w:rsid w:val="00331325"/>
    <w:rsid w:val="003313F1"/>
    <w:rsid w:val="00331CF2"/>
    <w:rsid w:val="00331F0D"/>
    <w:rsid w:val="0033255E"/>
    <w:rsid w:val="0033262C"/>
    <w:rsid w:val="00332D85"/>
    <w:rsid w:val="00333335"/>
    <w:rsid w:val="00334473"/>
    <w:rsid w:val="003347FC"/>
    <w:rsid w:val="0033531E"/>
    <w:rsid w:val="00335B36"/>
    <w:rsid w:val="00336C10"/>
    <w:rsid w:val="00336F7D"/>
    <w:rsid w:val="003376C5"/>
    <w:rsid w:val="00337E19"/>
    <w:rsid w:val="003412A3"/>
    <w:rsid w:val="00342354"/>
    <w:rsid w:val="003426EA"/>
    <w:rsid w:val="00342CEC"/>
    <w:rsid w:val="00343344"/>
    <w:rsid w:val="0034357A"/>
    <w:rsid w:val="003435D3"/>
    <w:rsid w:val="00344B34"/>
    <w:rsid w:val="00345E8F"/>
    <w:rsid w:val="00346086"/>
    <w:rsid w:val="003461CA"/>
    <w:rsid w:val="003464ED"/>
    <w:rsid w:val="00346615"/>
    <w:rsid w:val="003467B1"/>
    <w:rsid w:val="00347230"/>
    <w:rsid w:val="00347287"/>
    <w:rsid w:val="003509FA"/>
    <w:rsid w:val="00350CF4"/>
    <w:rsid w:val="00350E1C"/>
    <w:rsid w:val="00351592"/>
    <w:rsid w:val="00351AB5"/>
    <w:rsid w:val="003522F2"/>
    <w:rsid w:val="0035244F"/>
    <w:rsid w:val="00352684"/>
    <w:rsid w:val="003532A9"/>
    <w:rsid w:val="00353456"/>
    <w:rsid w:val="00353F3C"/>
    <w:rsid w:val="0035412C"/>
    <w:rsid w:val="0035433C"/>
    <w:rsid w:val="003547A0"/>
    <w:rsid w:val="00354D69"/>
    <w:rsid w:val="00355297"/>
    <w:rsid w:val="00355984"/>
    <w:rsid w:val="00356B05"/>
    <w:rsid w:val="00356D99"/>
    <w:rsid w:val="00357214"/>
    <w:rsid w:val="003572C2"/>
    <w:rsid w:val="0035779B"/>
    <w:rsid w:val="00357BE2"/>
    <w:rsid w:val="00357D1A"/>
    <w:rsid w:val="00357E71"/>
    <w:rsid w:val="00357ED2"/>
    <w:rsid w:val="00360C1D"/>
    <w:rsid w:val="00362141"/>
    <w:rsid w:val="00362557"/>
    <w:rsid w:val="00362A76"/>
    <w:rsid w:val="003631F9"/>
    <w:rsid w:val="00363949"/>
    <w:rsid w:val="00363A1C"/>
    <w:rsid w:val="00363C4C"/>
    <w:rsid w:val="00364BE1"/>
    <w:rsid w:val="00364E2B"/>
    <w:rsid w:val="00365333"/>
    <w:rsid w:val="003653B2"/>
    <w:rsid w:val="00365869"/>
    <w:rsid w:val="003671CA"/>
    <w:rsid w:val="00367231"/>
    <w:rsid w:val="003675C0"/>
    <w:rsid w:val="00367791"/>
    <w:rsid w:val="003677B0"/>
    <w:rsid w:val="00367D56"/>
    <w:rsid w:val="00370065"/>
    <w:rsid w:val="00370866"/>
    <w:rsid w:val="003727F8"/>
    <w:rsid w:val="00373797"/>
    <w:rsid w:val="0037391D"/>
    <w:rsid w:val="003744E5"/>
    <w:rsid w:val="003744E8"/>
    <w:rsid w:val="0037470A"/>
    <w:rsid w:val="00374844"/>
    <w:rsid w:val="00375806"/>
    <w:rsid w:val="00375816"/>
    <w:rsid w:val="0037610D"/>
    <w:rsid w:val="0037622F"/>
    <w:rsid w:val="0037654E"/>
    <w:rsid w:val="00376D7F"/>
    <w:rsid w:val="003771AA"/>
    <w:rsid w:val="0037794E"/>
    <w:rsid w:val="00377FCD"/>
    <w:rsid w:val="003803E9"/>
    <w:rsid w:val="00380F2A"/>
    <w:rsid w:val="0038186B"/>
    <w:rsid w:val="00381C42"/>
    <w:rsid w:val="00382630"/>
    <w:rsid w:val="00382DAD"/>
    <w:rsid w:val="0038331E"/>
    <w:rsid w:val="00383503"/>
    <w:rsid w:val="003835CC"/>
    <w:rsid w:val="00383691"/>
    <w:rsid w:val="0038393B"/>
    <w:rsid w:val="00383C54"/>
    <w:rsid w:val="00383E7E"/>
    <w:rsid w:val="0038454F"/>
    <w:rsid w:val="0038515E"/>
    <w:rsid w:val="003856DA"/>
    <w:rsid w:val="00385919"/>
    <w:rsid w:val="00385FFD"/>
    <w:rsid w:val="00386876"/>
    <w:rsid w:val="00387691"/>
    <w:rsid w:val="003877BA"/>
    <w:rsid w:val="003878C3"/>
    <w:rsid w:val="00387BAD"/>
    <w:rsid w:val="00390222"/>
    <w:rsid w:val="00390B81"/>
    <w:rsid w:val="00391528"/>
    <w:rsid w:val="00391566"/>
    <w:rsid w:val="00391877"/>
    <w:rsid w:val="00391B67"/>
    <w:rsid w:val="00392014"/>
    <w:rsid w:val="00392117"/>
    <w:rsid w:val="00392D76"/>
    <w:rsid w:val="00393413"/>
    <w:rsid w:val="00393428"/>
    <w:rsid w:val="00394030"/>
    <w:rsid w:val="003941C1"/>
    <w:rsid w:val="003941F6"/>
    <w:rsid w:val="003941FE"/>
    <w:rsid w:val="003948CE"/>
    <w:rsid w:val="00394940"/>
    <w:rsid w:val="00394F90"/>
    <w:rsid w:val="0039539D"/>
    <w:rsid w:val="003959CE"/>
    <w:rsid w:val="003959E9"/>
    <w:rsid w:val="00395BBF"/>
    <w:rsid w:val="00395FD3"/>
    <w:rsid w:val="00396227"/>
    <w:rsid w:val="003968F9"/>
    <w:rsid w:val="00396C99"/>
    <w:rsid w:val="00397219"/>
    <w:rsid w:val="00397F0A"/>
    <w:rsid w:val="003A0108"/>
    <w:rsid w:val="003A0D0C"/>
    <w:rsid w:val="003A1CEE"/>
    <w:rsid w:val="003A1F5E"/>
    <w:rsid w:val="003A40B3"/>
    <w:rsid w:val="003A4153"/>
    <w:rsid w:val="003A50A2"/>
    <w:rsid w:val="003A52D8"/>
    <w:rsid w:val="003A57D7"/>
    <w:rsid w:val="003A582D"/>
    <w:rsid w:val="003A5843"/>
    <w:rsid w:val="003A5FDB"/>
    <w:rsid w:val="003A618E"/>
    <w:rsid w:val="003A6639"/>
    <w:rsid w:val="003A6F13"/>
    <w:rsid w:val="003A721E"/>
    <w:rsid w:val="003A7415"/>
    <w:rsid w:val="003A7C73"/>
    <w:rsid w:val="003A7EE8"/>
    <w:rsid w:val="003B01A8"/>
    <w:rsid w:val="003B075A"/>
    <w:rsid w:val="003B1507"/>
    <w:rsid w:val="003B1D39"/>
    <w:rsid w:val="003B1E9B"/>
    <w:rsid w:val="003B2054"/>
    <w:rsid w:val="003B22C4"/>
    <w:rsid w:val="003B2898"/>
    <w:rsid w:val="003B2B4B"/>
    <w:rsid w:val="003B2B5F"/>
    <w:rsid w:val="003B2E68"/>
    <w:rsid w:val="003B3AEA"/>
    <w:rsid w:val="003B3DDA"/>
    <w:rsid w:val="003B418B"/>
    <w:rsid w:val="003B4232"/>
    <w:rsid w:val="003B43D8"/>
    <w:rsid w:val="003B459B"/>
    <w:rsid w:val="003B4B75"/>
    <w:rsid w:val="003B4F5E"/>
    <w:rsid w:val="003B521B"/>
    <w:rsid w:val="003B524A"/>
    <w:rsid w:val="003B53C8"/>
    <w:rsid w:val="003B58EE"/>
    <w:rsid w:val="003B5BC2"/>
    <w:rsid w:val="003B5BFF"/>
    <w:rsid w:val="003B5C03"/>
    <w:rsid w:val="003B5F82"/>
    <w:rsid w:val="003B630C"/>
    <w:rsid w:val="003B7A10"/>
    <w:rsid w:val="003B7CE2"/>
    <w:rsid w:val="003B7EC5"/>
    <w:rsid w:val="003C095B"/>
    <w:rsid w:val="003C0988"/>
    <w:rsid w:val="003C0B73"/>
    <w:rsid w:val="003C104E"/>
    <w:rsid w:val="003C124A"/>
    <w:rsid w:val="003C127A"/>
    <w:rsid w:val="003C1466"/>
    <w:rsid w:val="003C173E"/>
    <w:rsid w:val="003C1942"/>
    <w:rsid w:val="003C1C49"/>
    <w:rsid w:val="003C223A"/>
    <w:rsid w:val="003C26E9"/>
    <w:rsid w:val="003C2B38"/>
    <w:rsid w:val="003C2CF9"/>
    <w:rsid w:val="003C2E13"/>
    <w:rsid w:val="003C4138"/>
    <w:rsid w:val="003C43AF"/>
    <w:rsid w:val="003C571F"/>
    <w:rsid w:val="003C6293"/>
    <w:rsid w:val="003C67FA"/>
    <w:rsid w:val="003C6844"/>
    <w:rsid w:val="003C73D3"/>
    <w:rsid w:val="003C7E62"/>
    <w:rsid w:val="003D04D8"/>
    <w:rsid w:val="003D090A"/>
    <w:rsid w:val="003D119D"/>
    <w:rsid w:val="003D198D"/>
    <w:rsid w:val="003D1C6C"/>
    <w:rsid w:val="003D2129"/>
    <w:rsid w:val="003D2C2A"/>
    <w:rsid w:val="003D2FE6"/>
    <w:rsid w:val="003D33F4"/>
    <w:rsid w:val="003D3CE9"/>
    <w:rsid w:val="003D3E68"/>
    <w:rsid w:val="003D4DC4"/>
    <w:rsid w:val="003D5368"/>
    <w:rsid w:val="003D544E"/>
    <w:rsid w:val="003D566B"/>
    <w:rsid w:val="003D6BB3"/>
    <w:rsid w:val="003D7067"/>
    <w:rsid w:val="003D74F6"/>
    <w:rsid w:val="003E034F"/>
    <w:rsid w:val="003E0395"/>
    <w:rsid w:val="003E03D0"/>
    <w:rsid w:val="003E0DC8"/>
    <w:rsid w:val="003E103F"/>
    <w:rsid w:val="003E1184"/>
    <w:rsid w:val="003E191F"/>
    <w:rsid w:val="003E197A"/>
    <w:rsid w:val="003E1C2D"/>
    <w:rsid w:val="003E1E73"/>
    <w:rsid w:val="003E28EE"/>
    <w:rsid w:val="003E2921"/>
    <w:rsid w:val="003E31C2"/>
    <w:rsid w:val="003E3276"/>
    <w:rsid w:val="003E343A"/>
    <w:rsid w:val="003E3794"/>
    <w:rsid w:val="003E3996"/>
    <w:rsid w:val="003E3BAF"/>
    <w:rsid w:val="003E3F90"/>
    <w:rsid w:val="003E4019"/>
    <w:rsid w:val="003E42B8"/>
    <w:rsid w:val="003E438E"/>
    <w:rsid w:val="003E47C5"/>
    <w:rsid w:val="003E50D9"/>
    <w:rsid w:val="003E5BAC"/>
    <w:rsid w:val="003E5FE7"/>
    <w:rsid w:val="003E6167"/>
    <w:rsid w:val="003E6889"/>
    <w:rsid w:val="003E7DD2"/>
    <w:rsid w:val="003E7EF3"/>
    <w:rsid w:val="003F0CED"/>
    <w:rsid w:val="003F1043"/>
    <w:rsid w:val="003F1820"/>
    <w:rsid w:val="003F1822"/>
    <w:rsid w:val="003F1DD3"/>
    <w:rsid w:val="003F1E90"/>
    <w:rsid w:val="003F2593"/>
    <w:rsid w:val="003F2A21"/>
    <w:rsid w:val="003F2E87"/>
    <w:rsid w:val="003F3869"/>
    <w:rsid w:val="003F3CFB"/>
    <w:rsid w:val="003F5586"/>
    <w:rsid w:val="003F5599"/>
    <w:rsid w:val="003F5D85"/>
    <w:rsid w:val="003F61D3"/>
    <w:rsid w:val="003F7F86"/>
    <w:rsid w:val="004001F2"/>
    <w:rsid w:val="0040042A"/>
    <w:rsid w:val="00400708"/>
    <w:rsid w:val="00400BEF"/>
    <w:rsid w:val="00401B70"/>
    <w:rsid w:val="00402136"/>
    <w:rsid w:val="00403109"/>
    <w:rsid w:val="00403580"/>
    <w:rsid w:val="00403601"/>
    <w:rsid w:val="00404667"/>
    <w:rsid w:val="004051F9"/>
    <w:rsid w:val="00405870"/>
    <w:rsid w:val="00405948"/>
    <w:rsid w:val="00406C1B"/>
    <w:rsid w:val="00407F09"/>
    <w:rsid w:val="0041011E"/>
    <w:rsid w:val="0041015D"/>
    <w:rsid w:val="00410F46"/>
    <w:rsid w:val="00410FBF"/>
    <w:rsid w:val="00411818"/>
    <w:rsid w:val="00412525"/>
    <w:rsid w:val="00412DE3"/>
    <w:rsid w:val="00412F6E"/>
    <w:rsid w:val="004133AA"/>
    <w:rsid w:val="00413BAD"/>
    <w:rsid w:val="00413E72"/>
    <w:rsid w:val="00414296"/>
    <w:rsid w:val="004148F3"/>
    <w:rsid w:val="00414EAB"/>
    <w:rsid w:val="00415143"/>
    <w:rsid w:val="004154B6"/>
    <w:rsid w:val="00415D44"/>
    <w:rsid w:val="00415DD6"/>
    <w:rsid w:val="0041642D"/>
    <w:rsid w:val="00416BFC"/>
    <w:rsid w:val="00417595"/>
    <w:rsid w:val="00417F0E"/>
    <w:rsid w:val="00420427"/>
    <w:rsid w:val="00420C90"/>
    <w:rsid w:val="00421390"/>
    <w:rsid w:val="00421A6B"/>
    <w:rsid w:val="004223B0"/>
    <w:rsid w:val="004227CE"/>
    <w:rsid w:val="00423348"/>
    <w:rsid w:val="00423F01"/>
    <w:rsid w:val="0042489E"/>
    <w:rsid w:val="00425057"/>
    <w:rsid w:val="00426027"/>
    <w:rsid w:val="004267EF"/>
    <w:rsid w:val="004275C1"/>
    <w:rsid w:val="00427AC3"/>
    <w:rsid w:val="00427DD7"/>
    <w:rsid w:val="004300AC"/>
    <w:rsid w:val="004312E1"/>
    <w:rsid w:val="004320F3"/>
    <w:rsid w:val="004329DA"/>
    <w:rsid w:val="0043323F"/>
    <w:rsid w:val="00433E85"/>
    <w:rsid w:val="00433ED6"/>
    <w:rsid w:val="00435883"/>
    <w:rsid w:val="0043610D"/>
    <w:rsid w:val="004361B5"/>
    <w:rsid w:val="0043640F"/>
    <w:rsid w:val="004369C9"/>
    <w:rsid w:val="00436DF0"/>
    <w:rsid w:val="00436F01"/>
    <w:rsid w:val="0043774F"/>
    <w:rsid w:val="00437C65"/>
    <w:rsid w:val="00437D2A"/>
    <w:rsid w:val="00437EDA"/>
    <w:rsid w:val="004407DC"/>
    <w:rsid w:val="00441696"/>
    <w:rsid w:val="004418F1"/>
    <w:rsid w:val="0044212B"/>
    <w:rsid w:val="00442297"/>
    <w:rsid w:val="00442574"/>
    <w:rsid w:val="0044258D"/>
    <w:rsid w:val="004425DC"/>
    <w:rsid w:val="0044378C"/>
    <w:rsid w:val="00443D4B"/>
    <w:rsid w:val="00444357"/>
    <w:rsid w:val="004444F2"/>
    <w:rsid w:val="004454C5"/>
    <w:rsid w:val="004454E6"/>
    <w:rsid w:val="00445624"/>
    <w:rsid w:val="00445A97"/>
    <w:rsid w:val="00446690"/>
    <w:rsid w:val="00446D30"/>
    <w:rsid w:val="00446D61"/>
    <w:rsid w:val="00446E4B"/>
    <w:rsid w:val="00446EF2"/>
    <w:rsid w:val="0044743B"/>
    <w:rsid w:val="004505E6"/>
    <w:rsid w:val="00450B32"/>
    <w:rsid w:val="004513B2"/>
    <w:rsid w:val="0045145A"/>
    <w:rsid w:val="004518F8"/>
    <w:rsid w:val="00451991"/>
    <w:rsid w:val="00452397"/>
    <w:rsid w:val="0045252B"/>
    <w:rsid w:val="004527F8"/>
    <w:rsid w:val="00452ABE"/>
    <w:rsid w:val="0045332D"/>
    <w:rsid w:val="004537D4"/>
    <w:rsid w:val="00453B2D"/>
    <w:rsid w:val="00453C15"/>
    <w:rsid w:val="00454195"/>
    <w:rsid w:val="00454772"/>
    <w:rsid w:val="004547BC"/>
    <w:rsid w:val="004547DD"/>
    <w:rsid w:val="00455231"/>
    <w:rsid w:val="0045540F"/>
    <w:rsid w:val="004566FF"/>
    <w:rsid w:val="0045677C"/>
    <w:rsid w:val="004569C7"/>
    <w:rsid w:val="004570F2"/>
    <w:rsid w:val="00457ED0"/>
    <w:rsid w:val="0046038D"/>
    <w:rsid w:val="00460681"/>
    <w:rsid w:val="00460A64"/>
    <w:rsid w:val="00461977"/>
    <w:rsid w:val="00461A8A"/>
    <w:rsid w:val="004620E6"/>
    <w:rsid w:val="00462255"/>
    <w:rsid w:val="00462CD5"/>
    <w:rsid w:val="004633F6"/>
    <w:rsid w:val="0046353D"/>
    <w:rsid w:val="00463DEA"/>
    <w:rsid w:val="00463F4C"/>
    <w:rsid w:val="00463F5C"/>
    <w:rsid w:val="00464349"/>
    <w:rsid w:val="0046451C"/>
    <w:rsid w:val="0046464E"/>
    <w:rsid w:val="00464DB7"/>
    <w:rsid w:val="00464E51"/>
    <w:rsid w:val="0046519E"/>
    <w:rsid w:val="00465457"/>
    <w:rsid w:val="00465908"/>
    <w:rsid w:val="00465A41"/>
    <w:rsid w:val="00465BD8"/>
    <w:rsid w:val="00466215"/>
    <w:rsid w:val="00466407"/>
    <w:rsid w:val="0046672E"/>
    <w:rsid w:val="00466A4D"/>
    <w:rsid w:val="00466CD0"/>
    <w:rsid w:val="00466EFF"/>
    <w:rsid w:val="0046726D"/>
    <w:rsid w:val="00467372"/>
    <w:rsid w:val="0047026C"/>
    <w:rsid w:val="00470B74"/>
    <w:rsid w:val="00470D3F"/>
    <w:rsid w:val="004711F0"/>
    <w:rsid w:val="00471AA1"/>
    <w:rsid w:val="00472256"/>
    <w:rsid w:val="004735A4"/>
    <w:rsid w:val="00473620"/>
    <w:rsid w:val="00473C26"/>
    <w:rsid w:val="0047404E"/>
    <w:rsid w:val="00474139"/>
    <w:rsid w:val="00474A2D"/>
    <w:rsid w:val="00474ED4"/>
    <w:rsid w:val="004750FE"/>
    <w:rsid w:val="004754AB"/>
    <w:rsid w:val="004758A9"/>
    <w:rsid w:val="00475DF9"/>
    <w:rsid w:val="004760D4"/>
    <w:rsid w:val="00476DBE"/>
    <w:rsid w:val="00477173"/>
    <w:rsid w:val="004775BF"/>
    <w:rsid w:val="00480345"/>
    <w:rsid w:val="0048062B"/>
    <w:rsid w:val="00480960"/>
    <w:rsid w:val="004812AD"/>
    <w:rsid w:val="00481FF8"/>
    <w:rsid w:val="0048290C"/>
    <w:rsid w:val="00482964"/>
    <w:rsid w:val="00482990"/>
    <w:rsid w:val="00482E4C"/>
    <w:rsid w:val="0048356D"/>
    <w:rsid w:val="0048371E"/>
    <w:rsid w:val="0048384E"/>
    <w:rsid w:val="00484144"/>
    <w:rsid w:val="0048479E"/>
    <w:rsid w:val="004849D0"/>
    <w:rsid w:val="0048540C"/>
    <w:rsid w:val="004854B4"/>
    <w:rsid w:val="00485E9E"/>
    <w:rsid w:val="00485F97"/>
    <w:rsid w:val="00487679"/>
    <w:rsid w:val="004904F7"/>
    <w:rsid w:val="004906BC"/>
    <w:rsid w:val="00490BBC"/>
    <w:rsid w:val="00490CBB"/>
    <w:rsid w:val="00490DFA"/>
    <w:rsid w:val="00491075"/>
    <w:rsid w:val="004924E9"/>
    <w:rsid w:val="00492638"/>
    <w:rsid w:val="004926B8"/>
    <w:rsid w:val="004927C2"/>
    <w:rsid w:val="004928ED"/>
    <w:rsid w:val="00492B28"/>
    <w:rsid w:val="00492C6F"/>
    <w:rsid w:val="00492F20"/>
    <w:rsid w:val="004932B6"/>
    <w:rsid w:val="004932F5"/>
    <w:rsid w:val="00493412"/>
    <w:rsid w:val="00493CE0"/>
    <w:rsid w:val="00493E00"/>
    <w:rsid w:val="00494080"/>
    <w:rsid w:val="004946E4"/>
    <w:rsid w:val="004948AE"/>
    <w:rsid w:val="00494CB4"/>
    <w:rsid w:val="004951B5"/>
    <w:rsid w:val="004951D2"/>
    <w:rsid w:val="00495FA5"/>
    <w:rsid w:val="00496133"/>
    <w:rsid w:val="00496ED6"/>
    <w:rsid w:val="004973C1"/>
    <w:rsid w:val="00497740"/>
    <w:rsid w:val="0049779C"/>
    <w:rsid w:val="00497AC2"/>
    <w:rsid w:val="00497EB8"/>
    <w:rsid w:val="004A065B"/>
    <w:rsid w:val="004A06BC"/>
    <w:rsid w:val="004A0C00"/>
    <w:rsid w:val="004A1313"/>
    <w:rsid w:val="004A1373"/>
    <w:rsid w:val="004A1530"/>
    <w:rsid w:val="004A173B"/>
    <w:rsid w:val="004A1B37"/>
    <w:rsid w:val="004A1CB0"/>
    <w:rsid w:val="004A209F"/>
    <w:rsid w:val="004A2C0E"/>
    <w:rsid w:val="004A2DD8"/>
    <w:rsid w:val="004A383F"/>
    <w:rsid w:val="004A4271"/>
    <w:rsid w:val="004A44A0"/>
    <w:rsid w:val="004A48F0"/>
    <w:rsid w:val="004A4B64"/>
    <w:rsid w:val="004A5579"/>
    <w:rsid w:val="004A5E23"/>
    <w:rsid w:val="004A62AC"/>
    <w:rsid w:val="004A62D4"/>
    <w:rsid w:val="004A67D1"/>
    <w:rsid w:val="004A6AE7"/>
    <w:rsid w:val="004A6AED"/>
    <w:rsid w:val="004A6D98"/>
    <w:rsid w:val="004A6EEE"/>
    <w:rsid w:val="004A729F"/>
    <w:rsid w:val="004A7351"/>
    <w:rsid w:val="004A76A4"/>
    <w:rsid w:val="004A7A02"/>
    <w:rsid w:val="004A7CDD"/>
    <w:rsid w:val="004B017A"/>
    <w:rsid w:val="004B0606"/>
    <w:rsid w:val="004B0F28"/>
    <w:rsid w:val="004B15E5"/>
    <w:rsid w:val="004B1C45"/>
    <w:rsid w:val="004B1CF8"/>
    <w:rsid w:val="004B1EB9"/>
    <w:rsid w:val="004B2012"/>
    <w:rsid w:val="004B21CE"/>
    <w:rsid w:val="004B2321"/>
    <w:rsid w:val="004B2581"/>
    <w:rsid w:val="004B4339"/>
    <w:rsid w:val="004B48BB"/>
    <w:rsid w:val="004B4AEF"/>
    <w:rsid w:val="004B5B4C"/>
    <w:rsid w:val="004B610E"/>
    <w:rsid w:val="004B67E3"/>
    <w:rsid w:val="004B6CF7"/>
    <w:rsid w:val="004B7506"/>
    <w:rsid w:val="004B7A30"/>
    <w:rsid w:val="004B7E30"/>
    <w:rsid w:val="004C02C4"/>
    <w:rsid w:val="004C085A"/>
    <w:rsid w:val="004C1D27"/>
    <w:rsid w:val="004C1FFD"/>
    <w:rsid w:val="004C228C"/>
    <w:rsid w:val="004C229D"/>
    <w:rsid w:val="004C2AE3"/>
    <w:rsid w:val="004C2BCA"/>
    <w:rsid w:val="004C2D52"/>
    <w:rsid w:val="004C4805"/>
    <w:rsid w:val="004C4C90"/>
    <w:rsid w:val="004C5CC9"/>
    <w:rsid w:val="004C7549"/>
    <w:rsid w:val="004C757F"/>
    <w:rsid w:val="004C75DD"/>
    <w:rsid w:val="004C7B38"/>
    <w:rsid w:val="004C7BB2"/>
    <w:rsid w:val="004C7D68"/>
    <w:rsid w:val="004C7DEC"/>
    <w:rsid w:val="004D0479"/>
    <w:rsid w:val="004D1F14"/>
    <w:rsid w:val="004D2121"/>
    <w:rsid w:val="004D2244"/>
    <w:rsid w:val="004D2471"/>
    <w:rsid w:val="004D2E71"/>
    <w:rsid w:val="004D412C"/>
    <w:rsid w:val="004D4AE6"/>
    <w:rsid w:val="004D53F2"/>
    <w:rsid w:val="004D5CE3"/>
    <w:rsid w:val="004D7451"/>
    <w:rsid w:val="004D7EA4"/>
    <w:rsid w:val="004E00DB"/>
    <w:rsid w:val="004E00EE"/>
    <w:rsid w:val="004E0248"/>
    <w:rsid w:val="004E0E0D"/>
    <w:rsid w:val="004E0FD7"/>
    <w:rsid w:val="004E10D9"/>
    <w:rsid w:val="004E10F4"/>
    <w:rsid w:val="004E1A61"/>
    <w:rsid w:val="004E28C0"/>
    <w:rsid w:val="004E28E2"/>
    <w:rsid w:val="004E2936"/>
    <w:rsid w:val="004E2999"/>
    <w:rsid w:val="004E29CE"/>
    <w:rsid w:val="004E2BD3"/>
    <w:rsid w:val="004E31E5"/>
    <w:rsid w:val="004E38AE"/>
    <w:rsid w:val="004E4800"/>
    <w:rsid w:val="004E494E"/>
    <w:rsid w:val="004E59C4"/>
    <w:rsid w:val="004E5A97"/>
    <w:rsid w:val="004E62DD"/>
    <w:rsid w:val="004E63C8"/>
    <w:rsid w:val="004E6C52"/>
    <w:rsid w:val="004E7269"/>
    <w:rsid w:val="004E74C7"/>
    <w:rsid w:val="004E74CB"/>
    <w:rsid w:val="004E7606"/>
    <w:rsid w:val="004F0046"/>
    <w:rsid w:val="004F0103"/>
    <w:rsid w:val="004F03B5"/>
    <w:rsid w:val="004F040D"/>
    <w:rsid w:val="004F07FD"/>
    <w:rsid w:val="004F1464"/>
    <w:rsid w:val="004F161B"/>
    <w:rsid w:val="004F1E6C"/>
    <w:rsid w:val="004F2C64"/>
    <w:rsid w:val="004F2FA4"/>
    <w:rsid w:val="004F319D"/>
    <w:rsid w:val="004F38C1"/>
    <w:rsid w:val="004F3ACE"/>
    <w:rsid w:val="004F3B6A"/>
    <w:rsid w:val="004F4815"/>
    <w:rsid w:val="004F4F76"/>
    <w:rsid w:val="004F5680"/>
    <w:rsid w:val="004F5D7F"/>
    <w:rsid w:val="004F669D"/>
    <w:rsid w:val="004F6884"/>
    <w:rsid w:val="004F694D"/>
    <w:rsid w:val="004F6978"/>
    <w:rsid w:val="004F6AAD"/>
    <w:rsid w:val="005002BB"/>
    <w:rsid w:val="00500F9D"/>
    <w:rsid w:val="0050131F"/>
    <w:rsid w:val="0050190B"/>
    <w:rsid w:val="00501AA1"/>
    <w:rsid w:val="0050242C"/>
    <w:rsid w:val="0050262C"/>
    <w:rsid w:val="00502B48"/>
    <w:rsid w:val="00502B52"/>
    <w:rsid w:val="00502D15"/>
    <w:rsid w:val="005033AA"/>
    <w:rsid w:val="00503B0C"/>
    <w:rsid w:val="00503BF1"/>
    <w:rsid w:val="00503FA7"/>
    <w:rsid w:val="005043F3"/>
    <w:rsid w:val="00504444"/>
    <w:rsid w:val="00504962"/>
    <w:rsid w:val="0050498A"/>
    <w:rsid w:val="00504B98"/>
    <w:rsid w:val="00504E29"/>
    <w:rsid w:val="005054C0"/>
    <w:rsid w:val="00505915"/>
    <w:rsid w:val="00505A11"/>
    <w:rsid w:val="00505AD0"/>
    <w:rsid w:val="0050601C"/>
    <w:rsid w:val="005062F6"/>
    <w:rsid w:val="0050631A"/>
    <w:rsid w:val="00506460"/>
    <w:rsid w:val="005072E7"/>
    <w:rsid w:val="005077DF"/>
    <w:rsid w:val="00507A81"/>
    <w:rsid w:val="005103D8"/>
    <w:rsid w:val="00510685"/>
    <w:rsid w:val="0051149D"/>
    <w:rsid w:val="00511C08"/>
    <w:rsid w:val="00511D15"/>
    <w:rsid w:val="005121A5"/>
    <w:rsid w:val="00512372"/>
    <w:rsid w:val="00513A47"/>
    <w:rsid w:val="00513F17"/>
    <w:rsid w:val="0051466F"/>
    <w:rsid w:val="005147C6"/>
    <w:rsid w:val="005149B9"/>
    <w:rsid w:val="0051551A"/>
    <w:rsid w:val="00515FCC"/>
    <w:rsid w:val="00515FF8"/>
    <w:rsid w:val="0051668F"/>
    <w:rsid w:val="0051674D"/>
    <w:rsid w:val="005168DD"/>
    <w:rsid w:val="00516A67"/>
    <w:rsid w:val="00516ED9"/>
    <w:rsid w:val="00516FCA"/>
    <w:rsid w:val="00517134"/>
    <w:rsid w:val="005177B8"/>
    <w:rsid w:val="00517EB1"/>
    <w:rsid w:val="005201FA"/>
    <w:rsid w:val="00520429"/>
    <w:rsid w:val="0052051D"/>
    <w:rsid w:val="00520C33"/>
    <w:rsid w:val="00520D1C"/>
    <w:rsid w:val="00521E04"/>
    <w:rsid w:val="00521FC2"/>
    <w:rsid w:val="00522216"/>
    <w:rsid w:val="00522BD1"/>
    <w:rsid w:val="005231DD"/>
    <w:rsid w:val="005236D9"/>
    <w:rsid w:val="00523A0B"/>
    <w:rsid w:val="00523D4E"/>
    <w:rsid w:val="00523F53"/>
    <w:rsid w:val="00523F94"/>
    <w:rsid w:val="005249A8"/>
    <w:rsid w:val="00524F50"/>
    <w:rsid w:val="00525179"/>
    <w:rsid w:val="00525257"/>
    <w:rsid w:val="0052572A"/>
    <w:rsid w:val="00525F3E"/>
    <w:rsid w:val="00526585"/>
    <w:rsid w:val="005267C9"/>
    <w:rsid w:val="005268EE"/>
    <w:rsid w:val="00526B1E"/>
    <w:rsid w:val="00526FD0"/>
    <w:rsid w:val="0052755B"/>
    <w:rsid w:val="00527851"/>
    <w:rsid w:val="00527CC0"/>
    <w:rsid w:val="005304BC"/>
    <w:rsid w:val="00530609"/>
    <w:rsid w:val="005319D7"/>
    <w:rsid w:val="00531B66"/>
    <w:rsid w:val="00532CC7"/>
    <w:rsid w:val="00532F8B"/>
    <w:rsid w:val="00532FE4"/>
    <w:rsid w:val="00533C05"/>
    <w:rsid w:val="00533CD7"/>
    <w:rsid w:val="00533E80"/>
    <w:rsid w:val="00534203"/>
    <w:rsid w:val="0053447D"/>
    <w:rsid w:val="00534B46"/>
    <w:rsid w:val="0053550E"/>
    <w:rsid w:val="0053555B"/>
    <w:rsid w:val="00535626"/>
    <w:rsid w:val="0053586E"/>
    <w:rsid w:val="005358D3"/>
    <w:rsid w:val="00535BB9"/>
    <w:rsid w:val="00535DFD"/>
    <w:rsid w:val="00535E33"/>
    <w:rsid w:val="005362A3"/>
    <w:rsid w:val="00536386"/>
    <w:rsid w:val="00537073"/>
    <w:rsid w:val="005372ED"/>
    <w:rsid w:val="0054049A"/>
    <w:rsid w:val="005405F2"/>
    <w:rsid w:val="00540D4D"/>
    <w:rsid w:val="00541382"/>
    <w:rsid w:val="005418C1"/>
    <w:rsid w:val="00541AA2"/>
    <w:rsid w:val="005422E8"/>
    <w:rsid w:val="00542613"/>
    <w:rsid w:val="00542687"/>
    <w:rsid w:val="00542DB1"/>
    <w:rsid w:val="0054480E"/>
    <w:rsid w:val="00544DE8"/>
    <w:rsid w:val="00544F83"/>
    <w:rsid w:val="0054546E"/>
    <w:rsid w:val="0054588D"/>
    <w:rsid w:val="00545CF5"/>
    <w:rsid w:val="005465FA"/>
    <w:rsid w:val="005468F4"/>
    <w:rsid w:val="00546AC4"/>
    <w:rsid w:val="00547358"/>
    <w:rsid w:val="00547383"/>
    <w:rsid w:val="00547817"/>
    <w:rsid w:val="00547868"/>
    <w:rsid w:val="0055018B"/>
    <w:rsid w:val="00550230"/>
    <w:rsid w:val="00550C06"/>
    <w:rsid w:val="00551235"/>
    <w:rsid w:val="005515C7"/>
    <w:rsid w:val="00551D12"/>
    <w:rsid w:val="0055213B"/>
    <w:rsid w:val="005529D5"/>
    <w:rsid w:val="00552E29"/>
    <w:rsid w:val="00552EA2"/>
    <w:rsid w:val="00552F21"/>
    <w:rsid w:val="005534E8"/>
    <w:rsid w:val="0055386A"/>
    <w:rsid w:val="00553C6F"/>
    <w:rsid w:val="00553F43"/>
    <w:rsid w:val="00554485"/>
    <w:rsid w:val="00555110"/>
    <w:rsid w:val="00555270"/>
    <w:rsid w:val="005554B2"/>
    <w:rsid w:val="005556A5"/>
    <w:rsid w:val="00555D18"/>
    <w:rsid w:val="005574F2"/>
    <w:rsid w:val="0055789B"/>
    <w:rsid w:val="00557A26"/>
    <w:rsid w:val="00557DF5"/>
    <w:rsid w:val="005605CF"/>
    <w:rsid w:val="00560767"/>
    <w:rsid w:val="005609E7"/>
    <w:rsid w:val="00560A2E"/>
    <w:rsid w:val="00560A62"/>
    <w:rsid w:val="00560CD0"/>
    <w:rsid w:val="00561551"/>
    <w:rsid w:val="00561A77"/>
    <w:rsid w:val="005620AF"/>
    <w:rsid w:val="005623B7"/>
    <w:rsid w:val="0056288C"/>
    <w:rsid w:val="00563533"/>
    <w:rsid w:val="00563787"/>
    <w:rsid w:val="005646F9"/>
    <w:rsid w:val="00565737"/>
    <w:rsid w:val="005658EA"/>
    <w:rsid w:val="00565C7E"/>
    <w:rsid w:val="00565E4C"/>
    <w:rsid w:val="0056603D"/>
    <w:rsid w:val="005662A0"/>
    <w:rsid w:val="005663B3"/>
    <w:rsid w:val="0056689B"/>
    <w:rsid w:val="00566B1C"/>
    <w:rsid w:val="00566E9A"/>
    <w:rsid w:val="0056709F"/>
    <w:rsid w:val="00567339"/>
    <w:rsid w:val="005676E5"/>
    <w:rsid w:val="005703A7"/>
    <w:rsid w:val="00570C7E"/>
    <w:rsid w:val="00570E86"/>
    <w:rsid w:val="0057149D"/>
    <w:rsid w:val="0057205B"/>
    <w:rsid w:val="0057287D"/>
    <w:rsid w:val="005732C3"/>
    <w:rsid w:val="005736CF"/>
    <w:rsid w:val="005737E2"/>
    <w:rsid w:val="005743A9"/>
    <w:rsid w:val="00574E02"/>
    <w:rsid w:val="005750A6"/>
    <w:rsid w:val="00575205"/>
    <w:rsid w:val="00575B7F"/>
    <w:rsid w:val="00575E91"/>
    <w:rsid w:val="00576822"/>
    <w:rsid w:val="00577D1A"/>
    <w:rsid w:val="00577DEA"/>
    <w:rsid w:val="0058062A"/>
    <w:rsid w:val="00580B37"/>
    <w:rsid w:val="00581FF9"/>
    <w:rsid w:val="00582120"/>
    <w:rsid w:val="0058284B"/>
    <w:rsid w:val="00582FF2"/>
    <w:rsid w:val="00583151"/>
    <w:rsid w:val="005833DE"/>
    <w:rsid w:val="005837F2"/>
    <w:rsid w:val="005842BA"/>
    <w:rsid w:val="00585470"/>
    <w:rsid w:val="00585B41"/>
    <w:rsid w:val="00586128"/>
    <w:rsid w:val="00587AFB"/>
    <w:rsid w:val="00590238"/>
    <w:rsid w:val="00590295"/>
    <w:rsid w:val="005902D0"/>
    <w:rsid w:val="00590C1F"/>
    <w:rsid w:val="005922DD"/>
    <w:rsid w:val="00592E89"/>
    <w:rsid w:val="00592EB6"/>
    <w:rsid w:val="00592F16"/>
    <w:rsid w:val="005934F2"/>
    <w:rsid w:val="00593CA9"/>
    <w:rsid w:val="00593D23"/>
    <w:rsid w:val="00594569"/>
    <w:rsid w:val="00595526"/>
    <w:rsid w:val="00595886"/>
    <w:rsid w:val="00595A1E"/>
    <w:rsid w:val="00595D46"/>
    <w:rsid w:val="00595EBD"/>
    <w:rsid w:val="0059641B"/>
    <w:rsid w:val="005964C3"/>
    <w:rsid w:val="00596799"/>
    <w:rsid w:val="00596BFC"/>
    <w:rsid w:val="00596CA7"/>
    <w:rsid w:val="00596CF7"/>
    <w:rsid w:val="00596E19"/>
    <w:rsid w:val="0059707B"/>
    <w:rsid w:val="00597722"/>
    <w:rsid w:val="00597795"/>
    <w:rsid w:val="00597816"/>
    <w:rsid w:val="00597983"/>
    <w:rsid w:val="00597B58"/>
    <w:rsid w:val="005A0438"/>
    <w:rsid w:val="005A1824"/>
    <w:rsid w:val="005A1FC4"/>
    <w:rsid w:val="005A1FC9"/>
    <w:rsid w:val="005A212A"/>
    <w:rsid w:val="005A216A"/>
    <w:rsid w:val="005A2EB2"/>
    <w:rsid w:val="005A3147"/>
    <w:rsid w:val="005A356F"/>
    <w:rsid w:val="005A3635"/>
    <w:rsid w:val="005A4A94"/>
    <w:rsid w:val="005A5082"/>
    <w:rsid w:val="005A520C"/>
    <w:rsid w:val="005A523E"/>
    <w:rsid w:val="005A5741"/>
    <w:rsid w:val="005A5C89"/>
    <w:rsid w:val="005A66A0"/>
    <w:rsid w:val="005A77E3"/>
    <w:rsid w:val="005B0227"/>
    <w:rsid w:val="005B0306"/>
    <w:rsid w:val="005B0536"/>
    <w:rsid w:val="005B0DF5"/>
    <w:rsid w:val="005B129A"/>
    <w:rsid w:val="005B1967"/>
    <w:rsid w:val="005B1CC3"/>
    <w:rsid w:val="005B2266"/>
    <w:rsid w:val="005B2707"/>
    <w:rsid w:val="005B27C3"/>
    <w:rsid w:val="005B299A"/>
    <w:rsid w:val="005B2FCE"/>
    <w:rsid w:val="005B3011"/>
    <w:rsid w:val="005B3339"/>
    <w:rsid w:val="005B3912"/>
    <w:rsid w:val="005B3A6D"/>
    <w:rsid w:val="005B44DC"/>
    <w:rsid w:val="005B475A"/>
    <w:rsid w:val="005B4C9C"/>
    <w:rsid w:val="005B50D6"/>
    <w:rsid w:val="005B53F2"/>
    <w:rsid w:val="005B68D9"/>
    <w:rsid w:val="005B6C80"/>
    <w:rsid w:val="005B76B0"/>
    <w:rsid w:val="005B7767"/>
    <w:rsid w:val="005B79A7"/>
    <w:rsid w:val="005B7C19"/>
    <w:rsid w:val="005C13C7"/>
    <w:rsid w:val="005C1B5F"/>
    <w:rsid w:val="005C1DFD"/>
    <w:rsid w:val="005C1FE4"/>
    <w:rsid w:val="005C21B1"/>
    <w:rsid w:val="005C22AE"/>
    <w:rsid w:val="005C25EF"/>
    <w:rsid w:val="005C2E1B"/>
    <w:rsid w:val="005C2FDA"/>
    <w:rsid w:val="005C37A1"/>
    <w:rsid w:val="005C3D62"/>
    <w:rsid w:val="005C5252"/>
    <w:rsid w:val="005C52F9"/>
    <w:rsid w:val="005C57C1"/>
    <w:rsid w:val="005C6971"/>
    <w:rsid w:val="005C6A30"/>
    <w:rsid w:val="005C731A"/>
    <w:rsid w:val="005C78AC"/>
    <w:rsid w:val="005C7914"/>
    <w:rsid w:val="005C7B11"/>
    <w:rsid w:val="005D009E"/>
    <w:rsid w:val="005D01D8"/>
    <w:rsid w:val="005D0D0D"/>
    <w:rsid w:val="005D0D21"/>
    <w:rsid w:val="005D0EDB"/>
    <w:rsid w:val="005D11A5"/>
    <w:rsid w:val="005D1F11"/>
    <w:rsid w:val="005D20CC"/>
    <w:rsid w:val="005D24F7"/>
    <w:rsid w:val="005D3108"/>
    <w:rsid w:val="005D32E7"/>
    <w:rsid w:val="005D361F"/>
    <w:rsid w:val="005D3FC1"/>
    <w:rsid w:val="005D4E3E"/>
    <w:rsid w:val="005D5B21"/>
    <w:rsid w:val="005D5B36"/>
    <w:rsid w:val="005D67E3"/>
    <w:rsid w:val="005D6EA9"/>
    <w:rsid w:val="005D73F2"/>
    <w:rsid w:val="005D794C"/>
    <w:rsid w:val="005D7A3F"/>
    <w:rsid w:val="005E0030"/>
    <w:rsid w:val="005E01B7"/>
    <w:rsid w:val="005E045D"/>
    <w:rsid w:val="005E0532"/>
    <w:rsid w:val="005E0902"/>
    <w:rsid w:val="005E0918"/>
    <w:rsid w:val="005E12C5"/>
    <w:rsid w:val="005E2005"/>
    <w:rsid w:val="005E22D3"/>
    <w:rsid w:val="005E25D8"/>
    <w:rsid w:val="005E2CA2"/>
    <w:rsid w:val="005E2F40"/>
    <w:rsid w:val="005E38C6"/>
    <w:rsid w:val="005E4478"/>
    <w:rsid w:val="005E48AE"/>
    <w:rsid w:val="005E4C56"/>
    <w:rsid w:val="005E5C5B"/>
    <w:rsid w:val="005E5E16"/>
    <w:rsid w:val="005E639E"/>
    <w:rsid w:val="005E662E"/>
    <w:rsid w:val="005E665B"/>
    <w:rsid w:val="005E66B7"/>
    <w:rsid w:val="005E6767"/>
    <w:rsid w:val="005E6C18"/>
    <w:rsid w:val="005E7817"/>
    <w:rsid w:val="005E7B0D"/>
    <w:rsid w:val="005E7C47"/>
    <w:rsid w:val="005F0773"/>
    <w:rsid w:val="005F08C8"/>
    <w:rsid w:val="005F0BAB"/>
    <w:rsid w:val="005F0E45"/>
    <w:rsid w:val="005F11BF"/>
    <w:rsid w:val="005F1486"/>
    <w:rsid w:val="005F1F79"/>
    <w:rsid w:val="005F2BA1"/>
    <w:rsid w:val="005F39AB"/>
    <w:rsid w:val="005F446E"/>
    <w:rsid w:val="005F4ADF"/>
    <w:rsid w:val="005F4E52"/>
    <w:rsid w:val="005F50BA"/>
    <w:rsid w:val="005F55FB"/>
    <w:rsid w:val="005F5A38"/>
    <w:rsid w:val="005F5CD8"/>
    <w:rsid w:val="005F612A"/>
    <w:rsid w:val="005F67A6"/>
    <w:rsid w:val="005F6A83"/>
    <w:rsid w:val="005F6AB0"/>
    <w:rsid w:val="005F6E87"/>
    <w:rsid w:val="005F7B7B"/>
    <w:rsid w:val="006005C2"/>
    <w:rsid w:val="00600987"/>
    <w:rsid w:val="00600B1B"/>
    <w:rsid w:val="00601622"/>
    <w:rsid w:val="006021F9"/>
    <w:rsid w:val="0060295C"/>
    <w:rsid w:val="00602AFF"/>
    <w:rsid w:val="00603449"/>
    <w:rsid w:val="00603A43"/>
    <w:rsid w:val="00604239"/>
    <w:rsid w:val="0060429F"/>
    <w:rsid w:val="00604DDE"/>
    <w:rsid w:val="00604F3D"/>
    <w:rsid w:val="00605239"/>
    <w:rsid w:val="0060577A"/>
    <w:rsid w:val="00605809"/>
    <w:rsid w:val="00605831"/>
    <w:rsid w:val="006058E1"/>
    <w:rsid w:val="006059B2"/>
    <w:rsid w:val="00605B7E"/>
    <w:rsid w:val="00605C86"/>
    <w:rsid w:val="006069AB"/>
    <w:rsid w:val="00606BDF"/>
    <w:rsid w:val="00607628"/>
    <w:rsid w:val="0061002C"/>
    <w:rsid w:val="00610081"/>
    <w:rsid w:val="006100FD"/>
    <w:rsid w:val="00610499"/>
    <w:rsid w:val="00610574"/>
    <w:rsid w:val="006109D0"/>
    <w:rsid w:val="00611383"/>
    <w:rsid w:val="0061151F"/>
    <w:rsid w:val="00611EC0"/>
    <w:rsid w:val="00611F80"/>
    <w:rsid w:val="00612826"/>
    <w:rsid w:val="0061321D"/>
    <w:rsid w:val="0061374A"/>
    <w:rsid w:val="006142D5"/>
    <w:rsid w:val="0061447F"/>
    <w:rsid w:val="00614B33"/>
    <w:rsid w:val="00615313"/>
    <w:rsid w:val="00615D81"/>
    <w:rsid w:val="00615ECB"/>
    <w:rsid w:val="0061632D"/>
    <w:rsid w:val="00616FFD"/>
    <w:rsid w:val="00617740"/>
    <w:rsid w:val="00617D5C"/>
    <w:rsid w:val="006202EE"/>
    <w:rsid w:val="00620B4C"/>
    <w:rsid w:val="00620C90"/>
    <w:rsid w:val="00620F51"/>
    <w:rsid w:val="00621083"/>
    <w:rsid w:val="006212B0"/>
    <w:rsid w:val="00621301"/>
    <w:rsid w:val="00621402"/>
    <w:rsid w:val="00621814"/>
    <w:rsid w:val="00621847"/>
    <w:rsid w:val="006218A9"/>
    <w:rsid w:val="00621989"/>
    <w:rsid w:val="00621E45"/>
    <w:rsid w:val="00621FDA"/>
    <w:rsid w:val="00622056"/>
    <w:rsid w:val="006220FE"/>
    <w:rsid w:val="0062236B"/>
    <w:rsid w:val="0062248C"/>
    <w:rsid w:val="00622968"/>
    <w:rsid w:val="00623299"/>
    <w:rsid w:val="00623B99"/>
    <w:rsid w:val="00623E80"/>
    <w:rsid w:val="00624186"/>
    <w:rsid w:val="006245B7"/>
    <w:rsid w:val="006254AE"/>
    <w:rsid w:val="006255DD"/>
    <w:rsid w:val="00625BD9"/>
    <w:rsid w:val="00625BEA"/>
    <w:rsid w:val="00626300"/>
    <w:rsid w:val="0063011A"/>
    <w:rsid w:val="006310FF"/>
    <w:rsid w:val="00631140"/>
    <w:rsid w:val="00631607"/>
    <w:rsid w:val="00631CB3"/>
    <w:rsid w:val="00631D9E"/>
    <w:rsid w:val="006322B3"/>
    <w:rsid w:val="006333ED"/>
    <w:rsid w:val="006338D9"/>
    <w:rsid w:val="0063421F"/>
    <w:rsid w:val="0063425F"/>
    <w:rsid w:val="00634298"/>
    <w:rsid w:val="00634C01"/>
    <w:rsid w:val="0063529D"/>
    <w:rsid w:val="0063593F"/>
    <w:rsid w:val="00635C78"/>
    <w:rsid w:val="0063671C"/>
    <w:rsid w:val="00636AB9"/>
    <w:rsid w:val="00636E5F"/>
    <w:rsid w:val="00637FFD"/>
    <w:rsid w:val="00640B5D"/>
    <w:rsid w:val="006413B5"/>
    <w:rsid w:val="00642347"/>
    <w:rsid w:val="00642571"/>
    <w:rsid w:val="00642582"/>
    <w:rsid w:val="006426C3"/>
    <w:rsid w:val="00642A93"/>
    <w:rsid w:val="00643070"/>
    <w:rsid w:val="006430C2"/>
    <w:rsid w:val="00643756"/>
    <w:rsid w:val="006445E8"/>
    <w:rsid w:val="006455D0"/>
    <w:rsid w:val="006458D3"/>
    <w:rsid w:val="00645DA0"/>
    <w:rsid w:val="00646962"/>
    <w:rsid w:val="00646A78"/>
    <w:rsid w:val="00646CCB"/>
    <w:rsid w:val="00646F5C"/>
    <w:rsid w:val="006472F9"/>
    <w:rsid w:val="0064762F"/>
    <w:rsid w:val="00647F8B"/>
    <w:rsid w:val="00647FB5"/>
    <w:rsid w:val="0065006D"/>
    <w:rsid w:val="00650D50"/>
    <w:rsid w:val="0065124B"/>
    <w:rsid w:val="0065139B"/>
    <w:rsid w:val="006513D9"/>
    <w:rsid w:val="00651A5E"/>
    <w:rsid w:val="00651B56"/>
    <w:rsid w:val="00651BE5"/>
    <w:rsid w:val="00651C97"/>
    <w:rsid w:val="00652042"/>
    <w:rsid w:val="006523FF"/>
    <w:rsid w:val="00652D9A"/>
    <w:rsid w:val="00652F38"/>
    <w:rsid w:val="00653181"/>
    <w:rsid w:val="0065326E"/>
    <w:rsid w:val="006539CF"/>
    <w:rsid w:val="00653C44"/>
    <w:rsid w:val="00653D03"/>
    <w:rsid w:val="00653EDC"/>
    <w:rsid w:val="00654765"/>
    <w:rsid w:val="00654A60"/>
    <w:rsid w:val="00654E0E"/>
    <w:rsid w:val="00654E65"/>
    <w:rsid w:val="00654F68"/>
    <w:rsid w:val="006551D8"/>
    <w:rsid w:val="00655DD8"/>
    <w:rsid w:val="00656D46"/>
    <w:rsid w:val="00656D73"/>
    <w:rsid w:val="00656DD3"/>
    <w:rsid w:val="00657519"/>
    <w:rsid w:val="00657CC8"/>
    <w:rsid w:val="00660048"/>
    <w:rsid w:val="00660480"/>
    <w:rsid w:val="00660605"/>
    <w:rsid w:val="0066112A"/>
    <w:rsid w:val="00661324"/>
    <w:rsid w:val="0066178F"/>
    <w:rsid w:val="0066197B"/>
    <w:rsid w:val="00662C53"/>
    <w:rsid w:val="006631BB"/>
    <w:rsid w:val="00663370"/>
    <w:rsid w:val="00663A18"/>
    <w:rsid w:val="00663A28"/>
    <w:rsid w:val="00664427"/>
    <w:rsid w:val="00664F76"/>
    <w:rsid w:val="006650C9"/>
    <w:rsid w:val="00665E89"/>
    <w:rsid w:val="00665F00"/>
    <w:rsid w:val="00666241"/>
    <w:rsid w:val="00666CD9"/>
    <w:rsid w:val="00666E85"/>
    <w:rsid w:val="00667DED"/>
    <w:rsid w:val="00670383"/>
    <w:rsid w:val="006704F0"/>
    <w:rsid w:val="00670B91"/>
    <w:rsid w:val="00670B99"/>
    <w:rsid w:val="00670C83"/>
    <w:rsid w:val="0067130D"/>
    <w:rsid w:val="00671368"/>
    <w:rsid w:val="006713C4"/>
    <w:rsid w:val="0067140E"/>
    <w:rsid w:val="00671534"/>
    <w:rsid w:val="00671744"/>
    <w:rsid w:val="0067185D"/>
    <w:rsid w:val="00671A01"/>
    <w:rsid w:val="00672133"/>
    <w:rsid w:val="006725EB"/>
    <w:rsid w:val="00673035"/>
    <w:rsid w:val="0067305C"/>
    <w:rsid w:val="006738ED"/>
    <w:rsid w:val="00673943"/>
    <w:rsid w:val="00673B40"/>
    <w:rsid w:val="00674040"/>
    <w:rsid w:val="006740E7"/>
    <w:rsid w:val="006741A2"/>
    <w:rsid w:val="0067420E"/>
    <w:rsid w:val="006745B2"/>
    <w:rsid w:val="0067484F"/>
    <w:rsid w:val="00674A96"/>
    <w:rsid w:val="00674CE5"/>
    <w:rsid w:val="00675313"/>
    <w:rsid w:val="00675A7E"/>
    <w:rsid w:val="0067687A"/>
    <w:rsid w:val="00676C46"/>
    <w:rsid w:val="00677662"/>
    <w:rsid w:val="006776D1"/>
    <w:rsid w:val="0067775C"/>
    <w:rsid w:val="006800AF"/>
    <w:rsid w:val="00680A2A"/>
    <w:rsid w:val="00680E28"/>
    <w:rsid w:val="00680F03"/>
    <w:rsid w:val="0068130B"/>
    <w:rsid w:val="006819B3"/>
    <w:rsid w:val="00681FB6"/>
    <w:rsid w:val="006825F1"/>
    <w:rsid w:val="00682682"/>
    <w:rsid w:val="00683277"/>
    <w:rsid w:val="00683F50"/>
    <w:rsid w:val="006847D3"/>
    <w:rsid w:val="006848E4"/>
    <w:rsid w:val="0068512D"/>
    <w:rsid w:val="0068590D"/>
    <w:rsid w:val="00685A94"/>
    <w:rsid w:val="006862AB"/>
    <w:rsid w:val="006864DE"/>
    <w:rsid w:val="006867E7"/>
    <w:rsid w:val="006903E8"/>
    <w:rsid w:val="00690CB5"/>
    <w:rsid w:val="0069155C"/>
    <w:rsid w:val="00692016"/>
    <w:rsid w:val="0069228D"/>
    <w:rsid w:val="00692377"/>
    <w:rsid w:val="00692EF3"/>
    <w:rsid w:val="00693511"/>
    <w:rsid w:val="00693990"/>
    <w:rsid w:val="00693EEF"/>
    <w:rsid w:val="00694935"/>
    <w:rsid w:val="006949AB"/>
    <w:rsid w:val="00694A2D"/>
    <w:rsid w:val="00694DEF"/>
    <w:rsid w:val="00695373"/>
    <w:rsid w:val="006959D4"/>
    <w:rsid w:val="006959F2"/>
    <w:rsid w:val="00695C23"/>
    <w:rsid w:val="00695EA2"/>
    <w:rsid w:val="0069622E"/>
    <w:rsid w:val="00696A83"/>
    <w:rsid w:val="006977DB"/>
    <w:rsid w:val="006A04F5"/>
    <w:rsid w:val="006A05AB"/>
    <w:rsid w:val="006A0CDE"/>
    <w:rsid w:val="006A197E"/>
    <w:rsid w:val="006A23E1"/>
    <w:rsid w:val="006A24A5"/>
    <w:rsid w:val="006A3AD8"/>
    <w:rsid w:val="006A3AFE"/>
    <w:rsid w:val="006A4635"/>
    <w:rsid w:val="006A46E3"/>
    <w:rsid w:val="006A4BA9"/>
    <w:rsid w:val="006A5211"/>
    <w:rsid w:val="006A53B5"/>
    <w:rsid w:val="006A5A56"/>
    <w:rsid w:val="006A6311"/>
    <w:rsid w:val="006A6769"/>
    <w:rsid w:val="006A6BD2"/>
    <w:rsid w:val="006A6C7F"/>
    <w:rsid w:val="006A73BF"/>
    <w:rsid w:val="006A7560"/>
    <w:rsid w:val="006A77B3"/>
    <w:rsid w:val="006B01AD"/>
    <w:rsid w:val="006B0ED8"/>
    <w:rsid w:val="006B275E"/>
    <w:rsid w:val="006B3169"/>
    <w:rsid w:val="006B3CA6"/>
    <w:rsid w:val="006B4061"/>
    <w:rsid w:val="006B4D31"/>
    <w:rsid w:val="006B50E3"/>
    <w:rsid w:val="006B52D3"/>
    <w:rsid w:val="006B5378"/>
    <w:rsid w:val="006B58C3"/>
    <w:rsid w:val="006B5D10"/>
    <w:rsid w:val="006B64E3"/>
    <w:rsid w:val="006B6A16"/>
    <w:rsid w:val="006B6A46"/>
    <w:rsid w:val="006B6A90"/>
    <w:rsid w:val="006B6EB1"/>
    <w:rsid w:val="006B706C"/>
    <w:rsid w:val="006B7456"/>
    <w:rsid w:val="006B7782"/>
    <w:rsid w:val="006B7B64"/>
    <w:rsid w:val="006B7BF6"/>
    <w:rsid w:val="006C01F0"/>
    <w:rsid w:val="006C2D68"/>
    <w:rsid w:val="006C3085"/>
    <w:rsid w:val="006C3B64"/>
    <w:rsid w:val="006C3BB0"/>
    <w:rsid w:val="006C4234"/>
    <w:rsid w:val="006C4E4B"/>
    <w:rsid w:val="006C4F82"/>
    <w:rsid w:val="006C531D"/>
    <w:rsid w:val="006C563C"/>
    <w:rsid w:val="006C57DD"/>
    <w:rsid w:val="006C5DA1"/>
    <w:rsid w:val="006C606E"/>
    <w:rsid w:val="006C6291"/>
    <w:rsid w:val="006C6A39"/>
    <w:rsid w:val="006C6D45"/>
    <w:rsid w:val="006C7064"/>
    <w:rsid w:val="006C74F1"/>
    <w:rsid w:val="006C7770"/>
    <w:rsid w:val="006C7D14"/>
    <w:rsid w:val="006D0536"/>
    <w:rsid w:val="006D1091"/>
    <w:rsid w:val="006D17B2"/>
    <w:rsid w:val="006D1F78"/>
    <w:rsid w:val="006D2FD2"/>
    <w:rsid w:val="006D3B54"/>
    <w:rsid w:val="006D3CE0"/>
    <w:rsid w:val="006D4313"/>
    <w:rsid w:val="006D4463"/>
    <w:rsid w:val="006D4508"/>
    <w:rsid w:val="006D4AC8"/>
    <w:rsid w:val="006D4C5C"/>
    <w:rsid w:val="006D4F73"/>
    <w:rsid w:val="006D5206"/>
    <w:rsid w:val="006D527A"/>
    <w:rsid w:val="006D67EF"/>
    <w:rsid w:val="006D6881"/>
    <w:rsid w:val="006D7588"/>
    <w:rsid w:val="006D7EB0"/>
    <w:rsid w:val="006E035B"/>
    <w:rsid w:val="006E0A6F"/>
    <w:rsid w:val="006E11C8"/>
    <w:rsid w:val="006E1D0B"/>
    <w:rsid w:val="006E20B7"/>
    <w:rsid w:val="006E2125"/>
    <w:rsid w:val="006E34BF"/>
    <w:rsid w:val="006E3F5B"/>
    <w:rsid w:val="006E430A"/>
    <w:rsid w:val="006E471A"/>
    <w:rsid w:val="006E4BCF"/>
    <w:rsid w:val="006E4F41"/>
    <w:rsid w:val="006E55AB"/>
    <w:rsid w:val="006E5783"/>
    <w:rsid w:val="006E5846"/>
    <w:rsid w:val="006E60EF"/>
    <w:rsid w:val="006E63BF"/>
    <w:rsid w:val="006E6768"/>
    <w:rsid w:val="006E77BE"/>
    <w:rsid w:val="006F0211"/>
    <w:rsid w:val="006F06A9"/>
    <w:rsid w:val="006F112C"/>
    <w:rsid w:val="006F1D6B"/>
    <w:rsid w:val="006F1FB5"/>
    <w:rsid w:val="006F2574"/>
    <w:rsid w:val="006F2824"/>
    <w:rsid w:val="006F353C"/>
    <w:rsid w:val="006F3D9D"/>
    <w:rsid w:val="006F3DC1"/>
    <w:rsid w:val="006F3F5C"/>
    <w:rsid w:val="006F449C"/>
    <w:rsid w:val="006F44C0"/>
    <w:rsid w:val="006F47C6"/>
    <w:rsid w:val="006F4FC7"/>
    <w:rsid w:val="006F534C"/>
    <w:rsid w:val="006F53D2"/>
    <w:rsid w:val="006F561A"/>
    <w:rsid w:val="006F6313"/>
    <w:rsid w:val="006F7252"/>
    <w:rsid w:val="006F7391"/>
    <w:rsid w:val="006F7641"/>
    <w:rsid w:val="00700F51"/>
    <w:rsid w:val="007019B0"/>
    <w:rsid w:val="007023B8"/>
    <w:rsid w:val="007023F6"/>
    <w:rsid w:val="007027F4"/>
    <w:rsid w:val="0070288D"/>
    <w:rsid w:val="00702CA5"/>
    <w:rsid w:val="00702F6D"/>
    <w:rsid w:val="00703450"/>
    <w:rsid w:val="007036E2"/>
    <w:rsid w:val="00703E08"/>
    <w:rsid w:val="00703F76"/>
    <w:rsid w:val="007040AD"/>
    <w:rsid w:val="00704F34"/>
    <w:rsid w:val="00704FE0"/>
    <w:rsid w:val="007051C2"/>
    <w:rsid w:val="007053B2"/>
    <w:rsid w:val="0070554B"/>
    <w:rsid w:val="00705958"/>
    <w:rsid w:val="00705C9F"/>
    <w:rsid w:val="00706008"/>
    <w:rsid w:val="00706142"/>
    <w:rsid w:val="00706295"/>
    <w:rsid w:val="00706306"/>
    <w:rsid w:val="007067E0"/>
    <w:rsid w:val="00706808"/>
    <w:rsid w:val="00706AF9"/>
    <w:rsid w:val="00706E6C"/>
    <w:rsid w:val="00707296"/>
    <w:rsid w:val="00707387"/>
    <w:rsid w:val="0070793E"/>
    <w:rsid w:val="00707E3F"/>
    <w:rsid w:val="00710B4C"/>
    <w:rsid w:val="007113F3"/>
    <w:rsid w:val="00711C0F"/>
    <w:rsid w:val="007127A3"/>
    <w:rsid w:val="007128EE"/>
    <w:rsid w:val="0071470B"/>
    <w:rsid w:val="00714979"/>
    <w:rsid w:val="007156DE"/>
    <w:rsid w:val="00715758"/>
    <w:rsid w:val="00715FE1"/>
    <w:rsid w:val="00716427"/>
    <w:rsid w:val="007172A4"/>
    <w:rsid w:val="007178CA"/>
    <w:rsid w:val="0071792F"/>
    <w:rsid w:val="0072027E"/>
    <w:rsid w:val="00720932"/>
    <w:rsid w:val="0072119F"/>
    <w:rsid w:val="007224D3"/>
    <w:rsid w:val="00722705"/>
    <w:rsid w:val="00722F86"/>
    <w:rsid w:val="0072346A"/>
    <w:rsid w:val="00724AD4"/>
    <w:rsid w:val="00724BBE"/>
    <w:rsid w:val="00724C22"/>
    <w:rsid w:val="00725854"/>
    <w:rsid w:val="0072652B"/>
    <w:rsid w:val="00726FBB"/>
    <w:rsid w:val="007272A4"/>
    <w:rsid w:val="00727A04"/>
    <w:rsid w:val="00730154"/>
    <w:rsid w:val="007302A8"/>
    <w:rsid w:val="0073058E"/>
    <w:rsid w:val="00731314"/>
    <w:rsid w:val="007315F7"/>
    <w:rsid w:val="00731986"/>
    <w:rsid w:val="00731DB5"/>
    <w:rsid w:val="00731FC0"/>
    <w:rsid w:val="0073297A"/>
    <w:rsid w:val="00732A1B"/>
    <w:rsid w:val="00732B1C"/>
    <w:rsid w:val="0073315D"/>
    <w:rsid w:val="007348C0"/>
    <w:rsid w:val="00734E34"/>
    <w:rsid w:val="00734E6B"/>
    <w:rsid w:val="00734F31"/>
    <w:rsid w:val="00735723"/>
    <w:rsid w:val="00736974"/>
    <w:rsid w:val="00736ACA"/>
    <w:rsid w:val="007378A2"/>
    <w:rsid w:val="007378DB"/>
    <w:rsid w:val="0073798E"/>
    <w:rsid w:val="00737BC4"/>
    <w:rsid w:val="007401C9"/>
    <w:rsid w:val="007406D2"/>
    <w:rsid w:val="007410AD"/>
    <w:rsid w:val="00741E6D"/>
    <w:rsid w:val="00741E8F"/>
    <w:rsid w:val="0074204A"/>
    <w:rsid w:val="00743423"/>
    <w:rsid w:val="0074391D"/>
    <w:rsid w:val="007449FA"/>
    <w:rsid w:val="00745D67"/>
    <w:rsid w:val="00746643"/>
    <w:rsid w:val="00746DA6"/>
    <w:rsid w:val="00746F44"/>
    <w:rsid w:val="0074715C"/>
    <w:rsid w:val="0075019C"/>
    <w:rsid w:val="00750389"/>
    <w:rsid w:val="00750B76"/>
    <w:rsid w:val="00750DEF"/>
    <w:rsid w:val="00751015"/>
    <w:rsid w:val="0075135E"/>
    <w:rsid w:val="00751914"/>
    <w:rsid w:val="00751978"/>
    <w:rsid w:val="00751B4C"/>
    <w:rsid w:val="00751D51"/>
    <w:rsid w:val="00751E46"/>
    <w:rsid w:val="00752139"/>
    <w:rsid w:val="00752297"/>
    <w:rsid w:val="007527F8"/>
    <w:rsid w:val="00752F48"/>
    <w:rsid w:val="00753D58"/>
    <w:rsid w:val="00753E1B"/>
    <w:rsid w:val="007543B9"/>
    <w:rsid w:val="00755591"/>
    <w:rsid w:val="00755FFA"/>
    <w:rsid w:val="00756E1E"/>
    <w:rsid w:val="00757B9F"/>
    <w:rsid w:val="00760710"/>
    <w:rsid w:val="00760C8C"/>
    <w:rsid w:val="00760E0E"/>
    <w:rsid w:val="007614DD"/>
    <w:rsid w:val="00761C9B"/>
    <w:rsid w:val="00762FCA"/>
    <w:rsid w:val="007637A1"/>
    <w:rsid w:val="00763E28"/>
    <w:rsid w:val="00764BE5"/>
    <w:rsid w:val="00764DB7"/>
    <w:rsid w:val="007656C2"/>
    <w:rsid w:val="00765860"/>
    <w:rsid w:val="00765A93"/>
    <w:rsid w:val="00765AFC"/>
    <w:rsid w:val="007661A0"/>
    <w:rsid w:val="007669A7"/>
    <w:rsid w:val="00766C93"/>
    <w:rsid w:val="00767261"/>
    <w:rsid w:val="007677BC"/>
    <w:rsid w:val="007702BB"/>
    <w:rsid w:val="00770503"/>
    <w:rsid w:val="00770C60"/>
    <w:rsid w:val="007712D4"/>
    <w:rsid w:val="007718AE"/>
    <w:rsid w:val="00771EA1"/>
    <w:rsid w:val="007721D2"/>
    <w:rsid w:val="007723B0"/>
    <w:rsid w:val="00772764"/>
    <w:rsid w:val="00772780"/>
    <w:rsid w:val="007727E8"/>
    <w:rsid w:val="00773274"/>
    <w:rsid w:val="00773276"/>
    <w:rsid w:val="007734D6"/>
    <w:rsid w:val="007737DD"/>
    <w:rsid w:val="00773B25"/>
    <w:rsid w:val="00774025"/>
    <w:rsid w:val="00774C07"/>
    <w:rsid w:val="00774F45"/>
    <w:rsid w:val="00775DCD"/>
    <w:rsid w:val="00775EB0"/>
    <w:rsid w:val="007763A0"/>
    <w:rsid w:val="007765AC"/>
    <w:rsid w:val="00776B05"/>
    <w:rsid w:val="0078087E"/>
    <w:rsid w:val="007809D9"/>
    <w:rsid w:val="00780A00"/>
    <w:rsid w:val="00780B82"/>
    <w:rsid w:val="00780D68"/>
    <w:rsid w:val="00781E49"/>
    <w:rsid w:val="00781F14"/>
    <w:rsid w:val="0078283D"/>
    <w:rsid w:val="007849C5"/>
    <w:rsid w:val="00785F4A"/>
    <w:rsid w:val="007864BD"/>
    <w:rsid w:val="00786797"/>
    <w:rsid w:val="007868BE"/>
    <w:rsid w:val="00786B76"/>
    <w:rsid w:val="00787567"/>
    <w:rsid w:val="00787BE6"/>
    <w:rsid w:val="00790CB2"/>
    <w:rsid w:val="0079135C"/>
    <w:rsid w:val="00791424"/>
    <w:rsid w:val="0079142A"/>
    <w:rsid w:val="00791B3A"/>
    <w:rsid w:val="00792CF5"/>
    <w:rsid w:val="00792DBB"/>
    <w:rsid w:val="00793205"/>
    <w:rsid w:val="007937D2"/>
    <w:rsid w:val="00793C04"/>
    <w:rsid w:val="00793EF1"/>
    <w:rsid w:val="00794323"/>
    <w:rsid w:val="007947BE"/>
    <w:rsid w:val="0079490C"/>
    <w:rsid w:val="00794CD2"/>
    <w:rsid w:val="0079577A"/>
    <w:rsid w:val="0079606B"/>
    <w:rsid w:val="0079648C"/>
    <w:rsid w:val="00796A2D"/>
    <w:rsid w:val="00796AC0"/>
    <w:rsid w:val="00796F5A"/>
    <w:rsid w:val="00797174"/>
    <w:rsid w:val="00797554"/>
    <w:rsid w:val="00797750"/>
    <w:rsid w:val="007A008A"/>
    <w:rsid w:val="007A00F8"/>
    <w:rsid w:val="007A0744"/>
    <w:rsid w:val="007A0815"/>
    <w:rsid w:val="007A0C32"/>
    <w:rsid w:val="007A13A9"/>
    <w:rsid w:val="007A1870"/>
    <w:rsid w:val="007A1D47"/>
    <w:rsid w:val="007A2782"/>
    <w:rsid w:val="007A2845"/>
    <w:rsid w:val="007A2B4E"/>
    <w:rsid w:val="007A2D0E"/>
    <w:rsid w:val="007A3038"/>
    <w:rsid w:val="007A343B"/>
    <w:rsid w:val="007A3FA4"/>
    <w:rsid w:val="007A4396"/>
    <w:rsid w:val="007A4BC5"/>
    <w:rsid w:val="007A4E8C"/>
    <w:rsid w:val="007A51F7"/>
    <w:rsid w:val="007A5652"/>
    <w:rsid w:val="007A5B18"/>
    <w:rsid w:val="007A6718"/>
    <w:rsid w:val="007B0451"/>
    <w:rsid w:val="007B0485"/>
    <w:rsid w:val="007B1499"/>
    <w:rsid w:val="007B1562"/>
    <w:rsid w:val="007B1C7F"/>
    <w:rsid w:val="007B217D"/>
    <w:rsid w:val="007B260F"/>
    <w:rsid w:val="007B28BA"/>
    <w:rsid w:val="007B29FE"/>
    <w:rsid w:val="007B2CE6"/>
    <w:rsid w:val="007B3E14"/>
    <w:rsid w:val="007B4D5D"/>
    <w:rsid w:val="007B518B"/>
    <w:rsid w:val="007B5E0A"/>
    <w:rsid w:val="007B6424"/>
    <w:rsid w:val="007B6435"/>
    <w:rsid w:val="007B6ABB"/>
    <w:rsid w:val="007B6F76"/>
    <w:rsid w:val="007B6F8F"/>
    <w:rsid w:val="007B751D"/>
    <w:rsid w:val="007C0AEA"/>
    <w:rsid w:val="007C0BEF"/>
    <w:rsid w:val="007C0F97"/>
    <w:rsid w:val="007C116E"/>
    <w:rsid w:val="007C13FE"/>
    <w:rsid w:val="007C1538"/>
    <w:rsid w:val="007C1B47"/>
    <w:rsid w:val="007C1E9F"/>
    <w:rsid w:val="007C1F63"/>
    <w:rsid w:val="007C2082"/>
    <w:rsid w:val="007C30D0"/>
    <w:rsid w:val="007C3FB0"/>
    <w:rsid w:val="007C41A1"/>
    <w:rsid w:val="007C4ACF"/>
    <w:rsid w:val="007C4B68"/>
    <w:rsid w:val="007C4BBD"/>
    <w:rsid w:val="007C4F58"/>
    <w:rsid w:val="007C53C8"/>
    <w:rsid w:val="007C559A"/>
    <w:rsid w:val="007C645B"/>
    <w:rsid w:val="007C7134"/>
    <w:rsid w:val="007C754A"/>
    <w:rsid w:val="007C7AF2"/>
    <w:rsid w:val="007C7E34"/>
    <w:rsid w:val="007C7F51"/>
    <w:rsid w:val="007D048F"/>
    <w:rsid w:val="007D0703"/>
    <w:rsid w:val="007D0C26"/>
    <w:rsid w:val="007D1016"/>
    <w:rsid w:val="007D13B9"/>
    <w:rsid w:val="007D1AEA"/>
    <w:rsid w:val="007D2B69"/>
    <w:rsid w:val="007D2E66"/>
    <w:rsid w:val="007D30CD"/>
    <w:rsid w:val="007D31D3"/>
    <w:rsid w:val="007D38EB"/>
    <w:rsid w:val="007D39DF"/>
    <w:rsid w:val="007D39E7"/>
    <w:rsid w:val="007D408C"/>
    <w:rsid w:val="007D4194"/>
    <w:rsid w:val="007D4452"/>
    <w:rsid w:val="007D60B0"/>
    <w:rsid w:val="007D66E1"/>
    <w:rsid w:val="007D67D3"/>
    <w:rsid w:val="007E00C0"/>
    <w:rsid w:val="007E03C4"/>
    <w:rsid w:val="007E0638"/>
    <w:rsid w:val="007E0779"/>
    <w:rsid w:val="007E0AE0"/>
    <w:rsid w:val="007E1094"/>
    <w:rsid w:val="007E1D76"/>
    <w:rsid w:val="007E2103"/>
    <w:rsid w:val="007E2219"/>
    <w:rsid w:val="007E24E4"/>
    <w:rsid w:val="007E24FC"/>
    <w:rsid w:val="007E2E9F"/>
    <w:rsid w:val="007E347D"/>
    <w:rsid w:val="007E3860"/>
    <w:rsid w:val="007E3CA9"/>
    <w:rsid w:val="007E3DB5"/>
    <w:rsid w:val="007E42C3"/>
    <w:rsid w:val="007E4469"/>
    <w:rsid w:val="007E45CB"/>
    <w:rsid w:val="007E51C4"/>
    <w:rsid w:val="007E56AC"/>
    <w:rsid w:val="007E5BD4"/>
    <w:rsid w:val="007E5DF8"/>
    <w:rsid w:val="007E6892"/>
    <w:rsid w:val="007E7678"/>
    <w:rsid w:val="007E7E6A"/>
    <w:rsid w:val="007F0975"/>
    <w:rsid w:val="007F0D65"/>
    <w:rsid w:val="007F1507"/>
    <w:rsid w:val="007F1947"/>
    <w:rsid w:val="007F1AFF"/>
    <w:rsid w:val="007F22DC"/>
    <w:rsid w:val="007F2400"/>
    <w:rsid w:val="007F251E"/>
    <w:rsid w:val="007F273B"/>
    <w:rsid w:val="007F2931"/>
    <w:rsid w:val="007F2F0A"/>
    <w:rsid w:val="007F3EF0"/>
    <w:rsid w:val="007F43C3"/>
    <w:rsid w:val="007F4B24"/>
    <w:rsid w:val="007F4BCF"/>
    <w:rsid w:val="007F4DA6"/>
    <w:rsid w:val="007F501C"/>
    <w:rsid w:val="007F5FCA"/>
    <w:rsid w:val="007F6084"/>
    <w:rsid w:val="007F62D2"/>
    <w:rsid w:val="007F71A8"/>
    <w:rsid w:val="007F769B"/>
    <w:rsid w:val="007F7816"/>
    <w:rsid w:val="007F7DFB"/>
    <w:rsid w:val="007F7E8A"/>
    <w:rsid w:val="008008D7"/>
    <w:rsid w:val="00800AB4"/>
    <w:rsid w:val="00800EA9"/>
    <w:rsid w:val="00801C73"/>
    <w:rsid w:val="008020B8"/>
    <w:rsid w:val="008021FB"/>
    <w:rsid w:val="00802FDE"/>
    <w:rsid w:val="008033AE"/>
    <w:rsid w:val="008035F6"/>
    <w:rsid w:val="008040DF"/>
    <w:rsid w:val="00804356"/>
    <w:rsid w:val="00804620"/>
    <w:rsid w:val="00804921"/>
    <w:rsid w:val="00804B09"/>
    <w:rsid w:val="00804B50"/>
    <w:rsid w:val="0080535D"/>
    <w:rsid w:val="00805B32"/>
    <w:rsid w:val="00806C70"/>
    <w:rsid w:val="00806ECA"/>
    <w:rsid w:val="008070D7"/>
    <w:rsid w:val="0080762B"/>
    <w:rsid w:val="00807C7B"/>
    <w:rsid w:val="00807D70"/>
    <w:rsid w:val="00810180"/>
    <w:rsid w:val="008101AA"/>
    <w:rsid w:val="00810782"/>
    <w:rsid w:val="00810BE4"/>
    <w:rsid w:val="0081145E"/>
    <w:rsid w:val="008115ED"/>
    <w:rsid w:val="00811615"/>
    <w:rsid w:val="00811860"/>
    <w:rsid w:val="00812727"/>
    <w:rsid w:val="00812789"/>
    <w:rsid w:val="00812A87"/>
    <w:rsid w:val="00812D38"/>
    <w:rsid w:val="00813340"/>
    <w:rsid w:val="0081375B"/>
    <w:rsid w:val="00813C25"/>
    <w:rsid w:val="00814120"/>
    <w:rsid w:val="00814E19"/>
    <w:rsid w:val="00814EAF"/>
    <w:rsid w:val="00815771"/>
    <w:rsid w:val="00815DFE"/>
    <w:rsid w:val="008165AF"/>
    <w:rsid w:val="008165F3"/>
    <w:rsid w:val="00816E0B"/>
    <w:rsid w:val="00816E13"/>
    <w:rsid w:val="00816EE6"/>
    <w:rsid w:val="008172F7"/>
    <w:rsid w:val="0081740B"/>
    <w:rsid w:val="00817457"/>
    <w:rsid w:val="00817D87"/>
    <w:rsid w:val="00820348"/>
    <w:rsid w:val="00820998"/>
    <w:rsid w:val="00820B46"/>
    <w:rsid w:val="00821035"/>
    <w:rsid w:val="00822135"/>
    <w:rsid w:val="00822583"/>
    <w:rsid w:val="008232D2"/>
    <w:rsid w:val="0082362D"/>
    <w:rsid w:val="008239DF"/>
    <w:rsid w:val="00823A7C"/>
    <w:rsid w:val="0082569C"/>
    <w:rsid w:val="008256BC"/>
    <w:rsid w:val="00825CAD"/>
    <w:rsid w:val="008265B3"/>
    <w:rsid w:val="00826BA0"/>
    <w:rsid w:val="008271BB"/>
    <w:rsid w:val="00827BE3"/>
    <w:rsid w:val="0083035F"/>
    <w:rsid w:val="0083050D"/>
    <w:rsid w:val="008308DB"/>
    <w:rsid w:val="00830BE1"/>
    <w:rsid w:val="008314A0"/>
    <w:rsid w:val="0083189F"/>
    <w:rsid w:val="00831DA9"/>
    <w:rsid w:val="00831E2F"/>
    <w:rsid w:val="00831E87"/>
    <w:rsid w:val="00832F03"/>
    <w:rsid w:val="00833290"/>
    <w:rsid w:val="00833327"/>
    <w:rsid w:val="008341CF"/>
    <w:rsid w:val="00834BA7"/>
    <w:rsid w:val="0083544B"/>
    <w:rsid w:val="008359DD"/>
    <w:rsid w:val="0083639B"/>
    <w:rsid w:val="008366CB"/>
    <w:rsid w:val="008369F2"/>
    <w:rsid w:val="00836D9B"/>
    <w:rsid w:val="00836F35"/>
    <w:rsid w:val="0083789B"/>
    <w:rsid w:val="0084031D"/>
    <w:rsid w:val="00840942"/>
    <w:rsid w:val="0084147A"/>
    <w:rsid w:val="00841978"/>
    <w:rsid w:val="00842154"/>
    <w:rsid w:val="008431CD"/>
    <w:rsid w:val="00843254"/>
    <w:rsid w:val="008434A5"/>
    <w:rsid w:val="00844CFA"/>
    <w:rsid w:val="00844F11"/>
    <w:rsid w:val="00845179"/>
    <w:rsid w:val="008452B4"/>
    <w:rsid w:val="00845691"/>
    <w:rsid w:val="008460A1"/>
    <w:rsid w:val="008463EC"/>
    <w:rsid w:val="00846818"/>
    <w:rsid w:val="00846873"/>
    <w:rsid w:val="008468EA"/>
    <w:rsid w:val="00846A19"/>
    <w:rsid w:val="008476CA"/>
    <w:rsid w:val="0085033E"/>
    <w:rsid w:val="00850562"/>
    <w:rsid w:val="00850888"/>
    <w:rsid w:val="00851203"/>
    <w:rsid w:val="008515CE"/>
    <w:rsid w:val="00852158"/>
    <w:rsid w:val="0085254E"/>
    <w:rsid w:val="00852C49"/>
    <w:rsid w:val="00852FE1"/>
    <w:rsid w:val="00853283"/>
    <w:rsid w:val="00854305"/>
    <w:rsid w:val="00854A59"/>
    <w:rsid w:val="00854F9D"/>
    <w:rsid w:val="008557F0"/>
    <w:rsid w:val="00855894"/>
    <w:rsid w:val="0085589B"/>
    <w:rsid w:val="00855ED3"/>
    <w:rsid w:val="00855FCF"/>
    <w:rsid w:val="00856025"/>
    <w:rsid w:val="00856DA4"/>
    <w:rsid w:val="00856EDB"/>
    <w:rsid w:val="00857115"/>
    <w:rsid w:val="00857EC7"/>
    <w:rsid w:val="00857FF1"/>
    <w:rsid w:val="0086047E"/>
    <w:rsid w:val="00860491"/>
    <w:rsid w:val="00860972"/>
    <w:rsid w:val="00860B42"/>
    <w:rsid w:val="00861086"/>
    <w:rsid w:val="008619EC"/>
    <w:rsid w:val="00861B05"/>
    <w:rsid w:val="00861EF6"/>
    <w:rsid w:val="008627E6"/>
    <w:rsid w:val="008631F3"/>
    <w:rsid w:val="00863236"/>
    <w:rsid w:val="00863654"/>
    <w:rsid w:val="008639EC"/>
    <w:rsid w:val="00864464"/>
    <w:rsid w:val="00865535"/>
    <w:rsid w:val="00865BDD"/>
    <w:rsid w:val="00866463"/>
    <w:rsid w:val="00866794"/>
    <w:rsid w:val="0087020D"/>
    <w:rsid w:val="008703C7"/>
    <w:rsid w:val="008704CC"/>
    <w:rsid w:val="008718CA"/>
    <w:rsid w:val="00872050"/>
    <w:rsid w:val="0087214C"/>
    <w:rsid w:val="008724DA"/>
    <w:rsid w:val="008728BA"/>
    <w:rsid w:val="00872CE3"/>
    <w:rsid w:val="00872D95"/>
    <w:rsid w:val="00873677"/>
    <w:rsid w:val="00873857"/>
    <w:rsid w:val="00873F1A"/>
    <w:rsid w:val="00874350"/>
    <w:rsid w:val="008743DD"/>
    <w:rsid w:val="00874451"/>
    <w:rsid w:val="00874FF8"/>
    <w:rsid w:val="008756A5"/>
    <w:rsid w:val="00875D7E"/>
    <w:rsid w:val="00875E14"/>
    <w:rsid w:val="008760A5"/>
    <w:rsid w:val="008765B3"/>
    <w:rsid w:val="008772A3"/>
    <w:rsid w:val="00877814"/>
    <w:rsid w:val="00877DFF"/>
    <w:rsid w:val="00880D44"/>
    <w:rsid w:val="00880D46"/>
    <w:rsid w:val="00880E6B"/>
    <w:rsid w:val="0088114C"/>
    <w:rsid w:val="00881654"/>
    <w:rsid w:val="008825F8"/>
    <w:rsid w:val="00882720"/>
    <w:rsid w:val="00882B52"/>
    <w:rsid w:val="00884069"/>
    <w:rsid w:val="0088435E"/>
    <w:rsid w:val="008846E1"/>
    <w:rsid w:val="00885248"/>
    <w:rsid w:val="008853ED"/>
    <w:rsid w:val="00885548"/>
    <w:rsid w:val="008857B5"/>
    <w:rsid w:val="008857D9"/>
    <w:rsid w:val="00885DEF"/>
    <w:rsid w:val="0088601F"/>
    <w:rsid w:val="008861D1"/>
    <w:rsid w:val="008869D9"/>
    <w:rsid w:val="0088753B"/>
    <w:rsid w:val="00887A83"/>
    <w:rsid w:val="00887AF5"/>
    <w:rsid w:val="008906EB"/>
    <w:rsid w:val="00890C0D"/>
    <w:rsid w:val="00890E00"/>
    <w:rsid w:val="008911D5"/>
    <w:rsid w:val="00891280"/>
    <w:rsid w:val="00891C1C"/>
    <w:rsid w:val="00891D66"/>
    <w:rsid w:val="00891ED6"/>
    <w:rsid w:val="00891F08"/>
    <w:rsid w:val="00891F4F"/>
    <w:rsid w:val="0089231E"/>
    <w:rsid w:val="008926B0"/>
    <w:rsid w:val="00893341"/>
    <w:rsid w:val="00893A3F"/>
    <w:rsid w:val="00893E7B"/>
    <w:rsid w:val="00895488"/>
    <w:rsid w:val="008956F8"/>
    <w:rsid w:val="00895A36"/>
    <w:rsid w:val="00895A8F"/>
    <w:rsid w:val="00895B1F"/>
    <w:rsid w:val="00895BDB"/>
    <w:rsid w:val="00895FA9"/>
    <w:rsid w:val="0089629F"/>
    <w:rsid w:val="00896628"/>
    <w:rsid w:val="00897995"/>
    <w:rsid w:val="00897A1C"/>
    <w:rsid w:val="00897AF2"/>
    <w:rsid w:val="00897D5A"/>
    <w:rsid w:val="008A22B4"/>
    <w:rsid w:val="008A28F9"/>
    <w:rsid w:val="008A2915"/>
    <w:rsid w:val="008A2A86"/>
    <w:rsid w:val="008A3EA6"/>
    <w:rsid w:val="008A4DC1"/>
    <w:rsid w:val="008A542B"/>
    <w:rsid w:val="008A58C2"/>
    <w:rsid w:val="008A5CAB"/>
    <w:rsid w:val="008A63B3"/>
    <w:rsid w:val="008B00E8"/>
    <w:rsid w:val="008B0662"/>
    <w:rsid w:val="008B0835"/>
    <w:rsid w:val="008B1005"/>
    <w:rsid w:val="008B183F"/>
    <w:rsid w:val="008B1919"/>
    <w:rsid w:val="008B1A7E"/>
    <w:rsid w:val="008B1AA5"/>
    <w:rsid w:val="008B24AA"/>
    <w:rsid w:val="008B28D2"/>
    <w:rsid w:val="008B2BBC"/>
    <w:rsid w:val="008B2D82"/>
    <w:rsid w:val="008B2DFC"/>
    <w:rsid w:val="008B2F11"/>
    <w:rsid w:val="008B30D7"/>
    <w:rsid w:val="008B35F9"/>
    <w:rsid w:val="008B3992"/>
    <w:rsid w:val="008B3F7B"/>
    <w:rsid w:val="008B4019"/>
    <w:rsid w:val="008B4B7D"/>
    <w:rsid w:val="008B4D3E"/>
    <w:rsid w:val="008B5270"/>
    <w:rsid w:val="008B5D12"/>
    <w:rsid w:val="008B6321"/>
    <w:rsid w:val="008B67CE"/>
    <w:rsid w:val="008B7ACE"/>
    <w:rsid w:val="008C09E3"/>
    <w:rsid w:val="008C0BE1"/>
    <w:rsid w:val="008C0CB3"/>
    <w:rsid w:val="008C0E88"/>
    <w:rsid w:val="008C13B4"/>
    <w:rsid w:val="008C13FE"/>
    <w:rsid w:val="008C15E1"/>
    <w:rsid w:val="008C199C"/>
    <w:rsid w:val="008C1EDF"/>
    <w:rsid w:val="008C2AC3"/>
    <w:rsid w:val="008C308C"/>
    <w:rsid w:val="008C34FA"/>
    <w:rsid w:val="008C3828"/>
    <w:rsid w:val="008C3B3D"/>
    <w:rsid w:val="008C3FF1"/>
    <w:rsid w:val="008C4006"/>
    <w:rsid w:val="008C4F36"/>
    <w:rsid w:val="008C529D"/>
    <w:rsid w:val="008C54B9"/>
    <w:rsid w:val="008C58B1"/>
    <w:rsid w:val="008C5DEC"/>
    <w:rsid w:val="008C6AE2"/>
    <w:rsid w:val="008C718C"/>
    <w:rsid w:val="008C7607"/>
    <w:rsid w:val="008C7F1E"/>
    <w:rsid w:val="008D01E7"/>
    <w:rsid w:val="008D042B"/>
    <w:rsid w:val="008D06F9"/>
    <w:rsid w:val="008D0A05"/>
    <w:rsid w:val="008D0B23"/>
    <w:rsid w:val="008D0CAA"/>
    <w:rsid w:val="008D1176"/>
    <w:rsid w:val="008D181E"/>
    <w:rsid w:val="008D1B29"/>
    <w:rsid w:val="008D273E"/>
    <w:rsid w:val="008D2C0D"/>
    <w:rsid w:val="008D333F"/>
    <w:rsid w:val="008D3396"/>
    <w:rsid w:val="008D3742"/>
    <w:rsid w:val="008D39D2"/>
    <w:rsid w:val="008D4628"/>
    <w:rsid w:val="008D544A"/>
    <w:rsid w:val="008D59BD"/>
    <w:rsid w:val="008D5B0A"/>
    <w:rsid w:val="008D5C07"/>
    <w:rsid w:val="008D5FB0"/>
    <w:rsid w:val="008D680B"/>
    <w:rsid w:val="008D6974"/>
    <w:rsid w:val="008D71EA"/>
    <w:rsid w:val="008D7241"/>
    <w:rsid w:val="008D7426"/>
    <w:rsid w:val="008D761E"/>
    <w:rsid w:val="008D7DA6"/>
    <w:rsid w:val="008D7FB6"/>
    <w:rsid w:val="008E179A"/>
    <w:rsid w:val="008E1B79"/>
    <w:rsid w:val="008E2035"/>
    <w:rsid w:val="008E23A6"/>
    <w:rsid w:val="008E276D"/>
    <w:rsid w:val="008E362A"/>
    <w:rsid w:val="008E364F"/>
    <w:rsid w:val="008E3B1C"/>
    <w:rsid w:val="008E3E63"/>
    <w:rsid w:val="008E44AD"/>
    <w:rsid w:val="008E4501"/>
    <w:rsid w:val="008E4A8A"/>
    <w:rsid w:val="008E4D34"/>
    <w:rsid w:val="008E4FB6"/>
    <w:rsid w:val="008E5008"/>
    <w:rsid w:val="008E5286"/>
    <w:rsid w:val="008E5897"/>
    <w:rsid w:val="008E66DB"/>
    <w:rsid w:val="008E6790"/>
    <w:rsid w:val="008E6A4A"/>
    <w:rsid w:val="008E6A72"/>
    <w:rsid w:val="008E6E91"/>
    <w:rsid w:val="008E7D11"/>
    <w:rsid w:val="008F0587"/>
    <w:rsid w:val="008F096C"/>
    <w:rsid w:val="008F0BAE"/>
    <w:rsid w:val="008F0F32"/>
    <w:rsid w:val="008F1927"/>
    <w:rsid w:val="008F192E"/>
    <w:rsid w:val="008F20A1"/>
    <w:rsid w:val="008F20C2"/>
    <w:rsid w:val="008F2168"/>
    <w:rsid w:val="008F24C5"/>
    <w:rsid w:val="008F3C72"/>
    <w:rsid w:val="008F4531"/>
    <w:rsid w:val="008F4594"/>
    <w:rsid w:val="008F4895"/>
    <w:rsid w:val="008F4DB3"/>
    <w:rsid w:val="008F4DEE"/>
    <w:rsid w:val="008F504D"/>
    <w:rsid w:val="008F5456"/>
    <w:rsid w:val="008F5486"/>
    <w:rsid w:val="008F5E21"/>
    <w:rsid w:val="008F5EDD"/>
    <w:rsid w:val="008F6032"/>
    <w:rsid w:val="008F60D6"/>
    <w:rsid w:val="008F693C"/>
    <w:rsid w:val="008F72B7"/>
    <w:rsid w:val="008F7327"/>
    <w:rsid w:val="008F7690"/>
    <w:rsid w:val="008F76AB"/>
    <w:rsid w:val="008F7AE4"/>
    <w:rsid w:val="00900181"/>
    <w:rsid w:val="00900781"/>
    <w:rsid w:val="00900F0D"/>
    <w:rsid w:val="00901831"/>
    <w:rsid w:val="0090236B"/>
    <w:rsid w:val="009024E0"/>
    <w:rsid w:val="00902E5C"/>
    <w:rsid w:val="00903195"/>
    <w:rsid w:val="0090366A"/>
    <w:rsid w:val="009042F7"/>
    <w:rsid w:val="009047CB"/>
    <w:rsid w:val="00905198"/>
    <w:rsid w:val="0090519B"/>
    <w:rsid w:val="009053E8"/>
    <w:rsid w:val="00905791"/>
    <w:rsid w:val="0090691F"/>
    <w:rsid w:val="009072BA"/>
    <w:rsid w:val="00907D91"/>
    <w:rsid w:val="00910176"/>
    <w:rsid w:val="009108EF"/>
    <w:rsid w:val="00911323"/>
    <w:rsid w:val="00911787"/>
    <w:rsid w:val="00911AE1"/>
    <w:rsid w:val="0091234D"/>
    <w:rsid w:val="009124D3"/>
    <w:rsid w:val="00912D3E"/>
    <w:rsid w:val="00914644"/>
    <w:rsid w:val="00914D01"/>
    <w:rsid w:val="00914E1D"/>
    <w:rsid w:val="00914EEB"/>
    <w:rsid w:val="00915144"/>
    <w:rsid w:val="00916D48"/>
    <w:rsid w:val="009170F6"/>
    <w:rsid w:val="009174ED"/>
    <w:rsid w:val="00917571"/>
    <w:rsid w:val="00917862"/>
    <w:rsid w:val="00917C14"/>
    <w:rsid w:val="00917D16"/>
    <w:rsid w:val="00920BEC"/>
    <w:rsid w:val="00920F10"/>
    <w:rsid w:val="00921687"/>
    <w:rsid w:val="0092185D"/>
    <w:rsid w:val="00922960"/>
    <w:rsid w:val="00922FE4"/>
    <w:rsid w:val="0092354E"/>
    <w:rsid w:val="0092394B"/>
    <w:rsid w:val="00924147"/>
    <w:rsid w:val="00924881"/>
    <w:rsid w:val="00925214"/>
    <w:rsid w:val="00925796"/>
    <w:rsid w:val="0092616B"/>
    <w:rsid w:val="00926291"/>
    <w:rsid w:val="009265A6"/>
    <w:rsid w:val="00926923"/>
    <w:rsid w:val="00926EE9"/>
    <w:rsid w:val="0092703B"/>
    <w:rsid w:val="009270C3"/>
    <w:rsid w:val="009274DD"/>
    <w:rsid w:val="00927B72"/>
    <w:rsid w:val="00930C27"/>
    <w:rsid w:val="00930CCD"/>
    <w:rsid w:val="00930FEB"/>
    <w:rsid w:val="00931146"/>
    <w:rsid w:val="009311F1"/>
    <w:rsid w:val="00931405"/>
    <w:rsid w:val="009316C1"/>
    <w:rsid w:val="00931B59"/>
    <w:rsid w:val="00933E42"/>
    <w:rsid w:val="00933FDB"/>
    <w:rsid w:val="00934214"/>
    <w:rsid w:val="00934B4E"/>
    <w:rsid w:val="00935563"/>
    <w:rsid w:val="009356F7"/>
    <w:rsid w:val="0093585C"/>
    <w:rsid w:val="00935DE3"/>
    <w:rsid w:val="00936399"/>
    <w:rsid w:val="00936719"/>
    <w:rsid w:val="00936ABF"/>
    <w:rsid w:val="00937564"/>
    <w:rsid w:val="00937D79"/>
    <w:rsid w:val="00937E1C"/>
    <w:rsid w:val="00940DAA"/>
    <w:rsid w:val="00940EAF"/>
    <w:rsid w:val="009418AE"/>
    <w:rsid w:val="00941D2B"/>
    <w:rsid w:val="00941D9A"/>
    <w:rsid w:val="0094222A"/>
    <w:rsid w:val="00942291"/>
    <w:rsid w:val="00942471"/>
    <w:rsid w:val="00942DE0"/>
    <w:rsid w:val="00943204"/>
    <w:rsid w:val="009445F7"/>
    <w:rsid w:val="0094479F"/>
    <w:rsid w:val="0094522E"/>
    <w:rsid w:val="009453C3"/>
    <w:rsid w:val="009455B9"/>
    <w:rsid w:val="009456E4"/>
    <w:rsid w:val="0094676C"/>
    <w:rsid w:val="00946EBF"/>
    <w:rsid w:val="00946F10"/>
    <w:rsid w:val="009478DF"/>
    <w:rsid w:val="00947CC1"/>
    <w:rsid w:val="00947DAF"/>
    <w:rsid w:val="00947FD2"/>
    <w:rsid w:val="00950212"/>
    <w:rsid w:val="00950656"/>
    <w:rsid w:val="00950926"/>
    <w:rsid w:val="00950C72"/>
    <w:rsid w:val="00950DD0"/>
    <w:rsid w:val="009530EA"/>
    <w:rsid w:val="00953142"/>
    <w:rsid w:val="0095357E"/>
    <w:rsid w:val="00953B1F"/>
    <w:rsid w:val="0095597F"/>
    <w:rsid w:val="009562C6"/>
    <w:rsid w:val="00956860"/>
    <w:rsid w:val="00956A9B"/>
    <w:rsid w:val="00956D2B"/>
    <w:rsid w:val="00957301"/>
    <w:rsid w:val="00957458"/>
    <w:rsid w:val="0095795E"/>
    <w:rsid w:val="00957A27"/>
    <w:rsid w:val="00957D64"/>
    <w:rsid w:val="00957E7C"/>
    <w:rsid w:val="0096064F"/>
    <w:rsid w:val="009609BF"/>
    <w:rsid w:val="00960A70"/>
    <w:rsid w:val="00960C61"/>
    <w:rsid w:val="00961B01"/>
    <w:rsid w:val="00962556"/>
    <w:rsid w:val="009629D2"/>
    <w:rsid w:val="00962B0B"/>
    <w:rsid w:val="00962CAD"/>
    <w:rsid w:val="00962F08"/>
    <w:rsid w:val="00963ED2"/>
    <w:rsid w:val="00963F72"/>
    <w:rsid w:val="009640FC"/>
    <w:rsid w:val="009649B9"/>
    <w:rsid w:val="00964BB3"/>
    <w:rsid w:val="009650E8"/>
    <w:rsid w:val="0096565E"/>
    <w:rsid w:val="00966320"/>
    <w:rsid w:val="0096716A"/>
    <w:rsid w:val="0096767F"/>
    <w:rsid w:val="00967BCF"/>
    <w:rsid w:val="00970BAD"/>
    <w:rsid w:val="009712EF"/>
    <w:rsid w:val="00971722"/>
    <w:rsid w:val="009718EC"/>
    <w:rsid w:val="00971941"/>
    <w:rsid w:val="009724A8"/>
    <w:rsid w:val="009727C7"/>
    <w:rsid w:val="00972E66"/>
    <w:rsid w:val="00972FCE"/>
    <w:rsid w:val="009731C3"/>
    <w:rsid w:val="0097327B"/>
    <w:rsid w:val="00973A9C"/>
    <w:rsid w:val="00973CB9"/>
    <w:rsid w:val="00973D99"/>
    <w:rsid w:val="009741AD"/>
    <w:rsid w:val="00974429"/>
    <w:rsid w:val="00975203"/>
    <w:rsid w:val="0097569A"/>
    <w:rsid w:val="00975B9E"/>
    <w:rsid w:val="00975BBF"/>
    <w:rsid w:val="00976000"/>
    <w:rsid w:val="00976790"/>
    <w:rsid w:val="00976925"/>
    <w:rsid w:val="00976B38"/>
    <w:rsid w:val="00976C8A"/>
    <w:rsid w:val="00976DAE"/>
    <w:rsid w:val="009770B5"/>
    <w:rsid w:val="0097772F"/>
    <w:rsid w:val="00980E1C"/>
    <w:rsid w:val="0098103D"/>
    <w:rsid w:val="0098145D"/>
    <w:rsid w:val="009817A5"/>
    <w:rsid w:val="009826F2"/>
    <w:rsid w:val="00982F13"/>
    <w:rsid w:val="0098335C"/>
    <w:rsid w:val="00983D3E"/>
    <w:rsid w:val="00983E08"/>
    <w:rsid w:val="0098402C"/>
    <w:rsid w:val="009841B8"/>
    <w:rsid w:val="00984644"/>
    <w:rsid w:val="00984870"/>
    <w:rsid w:val="00984C14"/>
    <w:rsid w:val="009851AC"/>
    <w:rsid w:val="009854BA"/>
    <w:rsid w:val="0098636A"/>
    <w:rsid w:val="009864CD"/>
    <w:rsid w:val="00986C4B"/>
    <w:rsid w:val="009873CE"/>
    <w:rsid w:val="00987B5E"/>
    <w:rsid w:val="0099071F"/>
    <w:rsid w:val="00991733"/>
    <w:rsid w:val="00991FC7"/>
    <w:rsid w:val="009920FE"/>
    <w:rsid w:val="00992638"/>
    <w:rsid w:val="00992F21"/>
    <w:rsid w:val="00993208"/>
    <w:rsid w:val="00993427"/>
    <w:rsid w:val="009935CB"/>
    <w:rsid w:val="00993F9A"/>
    <w:rsid w:val="0099463C"/>
    <w:rsid w:val="009954FF"/>
    <w:rsid w:val="0099558D"/>
    <w:rsid w:val="00995964"/>
    <w:rsid w:val="00995EF5"/>
    <w:rsid w:val="0099609B"/>
    <w:rsid w:val="0099660F"/>
    <w:rsid w:val="00996A46"/>
    <w:rsid w:val="00996B60"/>
    <w:rsid w:val="00996E9C"/>
    <w:rsid w:val="00996EC9"/>
    <w:rsid w:val="00997537"/>
    <w:rsid w:val="009A0409"/>
    <w:rsid w:val="009A06E4"/>
    <w:rsid w:val="009A0A59"/>
    <w:rsid w:val="009A0B1C"/>
    <w:rsid w:val="009A1428"/>
    <w:rsid w:val="009A265D"/>
    <w:rsid w:val="009A2B44"/>
    <w:rsid w:val="009A32E6"/>
    <w:rsid w:val="009A34D6"/>
    <w:rsid w:val="009A3E82"/>
    <w:rsid w:val="009A4252"/>
    <w:rsid w:val="009A4809"/>
    <w:rsid w:val="009A504E"/>
    <w:rsid w:val="009A5ABE"/>
    <w:rsid w:val="009A5C74"/>
    <w:rsid w:val="009A6389"/>
    <w:rsid w:val="009A6716"/>
    <w:rsid w:val="009A6B01"/>
    <w:rsid w:val="009A6B36"/>
    <w:rsid w:val="009A6CCE"/>
    <w:rsid w:val="009A6DD8"/>
    <w:rsid w:val="009A6F6E"/>
    <w:rsid w:val="009A7188"/>
    <w:rsid w:val="009A7410"/>
    <w:rsid w:val="009A7907"/>
    <w:rsid w:val="009A7F4B"/>
    <w:rsid w:val="009B02E2"/>
    <w:rsid w:val="009B08A2"/>
    <w:rsid w:val="009B09DD"/>
    <w:rsid w:val="009B173D"/>
    <w:rsid w:val="009B1A6F"/>
    <w:rsid w:val="009B1B4F"/>
    <w:rsid w:val="009B1EE3"/>
    <w:rsid w:val="009B1FBE"/>
    <w:rsid w:val="009B27F8"/>
    <w:rsid w:val="009B2BB2"/>
    <w:rsid w:val="009B3BC7"/>
    <w:rsid w:val="009B3EE4"/>
    <w:rsid w:val="009B47A4"/>
    <w:rsid w:val="009B4828"/>
    <w:rsid w:val="009B4A60"/>
    <w:rsid w:val="009B4C28"/>
    <w:rsid w:val="009B5C49"/>
    <w:rsid w:val="009B5D47"/>
    <w:rsid w:val="009B602A"/>
    <w:rsid w:val="009B6D5A"/>
    <w:rsid w:val="009B736F"/>
    <w:rsid w:val="009B7E9E"/>
    <w:rsid w:val="009C01A2"/>
    <w:rsid w:val="009C04FB"/>
    <w:rsid w:val="009C068E"/>
    <w:rsid w:val="009C0771"/>
    <w:rsid w:val="009C0A00"/>
    <w:rsid w:val="009C1CC8"/>
    <w:rsid w:val="009C1E7D"/>
    <w:rsid w:val="009C2710"/>
    <w:rsid w:val="009C2718"/>
    <w:rsid w:val="009C2DBA"/>
    <w:rsid w:val="009C4331"/>
    <w:rsid w:val="009C43C5"/>
    <w:rsid w:val="009C46CB"/>
    <w:rsid w:val="009C4BB9"/>
    <w:rsid w:val="009C5179"/>
    <w:rsid w:val="009C5204"/>
    <w:rsid w:val="009C7373"/>
    <w:rsid w:val="009C7804"/>
    <w:rsid w:val="009C7BE5"/>
    <w:rsid w:val="009C7E1A"/>
    <w:rsid w:val="009D0742"/>
    <w:rsid w:val="009D0897"/>
    <w:rsid w:val="009D0E58"/>
    <w:rsid w:val="009D0FC4"/>
    <w:rsid w:val="009D10BE"/>
    <w:rsid w:val="009D15AB"/>
    <w:rsid w:val="009D19A4"/>
    <w:rsid w:val="009D1B4F"/>
    <w:rsid w:val="009D1BB5"/>
    <w:rsid w:val="009D24C3"/>
    <w:rsid w:val="009D2A30"/>
    <w:rsid w:val="009D2B28"/>
    <w:rsid w:val="009D2DC6"/>
    <w:rsid w:val="009D3008"/>
    <w:rsid w:val="009D30C3"/>
    <w:rsid w:val="009D3852"/>
    <w:rsid w:val="009D3BB9"/>
    <w:rsid w:val="009D3D8E"/>
    <w:rsid w:val="009D42A3"/>
    <w:rsid w:val="009D4502"/>
    <w:rsid w:val="009D467A"/>
    <w:rsid w:val="009D4768"/>
    <w:rsid w:val="009D4B5E"/>
    <w:rsid w:val="009D5D70"/>
    <w:rsid w:val="009D5FF0"/>
    <w:rsid w:val="009D6506"/>
    <w:rsid w:val="009D6EC8"/>
    <w:rsid w:val="009D7228"/>
    <w:rsid w:val="009D7B1D"/>
    <w:rsid w:val="009E12E2"/>
    <w:rsid w:val="009E1434"/>
    <w:rsid w:val="009E18FA"/>
    <w:rsid w:val="009E198F"/>
    <w:rsid w:val="009E1EC9"/>
    <w:rsid w:val="009E21B9"/>
    <w:rsid w:val="009E31B2"/>
    <w:rsid w:val="009E379F"/>
    <w:rsid w:val="009E40D9"/>
    <w:rsid w:val="009E4178"/>
    <w:rsid w:val="009E43CD"/>
    <w:rsid w:val="009E5698"/>
    <w:rsid w:val="009E5A89"/>
    <w:rsid w:val="009E6301"/>
    <w:rsid w:val="009E7474"/>
    <w:rsid w:val="009E755B"/>
    <w:rsid w:val="009F0A6B"/>
    <w:rsid w:val="009F0F7B"/>
    <w:rsid w:val="009F12AE"/>
    <w:rsid w:val="009F1C1A"/>
    <w:rsid w:val="009F2020"/>
    <w:rsid w:val="009F240E"/>
    <w:rsid w:val="009F2BF7"/>
    <w:rsid w:val="009F31C7"/>
    <w:rsid w:val="009F327C"/>
    <w:rsid w:val="009F36B8"/>
    <w:rsid w:val="009F3AA3"/>
    <w:rsid w:val="009F3B5B"/>
    <w:rsid w:val="009F3F79"/>
    <w:rsid w:val="009F4168"/>
    <w:rsid w:val="009F46A5"/>
    <w:rsid w:val="009F48C1"/>
    <w:rsid w:val="009F4A9A"/>
    <w:rsid w:val="009F4BF8"/>
    <w:rsid w:val="009F4C14"/>
    <w:rsid w:val="009F4DDF"/>
    <w:rsid w:val="009F5450"/>
    <w:rsid w:val="009F54E9"/>
    <w:rsid w:val="009F5526"/>
    <w:rsid w:val="009F57D1"/>
    <w:rsid w:val="009F5AD4"/>
    <w:rsid w:val="009F62A3"/>
    <w:rsid w:val="009F6C58"/>
    <w:rsid w:val="009F6E92"/>
    <w:rsid w:val="009F6F3A"/>
    <w:rsid w:val="009F75D9"/>
    <w:rsid w:val="009F7B41"/>
    <w:rsid w:val="00A0039A"/>
    <w:rsid w:val="00A0085C"/>
    <w:rsid w:val="00A015ED"/>
    <w:rsid w:val="00A0161B"/>
    <w:rsid w:val="00A016BB"/>
    <w:rsid w:val="00A016FC"/>
    <w:rsid w:val="00A01738"/>
    <w:rsid w:val="00A0196E"/>
    <w:rsid w:val="00A019C0"/>
    <w:rsid w:val="00A01A08"/>
    <w:rsid w:val="00A01C91"/>
    <w:rsid w:val="00A01D95"/>
    <w:rsid w:val="00A026A5"/>
    <w:rsid w:val="00A026DE"/>
    <w:rsid w:val="00A02E26"/>
    <w:rsid w:val="00A03C4F"/>
    <w:rsid w:val="00A0448A"/>
    <w:rsid w:val="00A04C56"/>
    <w:rsid w:val="00A04DD6"/>
    <w:rsid w:val="00A05295"/>
    <w:rsid w:val="00A05CD3"/>
    <w:rsid w:val="00A063E3"/>
    <w:rsid w:val="00A065BC"/>
    <w:rsid w:val="00A0675F"/>
    <w:rsid w:val="00A06970"/>
    <w:rsid w:val="00A06D89"/>
    <w:rsid w:val="00A06E4D"/>
    <w:rsid w:val="00A074E2"/>
    <w:rsid w:val="00A07573"/>
    <w:rsid w:val="00A076B5"/>
    <w:rsid w:val="00A078DC"/>
    <w:rsid w:val="00A10C99"/>
    <w:rsid w:val="00A10D4C"/>
    <w:rsid w:val="00A113B9"/>
    <w:rsid w:val="00A113EC"/>
    <w:rsid w:val="00A11425"/>
    <w:rsid w:val="00A11554"/>
    <w:rsid w:val="00A11997"/>
    <w:rsid w:val="00A11AC7"/>
    <w:rsid w:val="00A11ADF"/>
    <w:rsid w:val="00A11BDE"/>
    <w:rsid w:val="00A125E9"/>
    <w:rsid w:val="00A12B2B"/>
    <w:rsid w:val="00A12BD3"/>
    <w:rsid w:val="00A12F2A"/>
    <w:rsid w:val="00A13339"/>
    <w:rsid w:val="00A134EA"/>
    <w:rsid w:val="00A13672"/>
    <w:rsid w:val="00A14C95"/>
    <w:rsid w:val="00A1509C"/>
    <w:rsid w:val="00A1574A"/>
    <w:rsid w:val="00A15A92"/>
    <w:rsid w:val="00A15B0D"/>
    <w:rsid w:val="00A15BAA"/>
    <w:rsid w:val="00A15D1C"/>
    <w:rsid w:val="00A15D28"/>
    <w:rsid w:val="00A16345"/>
    <w:rsid w:val="00A16722"/>
    <w:rsid w:val="00A16AF7"/>
    <w:rsid w:val="00A16F07"/>
    <w:rsid w:val="00A17989"/>
    <w:rsid w:val="00A17BC4"/>
    <w:rsid w:val="00A17DAE"/>
    <w:rsid w:val="00A2048F"/>
    <w:rsid w:val="00A20894"/>
    <w:rsid w:val="00A20995"/>
    <w:rsid w:val="00A21104"/>
    <w:rsid w:val="00A21427"/>
    <w:rsid w:val="00A2142B"/>
    <w:rsid w:val="00A21572"/>
    <w:rsid w:val="00A21ED7"/>
    <w:rsid w:val="00A22537"/>
    <w:rsid w:val="00A2295A"/>
    <w:rsid w:val="00A2415E"/>
    <w:rsid w:val="00A247F4"/>
    <w:rsid w:val="00A24CAE"/>
    <w:rsid w:val="00A24D90"/>
    <w:rsid w:val="00A25BC3"/>
    <w:rsid w:val="00A25C53"/>
    <w:rsid w:val="00A25EE5"/>
    <w:rsid w:val="00A26F6F"/>
    <w:rsid w:val="00A26F72"/>
    <w:rsid w:val="00A27124"/>
    <w:rsid w:val="00A27315"/>
    <w:rsid w:val="00A276C7"/>
    <w:rsid w:val="00A30BC4"/>
    <w:rsid w:val="00A31134"/>
    <w:rsid w:val="00A31443"/>
    <w:rsid w:val="00A31CA8"/>
    <w:rsid w:val="00A31CC9"/>
    <w:rsid w:val="00A31DDD"/>
    <w:rsid w:val="00A31E96"/>
    <w:rsid w:val="00A3285C"/>
    <w:rsid w:val="00A32B60"/>
    <w:rsid w:val="00A3342F"/>
    <w:rsid w:val="00A335CB"/>
    <w:rsid w:val="00A33E62"/>
    <w:rsid w:val="00A342D6"/>
    <w:rsid w:val="00A342F5"/>
    <w:rsid w:val="00A34FE0"/>
    <w:rsid w:val="00A35AF9"/>
    <w:rsid w:val="00A35D6D"/>
    <w:rsid w:val="00A35F4C"/>
    <w:rsid w:val="00A36340"/>
    <w:rsid w:val="00A36517"/>
    <w:rsid w:val="00A372C3"/>
    <w:rsid w:val="00A376AB"/>
    <w:rsid w:val="00A378A2"/>
    <w:rsid w:val="00A40048"/>
    <w:rsid w:val="00A4028F"/>
    <w:rsid w:val="00A405F1"/>
    <w:rsid w:val="00A40AE1"/>
    <w:rsid w:val="00A40C13"/>
    <w:rsid w:val="00A40C84"/>
    <w:rsid w:val="00A41017"/>
    <w:rsid w:val="00A41350"/>
    <w:rsid w:val="00A415DA"/>
    <w:rsid w:val="00A41763"/>
    <w:rsid w:val="00A41D08"/>
    <w:rsid w:val="00A41F42"/>
    <w:rsid w:val="00A41F7D"/>
    <w:rsid w:val="00A424BB"/>
    <w:rsid w:val="00A42834"/>
    <w:rsid w:val="00A43FD8"/>
    <w:rsid w:val="00A443D1"/>
    <w:rsid w:val="00A4446E"/>
    <w:rsid w:val="00A44B73"/>
    <w:rsid w:val="00A44B8A"/>
    <w:rsid w:val="00A44CBE"/>
    <w:rsid w:val="00A44EB6"/>
    <w:rsid w:val="00A4501A"/>
    <w:rsid w:val="00A45170"/>
    <w:rsid w:val="00A45A35"/>
    <w:rsid w:val="00A4628E"/>
    <w:rsid w:val="00A46790"/>
    <w:rsid w:val="00A46B15"/>
    <w:rsid w:val="00A46FD5"/>
    <w:rsid w:val="00A47705"/>
    <w:rsid w:val="00A47706"/>
    <w:rsid w:val="00A503DC"/>
    <w:rsid w:val="00A506C6"/>
    <w:rsid w:val="00A5158B"/>
    <w:rsid w:val="00A515D0"/>
    <w:rsid w:val="00A518DC"/>
    <w:rsid w:val="00A523CF"/>
    <w:rsid w:val="00A52C55"/>
    <w:rsid w:val="00A5316C"/>
    <w:rsid w:val="00A5389F"/>
    <w:rsid w:val="00A54BE7"/>
    <w:rsid w:val="00A551E2"/>
    <w:rsid w:val="00A552B8"/>
    <w:rsid w:val="00A552C8"/>
    <w:rsid w:val="00A55470"/>
    <w:rsid w:val="00A566ED"/>
    <w:rsid w:val="00A5746A"/>
    <w:rsid w:val="00A57511"/>
    <w:rsid w:val="00A57A23"/>
    <w:rsid w:val="00A60363"/>
    <w:rsid w:val="00A60456"/>
    <w:rsid w:val="00A605BC"/>
    <w:rsid w:val="00A60FDA"/>
    <w:rsid w:val="00A61339"/>
    <w:rsid w:val="00A61C49"/>
    <w:rsid w:val="00A620EC"/>
    <w:rsid w:val="00A621C2"/>
    <w:rsid w:val="00A6242B"/>
    <w:rsid w:val="00A62E02"/>
    <w:rsid w:val="00A633B5"/>
    <w:rsid w:val="00A64377"/>
    <w:rsid w:val="00A64509"/>
    <w:rsid w:val="00A6459D"/>
    <w:rsid w:val="00A6478E"/>
    <w:rsid w:val="00A65AAD"/>
    <w:rsid w:val="00A65B56"/>
    <w:rsid w:val="00A65E1E"/>
    <w:rsid w:val="00A66440"/>
    <w:rsid w:val="00A66CCF"/>
    <w:rsid w:val="00A67A6A"/>
    <w:rsid w:val="00A67AFB"/>
    <w:rsid w:val="00A70416"/>
    <w:rsid w:val="00A70EFC"/>
    <w:rsid w:val="00A714F4"/>
    <w:rsid w:val="00A71743"/>
    <w:rsid w:val="00A71919"/>
    <w:rsid w:val="00A71E5B"/>
    <w:rsid w:val="00A71E8E"/>
    <w:rsid w:val="00A71F10"/>
    <w:rsid w:val="00A72063"/>
    <w:rsid w:val="00A72322"/>
    <w:rsid w:val="00A72445"/>
    <w:rsid w:val="00A724FD"/>
    <w:rsid w:val="00A72E36"/>
    <w:rsid w:val="00A7313E"/>
    <w:rsid w:val="00A7318E"/>
    <w:rsid w:val="00A73212"/>
    <w:rsid w:val="00A733CC"/>
    <w:rsid w:val="00A7368F"/>
    <w:rsid w:val="00A73C11"/>
    <w:rsid w:val="00A73C2C"/>
    <w:rsid w:val="00A73EAF"/>
    <w:rsid w:val="00A73F1D"/>
    <w:rsid w:val="00A73FE3"/>
    <w:rsid w:val="00A74EF8"/>
    <w:rsid w:val="00A7531F"/>
    <w:rsid w:val="00A7537C"/>
    <w:rsid w:val="00A75532"/>
    <w:rsid w:val="00A758D8"/>
    <w:rsid w:val="00A75AF1"/>
    <w:rsid w:val="00A76486"/>
    <w:rsid w:val="00A7651A"/>
    <w:rsid w:val="00A76730"/>
    <w:rsid w:val="00A76BEF"/>
    <w:rsid w:val="00A7741E"/>
    <w:rsid w:val="00A777E5"/>
    <w:rsid w:val="00A77829"/>
    <w:rsid w:val="00A8032D"/>
    <w:rsid w:val="00A80764"/>
    <w:rsid w:val="00A80894"/>
    <w:rsid w:val="00A8104B"/>
    <w:rsid w:val="00A812B6"/>
    <w:rsid w:val="00A814F7"/>
    <w:rsid w:val="00A81AC0"/>
    <w:rsid w:val="00A82031"/>
    <w:rsid w:val="00A82712"/>
    <w:rsid w:val="00A8320A"/>
    <w:rsid w:val="00A84142"/>
    <w:rsid w:val="00A84316"/>
    <w:rsid w:val="00A844F3"/>
    <w:rsid w:val="00A847D0"/>
    <w:rsid w:val="00A856F4"/>
    <w:rsid w:val="00A85E8E"/>
    <w:rsid w:val="00A85FB0"/>
    <w:rsid w:val="00A864BE"/>
    <w:rsid w:val="00A86597"/>
    <w:rsid w:val="00A8759D"/>
    <w:rsid w:val="00A87FDC"/>
    <w:rsid w:val="00A90254"/>
    <w:rsid w:val="00A902F3"/>
    <w:rsid w:val="00A90670"/>
    <w:rsid w:val="00A90B8D"/>
    <w:rsid w:val="00A910DB"/>
    <w:rsid w:val="00A91EAA"/>
    <w:rsid w:val="00A921BD"/>
    <w:rsid w:val="00A92241"/>
    <w:rsid w:val="00A9270F"/>
    <w:rsid w:val="00A93284"/>
    <w:rsid w:val="00A93972"/>
    <w:rsid w:val="00A940BD"/>
    <w:rsid w:val="00A940FA"/>
    <w:rsid w:val="00A94115"/>
    <w:rsid w:val="00A9478C"/>
    <w:rsid w:val="00A94FE9"/>
    <w:rsid w:val="00A95A06"/>
    <w:rsid w:val="00A95FC7"/>
    <w:rsid w:val="00A96296"/>
    <w:rsid w:val="00A96FEA"/>
    <w:rsid w:val="00AA02A8"/>
    <w:rsid w:val="00AA03E7"/>
    <w:rsid w:val="00AA07D2"/>
    <w:rsid w:val="00AA0932"/>
    <w:rsid w:val="00AA0F2B"/>
    <w:rsid w:val="00AA19F3"/>
    <w:rsid w:val="00AA2BBF"/>
    <w:rsid w:val="00AA2F35"/>
    <w:rsid w:val="00AA3924"/>
    <w:rsid w:val="00AA3AC4"/>
    <w:rsid w:val="00AA40B8"/>
    <w:rsid w:val="00AA4787"/>
    <w:rsid w:val="00AA49FA"/>
    <w:rsid w:val="00AA4C1B"/>
    <w:rsid w:val="00AA55F1"/>
    <w:rsid w:val="00AA5785"/>
    <w:rsid w:val="00AA7183"/>
    <w:rsid w:val="00AA79AD"/>
    <w:rsid w:val="00AB06C6"/>
    <w:rsid w:val="00AB0B8D"/>
    <w:rsid w:val="00AB0DE1"/>
    <w:rsid w:val="00AB1170"/>
    <w:rsid w:val="00AB12DB"/>
    <w:rsid w:val="00AB15A4"/>
    <w:rsid w:val="00AB1ED5"/>
    <w:rsid w:val="00AB1FC3"/>
    <w:rsid w:val="00AB202F"/>
    <w:rsid w:val="00AB2334"/>
    <w:rsid w:val="00AB236A"/>
    <w:rsid w:val="00AB24D9"/>
    <w:rsid w:val="00AB25DE"/>
    <w:rsid w:val="00AB2716"/>
    <w:rsid w:val="00AB2868"/>
    <w:rsid w:val="00AB2C93"/>
    <w:rsid w:val="00AB2FAC"/>
    <w:rsid w:val="00AB3DF8"/>
    <w:rsid w:val="00AB400D"/>
    <w:rsid w:val="00AB485B"/>
    <w:rsid w:val="00AB4BD9"/>
    <w:rsid w:val="00AB531A"/>
    <w:rsid w:val="00AB562C"/>
    <w:rsid w:val="00AB56DE"/>
    <w:rsid w:val="00AB59E2"/>
    <w:rsid w:val="00AB5F6A"/>
    <w:rsid w:val="00AB6423"/>
    <w:rsid w:val="00AB65D3"/>
    <w:rsid w:val="00AB6B62"/>
    <w:rsid w:val="00AB71DB"/>
    <w:rsid w:val="00AB7408"/>
    <w:rsid w:val="00AB7CE7"/>
    <w:rsid w:val="00AB7D63"/>
    <w:rsid w:val="00AB7DBA"/>
    <w:rsid w:val="00AB7E02"/>
    <w:rsid w:val="00AC039F"/>
    <w:rsid w:val="00AC06D2"/>
    <w:rsid w:val="00AC0BD5"/>
    <w:rsid w:val="00AC0D9E"/>
    <w:rsid w:val="00AC21F4"/>
    <w:rsid w:val="00AC2F31"/>
    <w:rsid w:val="00AC32E5"/>
    <w:rsid w:val="00AC37D0"/>
    <w:rsid w:val="00AC39DE"/>
    <w:rsid w:val="00AC3F61"/>
    <w:rsid w:val="00AC4BC0"/>
    <w:rsid w:val="00AC4C4E"/>
    <w:rsid w:val="00AC5056"/>
    <w:rsid w:val="00AC59B9"/>
    <w:rsid w:val="00AC5BA3"/>
    <w:rsid w:val="00AC64F7"/>
    <w:rsid w:val="00AC6851"/>
    <w:rsid w:val="00AC6B27"/>
    <w:rsid w:val="00AC6FA6"/>
    <w:rsid w:val="00AC71E1"/>
    <w:rsid w:val="00AC7B3F"/>
    <w:rsid w:val="00AC7F1F"/>
    <w:rsid w:val="00AD0163"/>
    <w:rsid w:val="00AD0217"/>
    <w:rsid w:val="00AD0A9C"/>
    <w:rsid w:val="00AD0BDB"/>
    <w:rsid w:val="00AD0F72"/>
    <w:rsid w:val="00AD13BF"/>
    <w:rsid w:val="00AD182C"/>
    <w:rsid w:val="00AD2671"/>
    <w:rsid w:val="00AD26F4"/>
    <w:rsid w:val="00AD2B1E"/>
    <w:rsid w:val="00AD3869"/>
    <w:rsid w:val="00AD3BAD"/>
    <w:rsid w:val="00AD4B22"/>
    <w:rsid w:val="00AD501E"/>
    <w:rsid w:val="00AD50D7"/>
    <w:rsid w:val="00AD64C2"/>
    <w:rsid w:val="00AD6693"/>
    <w:rsid w:val="00AD6B3F"/>
    <w:rsid w:val="00AD7B14"/>
    <w:rsid w:val="00AD7D6D"/>
    <w:rsid w:val="00AE06C4"/>
    <w:rsid w:val="00AE0D98"/>
    <w:rsid w:val="00AE0FA8"/>
    <w:rsid w:val="00AE14C3"/>
    <w:rsid w:val="00AE20FB"/>
    <w:rsid w:val="00AE25F0"/>
    <w:rsid w:val="00AE2F30"/>
    <w:rsid w:val="00AE31EE"/>
    <w:rsid w:val="00AE32FA"/>
    <w:rsid w:val="00AE38B1"/>
    <w:rsid w:val="00AE4026"/>
    <w:rsid w:val="00AE41A5"/>
    <w:rsid w:val="00AE52A9"/>
    <w:rsid w:val="00AE52EF"/>
    <w:rsid w:val="00AE59F8"/>
    <w:rsid w:val="00AE5AB1"/>
    <w:rsid w:val="00AE5E65"/>
    <w:rsid w:val="00AE5FE5"/>
    <w:rsid w:val="00AE6702"/>
    <w:rsid w:val="00AE6958"/>
    <w:rsid w:val="00AE7284"/>
    <w:rsid w:val="00AE74B9"/>
    <w:rsid w:val="00AE7DD9"/>
    <w:rsid w:val="00AE7E69"/>
    <w:rsid w:val="00AE7F68"/>
    <w:rsid w:val="00AE7FE4"/>
    <w:rsid w:val="00AF0263"/>
    <w:rsid w:val="00AF0A64"/>
    <w:rsid w:val="00AF12B0"/>
    <w:rsid w:val="00AF1492"/>
    <w:rsid w:val="00AF14A7"/>
    <w:rsid w:val="00AF16D2"/>
    <w:rsid w:val="00AF20DA"/>
    <w:rsid w:val="00AF23AF"/>
    <w:rsid w:val="00AF2A63"/>
    <w:rsid w:val="00AF3462"/>
    <w:rsid w:val="00AF35D3"/>
    <w:rsid w:val="00AF35E6"/>
    <w:rsid w:val="00AF40E5"/>
    <w:rsid w:val="00AF4BB0"/>
    <w:rsid w:val="00AF5AC8"/>
    <w:rsid w:val="00AF61BF"/>
    <w:rsid w:val="00AF69C4"/>
    <w:rsid w:val="00AF71B6"/>
    <w:rsid w:val="00AF7384"/>
    <w:rsid w:val="00AF793F"/>
    <w:rsid w:val="00AF7B33"/>
    <w:rsid w:val="00AF7B80"/>
    <w:rsid w:val="00B00253"/>
    <w:rsid w:val="00B00A60"/>
    <w:rsid w:val="00B01120"/>
    <w:rsid w:val="00B0159C"/>
    <w:rsid w:val="00B01927"/>
    <w:rsid w:val="00B01E97"/>
    <w:rsid w:val="00B01F06"/>
    <w:rsid w:val="00B01F6F"/>
    <w:rsid w:val="00B02222"/>
    <w:rsid w:val="00B0289B"/>
    <w:rsid w:val="00B03C13"/>
    <w:rsid w:val="00B0466C"/>
    <w:rsid w:val="00B05A40"/>
    <w:rsid w:val="00B05DBF"/>
    <w:rsid w:val="00B060A4"/>
    <w:rsid w:val="00B06114"/>
    <w:rsid w:val="00B06DE8"/>
    <w:rsid w:val="00B06E47"/>
    <w:rsid w:val="00B07F5C"/>
    <w:rsid w:val="00B10156"/>
    <w:rsid w:val="00B10615"/>
    <w:rsid w:val="00B10719"/>
    <w:rsid w:val="00B107D4"/>
    <w:rsid w:val="00B10A61"/>
    <w:rsid w:val="00B11DEA"/>
    <w:rsid w:val="00B13027"/>
    <w:rsid w:val="00B139FE"/>
    <w:rsid w:val="00B13B5B"/>
    <w:rsid w:val="00B13CD5"/>
    <w:rsid w:val="00B141D9"/>
    <w:rsid w:val="00B1421D"/>
    <w:rsid w:val="00B145C0"/>
    <w:rsid w:val="00B14989"/>
    <w:rsid w:val="00B14AC0"/>
    <w:rsid w:val="00B150F5"/>
    <w:rsid w:val="00B151C9"/>
    <w:rsid w:val="00B1543B"/>
    <w:rsid w:val="00B15C73"/>
    <w:rsid w:val="00B15D24"/>
    <w:rsid w:val="00B16105"/>
    <w:rsid w:val="00B167A9"/>
    <w:rsid w:val="00B16CA0"/>
    <w:rsid w:val="00B16FA2"/>
    <w:rsid w:val="00B1712C"/>
    <w:rsid w:val="00B17DB8"/>
    <w:rsid w:val="00B201A8"/>
    <w:rsid w:val="00B204D3"/>
    <w:rsid w:val="00B20A63"/>
    <w:rsid w:val="00B20B16"/>
    <w:rsid w:val="00B2134C"/>
    <w:rsid w:val="00B214EA"/>
    <w:rsid w:val="00B2220C"/>
    <w:rsid w:val="00B227CE"/>
    <w:rsid w:val="00B2315E"/>
    <w:rsid w:val="00B23938"/>
    <w:rsid w:val="00B23CD0"/>
    <w:rsid w:val="00B23EE6"/>
    <w:rsid w:val="00B25DC5"/>
    <w:rsid w:val="00B25E4A"/>
    <w:rsid w:val="00B2622F"/>
    <w:rsid w:val="00B26790"/>
    <w:rsid w:val="00B26D94"/>
    <w:rsid w:val="00B26E07"/>
    <w:rsid w:val="00B272EC"/>
    <w:rsid w:val="00B275F4"/>
    <w:rsid w:val="00B27CF9"/>
    <w:rsid w:val="00B27FDF"/>
    <w:rsid w:val="00B30776"/>
    <w:rsid w:val="00B30851"/>
    <w:rsid w:val="00B3104A"/>
    <w:rsid w:val="00B3155E"/>
    <w:rsid w:val="00B317DB"/>
    <w:rsid w:val="00B320F8"/>
    <w:rsid w:val="00B32173"/>
    <w:rsid w:val="00B327B1"/>
    <w:rsid w:val="00B3312E"/>
    <w:rsid w:val="00B33B75"/>
    <w:rsid w:val="00B33C80"/>
    <w:rsid w:val="00B33F03"/>
    <w:rsid w:val="00B34310"/>
    <w:rsid w:val="00B34315"/>
    <w:rsid w:val="00B34709"/>
    <w:rsid w:val="00B34997"/>
    <w:rsid w:val="00B34C62"/>
    <w:rsid w:val="00B352D9"/>
    <w:rsid w:val="00B355CD"/>
    <w:rsid w:val="00B35AF4"/>
    <w:rsid w:val="00B365C9"/>
    <w:rsid w:val="00B36D5F"/>
    <w:rsid w:val="00B370A6"/>
    <w:rsid w:val="00B37659"/>
    <w:rsid w:val="00B37CC2"/>
    <w:rsid w:val="00B4012E"/>
    <w:rsid w:val="00B4033A"/>
    <w:rsid w:val="00B40942"/>
    <w:rsid w:val="00B4193F"/>
    <w:rsid w:val="00B4197E"/>
    <w:rsid w:val="00B41D78"/>
    <w:rsid w:val="00B41D89"/>
    <w:rsid w:val="00B41F04"/>
    <w:rsid w:val="00B42B27"/>
    <w:rsid w:val="00B444B3"/>
    <w:rsid w:val="00B445FA"/>
    <w:rsid w:val="00B44A08"/>
    <w:rsid w:val="00B450E2"/>
    <w:rsid w:val="00B4543D"/>
    <w:rsid w:val="00B45477"/>
    <w:rsid w:val="00B455E4"/>
    <w:rsid w:val="00B45FB3"/>
    <w:rsid w:val="00B46038"/>
    <w:rsid w:val="00B46BCA"/>
    <w:rsid w:val="00B46C31"/>
    <w:rsid w:val="00B46EA5"/>
    <w:rsid w:val="00B47921"/>
    <w:rsid w:val="00B507D5"/>
    <w:rsid w:val="00B51112"/>
    <w:rsid w:val="00B5115F"/>
    <w:rsid w:val="00B513A8"/>
    <w:rsid w:val="00B51492"/>
    <w:rsid w:val="00B5178F"/>
    <w:rsid w:val="00B51990"/>
    <w:rsid w:val="00B51BDB"/>
    <w:rsid w:val="00B51E3E"/>
    <w:rsid w:val="00B5239E"/>
    <w:rsid w:val="00B52467"/>
    <w:rsid w:val="00B5248E"/>
    <w:rsid w:val="00B52F28"/>
    <w:rsid w:val="00B5335A"/>
    <w:rsid w:val="00B535B6"/>
    <w:rsid w:val="00B53F88"/>
    <w:rsid w:val="00B54251"/>
    <w:rsid w:val="00B544C3"/>
    <w:rsid w:val="00B549B2"/>
    <w:rsid w:val="00B5548C"/>
    <w:rsid w:val="00B555B9"/>
    <w:rsid w:val="00B55C3E"/>
    <w:rsid w:val="00B5605A"/>
    <w:rsid w:val="00B565F0"/>
    <w:rsid w:val="00B56BA1"/>
    <w:rsid w:val="00B56D96"/>
    <w:rsid w:val="00B57536"/>
    <w:rsid w:val="00B5798D"/>
    <w:rsid w:val="00B60810"/>
    <w:rsid w:val="00B608DD"/>
    <w:rsid w:val="00B60BDE"/>
    <w:rsid w:val="00B60DC6"/>
    <w:rsid w:val="00B60EEB"/>
    <w:rsid w:val="00B611A9"/>
    <w:rsid w:val="00B618C7"/>
    <w:rsid w:val="00B61F66"/>
    <w:rsid w:val="00B6209C"/>
    <w:rsid w:val="00B624D9"/>
    <w:rsid w:val="00B62C6F"/>
    <w:rsid w:val="00B632A0"/>
    <w:rsid w:val="00B63681"/>
    <w:rsid w:val="00B64AF3"/>
    <w:rsid w:val="00B657E4"/>
    <w:rsid w:val="00B65F5C"/>
    <w:rsid w:val="00B66775"/>
    <w:rsid w:val="00B6694A"/>
    <w:rsid w:val="00B6775F"/>
    <w:rsid w:val="00B70077"/>
    <w:rsid w:val="00B7057E"/>
    <w:rsid w:val="00B71639"/>
    <w:rsid w:val="00B735A8"/>
    <w:rsid w:val="00B73765"/>
    <w:rsid w:val="00B7395C"/>
    <w:rsid w:val="00B73DC1"/>
    <w:rsid w:val="00B7485A"/>
    <w:rsid w:val="00B74C5A"/>
    <w:rsid w:val="00B74DD0"/>
    <w:rsid w:val="00B75084"/>
    <w:rsid w:val="00B7536C"/>
    <w:rsid w:val="00B75792"/>
    <w:rsid w:val="00B75AC7"/>
    <w:rsid w:val="00B75C04"/>
    <w:rsid w:val="00B762FB"/>
    <w:rsid w:val="00B76A65"/>
    <w:rsid w:val="00B76BED"/>
    <w:rsid w:val="00B77165"/>
    <w:rsid w:val="00B77385"/>
    <w:rsid w:val="00B7788D"/>
    <w:rsid w:val="00B779E9"/>
    <w:rsid w:val="00B77F78"/>
    <w:rsid w:val="00B806B0"/>
    <w:rsid w:val="00B807B3"/>
    <w:rsid w:val="00B80A09"/>
    <w:rsid w:val="00B80A76"/>
    <w:rsid w:val="00B80B2D"/>
    <w:rsid w:val="00B8115E"/>
    <w:rsid w:val="00B81372"/>
    <w:rsid w:val="00B814AD"/>
    <w:rsid w:val="00B814DD"/>
    <w:rsid w:val="00B816DD"/>
    <w:rsid w:val="00B8173D"/>
    <w:rsid w:val="00B826C6"/>
    <w:rsid w:val="00B82981"/>
    <w:rsid w:val="00B83417"/>
    <w:rsid w:val="00B83B00"/>
    <w:rsid w:val="00B83C2B"/>
    <w:rsid w:val="00B83C3A"/>
    <w:rsid w:val="00B841D2"/>
    <w:rsid w:val="00B85143"/>
    <w:rsid w:val="00B852D4"/>
    <w:rsid w:val="00B866AB"/>
    <w:rsid w:val="00B86B90"/>
    <w:rsid w:val="00B86B92"/>
    <w:rsid w:val="00B87050"/>
    <w:rsid w:val="00B875D7"/>
    <w:rsid w:val="00B8787B"/>
    <w:rsid w:val="00B87DFB"/>
    <w:rsid w:val="00B87EB6"/>
    <w:rsid w:val="00B903E7"/>
    <w:rsid w:val="00B90613"/>
    <w:rsid w:val="00B90CC4"/>
    <w:rsid w:val="00B90D75"/>
    <w:rsid w:val="00B90F80"/>
    <w:rsid w:val="00B91B59"/>
    <w:rsid w:val="00B91F80"/>
    <w:rsid w:val="00B924E8"/>
    <w:rsid w:val="00B932E6"/>
    <w:rsid w:val="00B9371F"/>
    <w:rsid w:val="00B939D8"/>
    <w:rsid w:val="00B93A25"/>
    <w:rsid w:val="00B93E19"/>
    <w:rsid w:val="00B941CC"/>
    <w:rsid w:val="00B9532A"/>
    <w:rsid w:val="00B9540B"/>
    <w:rsid w:val="00B95BA9"/>
    <w:rsid w:val="00B95D8F"/>
    <w:rsid w:val="00B96227"/>
    <w:rsid w:val="00B9684A"/>
    <w:rsid w:val="00B96D40"/>
    <w:rsid w:val="00B975D4"/>
    <w:rsid w:val="00BA020A"/>
    <w:rsid w:val="00BA04D6"/>
    <w:rsid w:val="00BA08C0"/>
    <w:rsid w:val="00BA0BEB"/>
    <w:rsid w:val="00BA0C37"/>
    <w:rsid w:val="00BA0C8B"/>
    <w:rsid w:val="00BA0CDE"/>
    <w:rsid w:val="00BA0E60"/>
    <w:rsid w:val="00BA0FCF"/>
    <w:rsid w:val="00BA110B"/>
    <w:rsid w:val="00BA1284"/>
    <w:rsid w:val="00BA12A2"/>
    <w:rsid w:val="00BA1771"/>
    <w:rsid w:val="00BA1928"/>
    <w:rsid w:val="00BA1C93"/>
    <w:rsid w:val="00BA1F5F"/>
    <w:rsid w:val="00BA2B77"/>
    <w:rsid w:val="00BA3283"/>
    <w:rsid w:val="00BA3D61"/>
    <w:rsid w:val="00BA41F5"/>
    <w:rsid w:val="00BA4270"/>
    <w:rsid w:val="00BA45A6"/>
    <w:rsid w:val="00BA4A00"/>
    <w:rsid w:val="00BA52DF"/>
    <w:rsid w:val="00BA5301"/>
    <w:rsid w:val="00BA63E6"/>
    <w:rsid w:val="00BA6540"/>
    <w:rsid w:val="00BA6AF3"/>
    <w:rsid w:val="00BA6DFB"/>
    <w:rsid w:val="00BA6EFA"/>
    <w:rsid w:val="00BA788C"/>
    <w:rsid w:val="00BA79ED"/>
    <w:rsid w:val="00BA7F1A"/>
    <w:rsid w:val="00BB03C2"/>
    <w:rsid w:val="00BB0B7C"/>
    <w:rsid w:val="00BB0DA6"/>
    <w:rsid w:val="00BB115C"/>
    <w:rsid w:val="00BB1D62"/>
    <w:rsid w:val="00BB24B5"/>
    <w:rsid w:val="00BB2D1F"/>
    <w:rsid w:val="00BB31E9"/>
    <w:rsid w:val="00BB4374"/>
    <w:rsid w:val="00BB450E"/>
    <w:rsid w:val="00BB45D6"/>
    <w:rsid w:val="00BB4796"/>
    <w:rsid w:val="00BB4AF2"/>
    <w:rsid w:val="00BB4BC6"/>
    <w:rsid w:val="00BB4C3E"/>
    <w:rsid w:val="00BB59F3"/>
    <w:rsid w:val="00BB5AFD"/>
    <w:rsid w:val="00BB622D"/>
    <w:rsid w:val="00BB69FE"/>
    <w:rsid w:val="00BB724F"/>
    <w:rsid w:val="00BC010F"/>
    <w:rsid w:val="00BC0623"/>
    <w:rsid w:val="00BC099E"/>
    <w:rsid w:val="00BC0A4F"/>
    <w:rsid w:val="00BC166F"/>
    <w:rsid w:val="00BC23BD"/>
    <w:rsid w:val="00BC25DB"/>
    <w:rsid w:val="00BC2F54"/>
    <w:rsid w:val="00BC38EF"/>
    <w:rsid w:val="00BC4B01"/>
    <w:rsid w:val="00BC4BC8"/>
    <w:rsid w:val="00BC536C"/>
    <w:rsid w:val="00BC5606"/>
    <w:rsid w:val="00BC5D82"/>
    <w:rsid w:val="00BC5EF7"/>
    <w:rsid w:val="00BC5F2E"/>
    <w:rsid w:val="00BC603F"/>
    <w:rsid w:val="00BC6667"/>
    <w:rsid w:val="00BC6E02"/>
    <w:rsid w:val="00BC6FE1"/>
    <w:rsid w:val="00BC7143"/>
    <w:rsid w:val="00BC7162"/>
    <w:rsid w:val="00BC731D"/>
    <w:rsid w:val="00BC778C"/>
    <w:rsid w:val="00BC7832"/>
    <w:rsid w:val="00BC7FE7"/>
    <w:rsid w:val="00BD04A4"/>
    <w:rsid w:val="00BD1863"/>
    <w:rsid w:val="00BD1F70"/>
    <w:rsid w:val="00BD224E"/>
    <w:rsid w:val="00BD2AD1"/>
    <w:rsid w:val="00BD3D07"/>
    <w:rsid w:val="00BD3F8C"/>
    <w:rsid w:val="00BD412D"/>
    <w:rsid w:val="00BD51DC"/>
    <w:rsid w:val="00BD51FD"/>
    <w:rsid w:val="00BD526B"/>
    <w:rsid w:val="00BD5320"/>
    <w:rsid w:val="00BD5388"/>
    <w:rsid w:val="00BD628D"/>
    <w:rsid w:val="00BD661A"/>
    <w:rsid w:val="00BD668E"/>
    <w:rsid w:val="00BD680B"/>
    <w:rsid w:val="00BD6BF5"/>
    <w:rsid w:val="00BD6C56"/>
    <w:rsid w:val="00BD6D01"/>
    <w:rsid w:val="00BE013C"/>
    <w:rsid w:val="00BE05E7"/>
    <w:rsid w:val="00BE0971"/>
    <w:rsid w:val="00BE0A26"/>
    <w:rsid w:val="00BE0C1E"/>
    <w:rsid w:val="00BE154C"/>
    <w:rsid w:val="00BE27C4"/>
    <w:rsid w:val="00BE2DAD"/>
    <w:rsid w:val="00BE2E78"/>
    <w:rsid w:val="00BE2F02"/>
    <w:rsid w:val="00BE3026"/>
    <w:rsid w:val="00BE3E9F"/>
    <w:rsid w:val="00BE3FE9"/>
    <w:rsid w:val="00BE47F4"/>
    <w:rsid w:val="00BE4FAA"/>
    <w:rsid w:val="00BE509C"/>
    <w:rsid w:val="00BE5EA4"/>
    <w:rsid w:val="00BE6B72"/>
    <w:rsid w:val="00BE6B89"/>
    <w:rsid w:val="00BE72A7"/>
    <w:rsid w:val="00BE768A"/>
    <w:rsid w:val="00BF012F"/>
    <w:rsid w:val="00BF0175"/>
    <w:rsid w:val="00BF05D8"/>
    <w:rsid w:val="00BF0B77"/>
    <w:rsid w:val="00BF16B6"/>
    <w:rsid w:val="00BF1D20"/>
    <w:rsid w:val="00BF20D2"/>
    <w:rsid w:val="00BF4177"/>
    <w:rsid w:val="00BF4A7E"/>
    <w:rsid w:val="00BF4AB7"/>
    <w:rsid w:val="00BF4E71"/>
    <w:rsid w:val="00BF5422"/>
    <w:rsid w:val="00BF6201"/>
    <w:rsid w:val="00BF6DB0"/>
    <w:rsid w:val="00BF788F"/>
    <w:rsid w:val="00BF7905"/>
    <w:rsid w:val="00BF79BD"/>
    <w:rsid w:val="00C00D99"/>
    <w:rsid w:val="00C0106D"/>
    <w:rsid w:val="00C0142E"/>
    <w:rsid w:val="00C0146D"/>
    <w:rsid w:val="00C01ED0"/>
    <w:rsid w:val="00C02069"/>
    <w:rsid w:val="00C02763"/>
    <w:rsid w:val="00C034C8"/>
    <w:rsid w:val="00C03667"/>
    <w:rsid w:val="00C03BA7"/>
    <w:rsid w:val="00C03F53"/>
    <w:rsid w:val="00C040A6"/>
    <w:rsid w:val="00C04174"/>
    <w:rsid w:val="00C04526"/>
    <w:rsid w:val="00C04BCE"/>
    <w:rsid w:val="00C04D1E"/>
    <w:rsid w:val="00C0534F"/>
    <w:rsid w:val="00C05362"/>
    <w:rsid w:val="00C055AA"/>
    <w:rsid w:val="00C05A64"/>
    <w:rsid w:val="00C05A8C"/>
    <w:rsid w:val="00C0623C"/>
    <w:rsid w:val="00C063D5"/>
    <w:rsid w:val="00C06DBD"/>
    <w:rsid w:val="00C07977"/>
    <w:rsid w:val="00C07DCD"/>
    <w:rsid w:val="00C07F8F"/>
    <w:rsid w:val="00C1048C"/>
    <w:rsid w:val="00C10823"/>
    <w:rsid w:val="00C11113"/>
    <w:rsid w:val="00C11556"/>
    <w:rsid w:val="00C116ED"/>
    <w:rsid w:val="00C11CB2"/>
    <w:rsid w:val="00C11F96"/>
    <w:rsid w:val="00C124C3"/>
    <w:rsid w:val="00C128FC"/>
    <w:rsid w:val="00C12CBF"/>
    <w:rsid w:val="00C132A4"/>
    <w:rsid w:val="00C13F56"/>
    <w:rsid w:val="00C14CCD"/>
    <w:rsid w:val="00C15440"/>
    <w:rsid w:val="00C15EE8"/>
    <w:rsid w:val="00C16143"/>
    <w:rsid w:val="00C16473"/>
    <w:rsid w:val="00C1696C"/>
    <w:rsid w:val="00C16E23"/>
    <w:rsid w:val="00C16F90"/>
    <w:rsid w:val="00C17259"/>
    <w:rsid w:val="00C174A6"/>
    <w:rsid w:val="00C176C8"/>
    <w:rsid w:val="00C2047B"/>
    <w:rsid w:val="00C20488"/>
    <w:rsid w:val="00C2154A"/>
    <w:rsid w:val="00C22172"/>
    <w:rsid w:val="00C221B9"/>
    <w:rsid w:val="00C22599"/>
    <w:rsid w:val="00C22963"/>
    <w:rsid w:val="00C231BA"/>
    <w:rsid w:val="00C23379"/>
    <w:rsid w:val="00C24035"/>
    <w:rsid w:val="00C24AA4"/>
    <w:rsid w:val="00C24ECE"/>
    <w:rsid w:val="00C252FB"/>
    <w:rsid w:val="00C2550B"/>
    <w:rsid w:val="00C2581B"/>
    <w:rsid w:val="00C25A0A"/>
    <w:rsid w:val="00C2693D"/>
    <w:rsid w:val="00C27275"/>
    <w:rsid w:val="00C27706"/>
    <w:rsid w:val="00C30566"/>
    <w:rsid w:val="00C308E3"/>
    <w:rsid w:val="00C30AB5"/>
    <w:rsid w:val="00C313C0"/>
    <w:rsid w:val="00C31886"/>
    <w:rsid w:val="00C318F2"/>
    <w:rsid w:val="00C326C5"/>
    <w:rsid w:val="00C326FD"/>
    <w:rsid w:val="00C32ACC"/>
    <w:rsid w:val="00C33277"/>
    <w:rsid w:val="00C335A1"/>
    <w:rsid w:val="00C33F84"/>
    <w:rsid w:val="00C34191"/>
    <w:rsid w:val="00C346D9"/>
    <w:rsid w:val="00C35251"/>
    <w:rsid w:val="00C356D0"/>
    <w:rsid w:val="00C35D58"/>
    <w:rsid w:val="00C407A9"/>
    <w:rsid w:val="00C40B2F"/>
    <w:rsid w:val="00C41316"/>
    <w:rsid w:val="00C41355"/>
    <w:rsid w:val="00C416E6"/>
    <w:rsid w:val="00C41F99"/>
    <w:rsid w:val="00C42264"/>
    <w:rsid w:val="00C42C24"/>
    <w:rsid w:val="00C44E94"/>
    <w:rsid w:val="00C451B7"/>
    <w:rsid w:val="00C4538B"/>
    <w:rsid w:val="00C460D6"/>
    <w:rsid w:val="00C462AB"/>
    <w:rsid w:val="00C46320"/>
    <w:rsid w:val="00C46541"/>
    <w:rsid w:val="00C46D10"/>
    <w:rsid w:val="00C47125"/>
    <w:rsid w:val="00C47FDF"/>
    <w:rsid w:val="00C508C0"/>
    <w:rsid w:val="00C5118B"/>
    <w:rsid w:val="00C5164B"/>
    <w:rsid w:val="00C52BBE"/>
    <w:rsid w:val="00C52E67"/>
    <w:rsid w:val="00C52EF0"/>
    <w:rsid w:val="00C531BE"/>
    <w:rsid w:val="00C534E3"/>
    <w:rsid w:val="00C53544"/>
    <w:rsid w:val="00C54033"/>
    <w:rsid w:val="00C54152"/>
    <w:rsid w:val="00C5417B"/>
    <w:rsid w:val="00C546C9"/>
    <w:rsid w:val="00C5470E"/>
    <w:rsid w:val="00C55668"/>
    <w:rsid w:val="00C55EF2"/>
    <w:rsid w:val="00C55F0E"/>
    <w:rsid w:val="00C562B6"/>
    <w:rsid w:val="00C56A98"/>
    <w:rsid w:val="00C56C7B"/>
    <w:rsid w:val="00C57A05"/>
    <w:rsid w:val="00C57D5E"/>
    <w:rsid w:val="00C60303"/>
    <w:rsid w:val="00C604CC"/>
    <w:rsid w:val="00C61016"/>
    <w:rsid w:val="00C610D5"/>
    <w:rsid w:val="00C6157A"/>
    <w:rsid w:val="00C61C70"/>
    <w:rsid w:val="00C61D50"/>
    <w:rsid w:val="00C61EB5"/>
    <w:rsid w:val="00C620CD"/>
    <w:rsid w:val="00C62746"/>
    <w:rsid w:val="00C62A5F"/>
    <w:rsid w:val="00C63002"/>
    <w:rsid w:val="00C634B5"/>
    <w:rsid w:val="00C6442D"/>
    <w:rsid w:val="00C64728"/>
    <w:rsid w:val="00C65A0C"/>
    <w:rsid w:val="00C661EA"/>
    <w:rsid w:val="00C66302"/>
    <w:rsid w:val="00C6647A"/>
    <w:rsid w:val="00C66A17"/>
    <w:rsid w:val="00C67151"/>
    <w:rsid w:val="00C6715F"/>
    <w:rsid w:val="00C6720F"/>
    <w:rsid w:val="00C6787D"/>
    <w:rsid w:val="00C67A68"/>
    <w:rsid w:val="00C70B22"/>
    <w:rsid w:val="00C7157E"/>
    <w:rsid w:val="00C71581"/>
    <w:rsid w:val="00C721F3"/>
    <w:rsid w:val="00C72417"/>
    <w:rsid w:val="00C7245F"/>
    <w:rsid w:val="00C72538"/>
    <w:rsid w:val="00C72539"/>
    <w:rsid w:val="00C72624"/>
    <w:rsid w:val="00C72952"/>
    <w:rsid w:val="00C72BA7"/>
    <w:rsid w:val="00C72CF3"/>
    <w:rsid w:val="00C7317E"/>
    <w:rsid w:val="00C7321B"/>
    <w:rsid w:val="00C736D8"/>
    <w:rsid w:val="00C73B47"/>
    <w:rsid w:val="00C74728"/>
    <w:rsid w:val="00C74929"/>
    <w:rsid w:val="00C75297"/>
    <w:rsid w:val="00C752D0"/>
    <w:rsid w:val="00C75D6E"/>
    <w:rsid w:val="00C764FB"/>
    <w:rsid w:val="00C765A9"/>
    <w:rsid w:val="00C769E0"/>
    <w:rsid w:val="00C76A3A"/>
    <w:rsid w:val="00C775AF"/>
    <w:rsid w:val="00C80365"/>
    <w:rsid w:val="00C8039E"/>
    <w:rsid w:val="00C805FF"/>
    <w:rsid w:val="00C818CB"/>
    <w:rsid w:val="00C821E4"/>
    <w:rsid w:val="00C8222B"/>
    <w:rsid w:val="00C82C70"/>
    <w:rsid w:val="00C82F3E"/>
    <w:rsid w:val="00C83258"/>
    <w:rsid w:val="00C8459B"/>
    <w:rsid w:val="00C84926"/>
    <w:rsid w:val="00C84A0A"/>
    <w:rsid w:val="00C84DE0"/>
    <w:rsid w:val="00C85AAB"/>
    <w:rsid w:val="00C86564"/>
    <w:rsid w:val="00C8663F"/>
    <w:rsid w:val="00C8792D"/>
    <w:rsid w:val="00C909C6"/>
    <w:rsid w:val="00C90EE4"/>
    <w:rsid w:val="00C91109"/>
    <w:rsid w:val="00C91E8C"/>
    <w:rsid w:val="00C922AD"/>
    <w:rsid w:val="00C925B4"/>
    <w:rsid w:val="00C92B6B"/>
    <w:rsid w:val="00C92F2D"/>
    <w:rsid w:val="00C93071"/>
    <w:rsid w:val="00C934A6"/>
    <w:rsid w:val="00C93BD1"/>
    <w:rsid w:val="00C93BFA"/>
    <w:rsid w:val="00C93F28"/>
    <w:rsid w:val="00C93F35"/>
    <w:rsid w:val="00C947EA"/>
    <w:rsid w:val="00C9489B"/>
    <w:rsid w:val="00C94932"/>
    <w:rsid w:val="00C9499C"/>
    <w:rsid w:val="00C94DE4"/>
    <w:rsid w:val="00C94E46"/>
    <w:rsid w:val="00C94F72"/>
    <w:rsid w:val="00C95747"/>
    <w:rsid w:val="00C961FF"/>
    <w:rsid w:val="00C965A5"/>
    <w:rsid w:val="00C967E1"/>
    <w:rsid w:val="00C969EB"/>
    <w:rsid w:val="00C96BA8"/>
    <w:rsid w:val="00C9740C"/>
    <w:rsid w:val="00C977B4"/>
    <w:rsid w:val="00CA085B"/>
    <w:rsid w:val="00CA19F9"/>
    <w:rsid w:val="00CA1C4F"/>
    <w:rsid w:val="00CA1E12"/>
    <w:rsid w:val="00CA22E3"/>
    <w:rsid w:val="00CA2406"/>
    <w:rsid w:val="00CA2850"/>
    <w:rsid w:val="00CA2CBA"/>
    <w:rsid w:val="00CA3016"/>
    <w:rsid w:val="00CA37A0"/>
    <w:rsid w:val="00CA38E8"/>
    <w:rsid w:val="00CA445E"/>
    <w:rsid w:val="00CA48D6"/>
    <w:rsid w:val="00CA4E06"/>
    <w:rsid w:val="00CA50EA"/>
    <w:rsid w:val="00CA50EB"/>
    <w:rsid w:val="00CA537B"/>
    <w:rsid w:val="00CA64C2"/>
    <w:rsid w:val="00CA67C0"/>
    <w:rsid w:val="00CA6948"/>
    <w:rsid w:val="00CA6A05"/>
    <w:rsid w:val="00CA6B15"/>
    <w:rsid w:val="00CA71AA"/>
    <w:rsid w:val="00CA731C"/>
    <w:rsid w:val="00CA7355"/>
    <w:rsid w:val="00CA7E37"/>
    <w:rsid w:val="00CA7F59"/>
    <w:rsid w:val="00CB02C5"/>
    <w:rsid w:val="00CB032B"/>
    <w:rsid w:val="00CB1424"/>
    <w:rsid w:val="00CB1777"/>
    <w:rsid w:val="00CB2011"/>
    <w:rsid w:val="00CB22F8"/>
    <w:rsid w:val="00CB267C"/>
    <w:rsid w:val="00CB2B7E"/>
    <w:rsid w:val="00CB34C0"/>
    <w:rsid w:val="00CB41AE"/>
    <w:rsid w:val="00CB4415"/>
    <w:rsid w:val="00CB4786"/>
    <w:rsid w:val="00CB49D1"/>
    <w:rsid w:val="00CB4F9A"/>
    <w:rsid w:val="00CB6518"/>
    <w:rsid w:val="00CB7136"/>
    <w:rsid w:val="00CB78C5"/>
    <w:rsid w:val="00CB7B25"/>
    <w:rsid w:val="00CB7E41"/>
    <w:rsid w:val="00CC0772"/>
    <w:rsid w:val="00CC0E1E"/>
    <w:rsid w:val="00CC1198"/>
    <w:rsid w:val="00CC162A"/>
    <w:rsid w:val="00CC1758"/>
    <w:rsid w:val="00CC1FC6"/>
    <w:rsid w:val="00CC20FE"/>
    <w:rsid w:val="00CC2148"/>
    <w:rsid w:val="00CC29E3"/>
    <w:rsid w:val="00CC39A8"/>
    <w:rsid w:val="00CC3E06"/>
    <w:rsid w:val="00CC4A18"/>
    <w:rsid w:val="00CC4B9B"/>
    <w:rsid w:val="00CC4F00"/>
    <w:rsid w:val="00CC4F8D"/>
    <w:rsid w:val="00CC5655"/>
    <w:rsid w:val="00CC624D"/>
    <w:rsid w:val="00CC661B"/>
    <w:rsid w:val="00CC6AB6"/>
    <w:rsid w:val="00CC6D20"/>
    <w:rsid w:val="00CC7597"/>
    <w:rsid w:val="00CD00AB"/>
    <w:rsid w:val="00CD083D"/>
    <w:rsid w:val="00CD0D04"/>
    <w:rsid w:val="00CD0E38"/>
    <w:rsid w:val="00CD0F11"/>
    <w:rsid w:val="00CD12A2"/>
    <w:rsid w:val="00CD1820"/>
    <w:rsid w:val="00CD199F"/>
    <w:rsid w:val="00CD24D7"/>
    <w:rsid w:val="00CD29E3"/>
    <w:rsid w:val="00CD2AE7"/>
    <w:rsid w:val="00CD2BD0"/>
    <w:rsid w:val="00CD39E6"/>
    <w:rsid w:val="00CD3CED"/>
    <w:rsid w:val="00CD434C"/>
    <w:rsid w:val="00CD472B"/>
    <w:rsid w:val="00CD4B9F"/>
    <w:rsid w:val="00CD4C7B"/>
    <w:rsid w:val="00CD5198"/>
    <w:rsid w:val="00CD5224"/>
    <w:rsid w:val="00CD54F0"/>
    <w:rsid w:val="00CD56B2"/>
    <w:rsid w:val="00CD5FCB"/>
    <w:rsid w:val="00CD6B04"/>
    <w:rsid w:val="00CD7253"/>
    <w:rsid w:val="00CD7CB0"/>
    <w:rsid w:val="00CD7F7B"/>
    <w:rsid w:val="00CE05C4"/>
    <w:rsid w:val="00CE064A"/>
    <w:rsid w:val="00CE0A6B"/>
    <w:rsid w:val="00CE0F5A"/>
    <w:rsid w:val="00CE1C1F"/>
    <w:rsid w:val="00CE1D74"/>
    <w:rsid w:val="00CE21A8"/>
    <w:rsid w:val="00CE2336"/>
    <w:rsid w:val="00CE23B4"/>
    <w:rsid w:val="00CE2848"/>
    <w:rsid w:val="00CE2A16"/>
    <w:rsid w:val="00CE2D87"/>
    <w:rsid w:val="00CE3A39"/>
    <w:rsid w:val="00CE3C17"/>
    <w:rsid w:val="00CE3F11"/>
    <w:rsid w:val="00CE4488"/>
    <w:rsid w:val="00CE458B"/>
    <w:rsid w:val="00CE45AA"/>
    <w:rsid w:val="00CE47DC"/>
    <w:rsid w:val="00CE4FEB"/>
    <w:rsid w:val="00CE54FB"/>
    <w:rsid w:val="00CE604B"/>
    <w:rsid w:val="00CE632B"/>
    <w:rsid w:val="00CE665B"/>
    <w:rsid w:val="00CE69AE"/>
    <w:rsid w:val="00CE7188"/>
    <w:rsid w:val="00CE7B4C"/>
    <w:rsid w:val="00CE7CDE"/>
    <w:rsid w:val="00CF1E78"/>
    <w:rsid w:val="00CF2988"/>
    <w:rsid w:val="00CF2CF0"/>
    <w:rsid w:val="00CF2D74"/>
    <w:rsid w:val="00CF30BC"/>
    <w:rsid w:val="00CF32ED"/>
    <w:rsid w:val="00CF35B7"/>
    <w:rsid w:val="00CF3772"/>
    <w:rsid w:val="00CF37D6"/>
    <w:rsid w:val="00CF3B43"/>
    <w:rsid w:val="00CF4682"/>
    <w:rsid w:val="00CF48B7"/>
    <w:rsid w:val="00CF57C1"/>
    <w:rsid w:val="00CF58A6"/>
    <w:rsid w:val="00CF5DF3"/>
    <w:rsid w:val="00CF63FD"/>
    <w:rsid w:val="00CF6B13"/>
    <w:rsid w:val="00CF6DA9"/>
    <w:rsid w:val="00CF6F1D"/>
    <w:rsid w:val="00CF758C"/>
    <w:rsid w:val="00CF7623"/>
    <w:rsid w:val="00D0007E"/>
    <w:rsid w:val="00D006DB"/>
    <w:rsid w:val="00D00B52"/>
    <w:rsid w:val="00D012A4"/>
    <w:rsid w:val="00D0149C"/>
    <w:rsid w:val="00D01BEE"/>
    <w:rsid w:val="00D02481"/>
    <w:rsid w:val="00D02635"/>
    <w:rsid w:val="00D02760"/>
    <w:rsid w:val="00D02921"/>
    <w:rsid w:val="00D03149"/>
    <w:rsid w:val="00D03155"/>
    <w:rsid w:val="00D036C8"/>
    <w:rsid w:val="00D03C0E"/>
    <w:rsid w:val="00D03E28"/>
    <w:rsid w:val="00D040DB"/>
    <w:rsid w:val="00D04629"/>
    <w:rsid w:val="00D04A2B"/>
    <w:rsid w:val="00D05569"/>
    <w:rsid w:val="00D05A0C"/>
    <w:rsid w:val="00D05D3F"/>
    <w:rsid w:val="00D05DC4"/>
    <w:rsid w:val="00D05DCC"/>
    <w:rsid w:val="00D0621A"/>
    <w:rsid w:val="00D104B4"/>
    <w:rsid w:val="00D10519"/>
    <w:rsid w:val="00D107BA"/>
    <w:rsid w:val="00D108CA"/>
    <w:rsid w:val="00D10B2C"/>
    <w:rsid w:val="00D116DD"/>
    <w:rsid w:val="00D1177E"/>
    <w:rsid w:val="00D11EF2"/>
    <w:rsid w:val="00D1201D"/>
    <w:rsid w:val="00D120C3"/>
    <w:rsid w:val="00D121DD"/>
    <w:rsid w:val="00D1230E"/>
    <w:rsid w:val="00D12554"/>
    <w:rsid w:val="00D12B99"/>
    <w:rsid w:val="00D1308A"/>
    <w:rsid w:val="00D1317E"/>
    <w:rsid w:val="00D13554"/>
    <w:rsid w:val="00D13DB2"/>
    <w:rsid w:val="00D13F3D"/>
    <w:rsid w:val="00D14723"/>
    <w:rsid w:val="00D14DC5"/>
    <w:rsid w:val="00D15710"/>
    <w:rsid w:val="00D15961"/>
    <w:rsid w:val="00D15ACF"/>
    <w:rsid w:val="00D15F37"/>
    <w:rsid w:val="00D161FF"/>
    <w:rsid w:val="00D17018"/>
    <w:rsid w:val="00D17F8F"/>
    <w:rsid w:val="00D2087A"/>
    <w:rsid w:val="00D21397"/>
    <w:rsid w:val="00D2148A"/>
    <w:rsid w:val="00D219B2"/>
    <w:rsid w:val="00D21A6E"/>
    <w:rsid w:val="00D21E10"/>
    <w:rsid w:val="00D226CB"/>
    <w:rsid w:val="00D228C4"/>
    <w:rsid w:val="00D22940"/>
    <w:rsid w:val="00D22E0B"/>
    <w:rsid w:val="00D245F9"/>
    <w:rsid w:val="00D24F11"/>
    <w:rsid w:val="00D256ED"/>
    <w:rsid w:val="00D25D3D"/>
    <w:rsid w:val="00D25EA1"/>
    <w:rsid w:val="00D2691E"/>
    <w:rsid w:val="00D26CD3"/>
    <w:rsid w:val="00D26D96"/>
    <w:rsid w:val="00D27203"/>
    <w:rsid w:val="00D27985"/>
    <w:rsid w:val="00D27A17"/>
    <w:rsid w:val="00D27A93"/>
    <w:rsid w:val="00D304A8"/>
    <w:rsid w:val="00D30B16"/>
    <w:rsid w:val="00D31118"/>
    <w:rsid w:val="00D31728"/>
    <w:rsid w:val="00D317B1"/>
    <w:rsid w:val="00D318B6"/>
    <w:rsid w:val="00D31DB8"/>
    <w:rsid w:val="00D31E95"/>
    <w:rsid w:val="00D3256B"/>
    <w:rsid w:val="00D3283D"/>
    <w:rsid w:val="00D32A21"/>
    <w:rsid w:val="00D32FE7"/>
    <w:rsid w:val="00D33BF5"/>
    <w:rsid w:val="00D33FFD"/>
    <w:rsid w:val="00D3406E"/>
    <w:rsid w:val="00D3493B"/>
    <w:rsid w:val="00D34A33"/>
    <w:rsid w:val="00D3532C"/>
    <w:rsid w:val="00D358E8"/>
    <w:rsid w:val="00D36678"/>
    <w:rsid w:val="00D36B4E"/>
    <w:rsid w:val="00D36F71"/>
    <w:rsid w:val="00D37432"/>
    <w:rsid w:val="00D37F3D"/>
    <w:rsid w:val="00D40F6E"/>
    <w:rsid w:val="00D41BD0"/>
    <w:rsid w:val="00D41C01"/>
    <w:rsid w:val="00D42656"/>
    <w:rsid w:val="00D42C87"/>
    <w:rsid w:val="00D430FC"/>
    <w:rsid w:val="00D43211"/>
    <w:rsid w:val="00D44218"/>
    <w:rsid w:val="00D44960"/>
    <w:rsid w:val="00D449F5"/>
    <w:rsid w:val="00D44DC8"/>
    <w:rsid w:val="00D450CC"/>
    <w:rsid w:val="00D45839"/>
    <w:rsid w:val="00D4590F"/>
    <w:rsid w:val="00D45E58"/>
    <w:rsid w:val="00D46BFB"/>
    <w:rsid w:val="00D46D14"/>
    <w:rsid w:val="00D46DAB"/>
    <w:rsid w:val="00D46F99"/>
    <w:rsid w:val="00D4737E"/>
    <w:rsid w:val="00D473D5"/>
    <w:rsid w:val="00D4799A"/>
    <w:rsid w:val="00D47EDE"/>
    <w:rsid w:val="00D50281"/>
    <w:rsid w:val="00D50604"/>
    <w:rsid w:val="00D519EF"/>
    <w:rsid w:val="00D51A28"/>
    <w:rsid w:val="00D51F5B"/>
    <w:rsid w:val="00D5202F"/>
    <w:rsid w:val="00D520E9"/>
    <w:rsid w:val="00D52673"/>
    <w:rsid w:val="00D526E0"/>
    <w:rsid w:val="00D5283C"/>
    <w:rsid w:val="00D52B60"/>
    <w:rsid w:val="00D52D8F"/>
    <w:rsid w:val="00D52DA3"/>
    <w:rsid w:val="00D52EC6"/>
    <w:rsid w:val="00D5356B"/>
    <w:rsid w:val="00D53E2B"/>
    <w:rsid w:val="00D549C0"/>
    <w:rsid w:val="00D54B5E"/>
    <w:rsid w:val="00D54C81"/>
    <w:rsid w:val="00D54D72"/>
    <w:rsid w:val="00D54E73"/>
    <w:rsid w:val="00D55109"/>
    <w:rsid w:val="00D55179"/>
    <w:rsid w:val="00D5522A"/>
    <w:rsid w:val="00D55CAC"/>
    <w:rsid w:val="00D55EDF"/>
    <w:rsid w:val="00D5615B"/>
    <w:rsid w:val="00D564B4"/>
    <w:rsid w:val="00D5694B"/>
    <w:rsid w:val="00D5740A"/>
    <w:rsid w:val="00D57569"/>
    <w:rsid w:val="00D576AD"/>
    <w:rsid w:val="00D57F40"/>
    <w:rsid w:val="00D60B19"/>
    <w:rsid w:val="00D60C9E"/>
    <w:rsid w:val="00D60E13"/>
    <w:rsid w:val="00D61697"/>
    <w:rsid w:val="00D622FF"/>
    <w:rsid w:val="00D6306C"/>
    <w:rsid w:val="00D6345A"/>
    <w:rsid w:val="00D6388B"/>
    <w:rsid w:val="00D63CAC"/>
    <w:rsid w:val="00D63DC4"/>
    <w:rsid w:val="00D6430E"/>
    <w:rsid w:val="00D64324"/>
    <w:rsid w:val="00D64A06"/>
    <w:rsid w:val="00D65438"/>
    <w:rsid w:val="00D65A6B"/>
    <w:rsid w:val="00D65F66"/>
    <w:rsid w:val="00D66287"/>
    <w:rsid w:val="00D66951"/>
    <w:rsid w:val="00D669B7"/>
    <w:rsid w:val="00D66A00"/>
    <w:rsid w:val="00D674F5"/>
    <w:rsid w:val="00D67FE8"/>
    <w:rsid w:val="00D70461"/>
    <w:rsid w:val="00D7065C"/>
    <w:rsid w:val="00D70F62"/>
    <w:rsid w:val="00D70FBB"/>
    <w:rsid w:val="00D71245"/>
    <w:rsid w:val="00D72631"/>
    <w:rsid w:val="00D72CA9"/>
    <w:rsid w:val="00D72F5D"/>
    <w:rsid w:val="00D738DB"/>
    <w:rsid w:val="00D739F7"/>
    <w:rsid w:val="00D74053"/>
    <w:rsid w:val="00D75349"/>
    <w:rsid w:val="00D75741"/>
    <w:rsid w:val="00D7583C"/>
    <w:rsid w:val="00D75895"/>
    <w:rsid w:val="00D76773"/>
    <w:rsid w:val="00D76807"/>
    <w:rsid w:val="00D76A99"/>
    <w:rsid w:val="00D7778A"/>
    <w:rsid w:val="00D77DB8"/>
    <w:rsid w:val="00D80128"/>
    <w:rsid w:val="00D80448"/>
    <w:rsid w:val="00D80A0B"/>
    <w:rsid w:val="00D80A69"/>
    <w:rsid w:val="00D8141F"/>
    <w:rsid w:val="00D81834"/>
    <w:rsid w:val="00D82A1F"/>
    <w:rsid w:val="00D82A5C"/>
    <w:rsid w:val="00D82B2C"/>
    <w:rsid w:val="00D83F90"/>
    <w:rsid w:val="00D83FBD"/>
    <w:rsid w:val="00D8432E"/>
    <w:rsid w:val="00D85759"/>
    <w:rsid w:val="00D8586A"/>
    <w:rsid w:val="00D86195"/>
    <w:rsid w:val="00D861DE"/>
    <w:rsid w:val="00D86C34"/>
    <w:rsid w:val="00D87063"/>
    <w:rsid w:val="00D87649"/>
    <w:rsid w:val="00D87713"/>
    <w:rsid w:val="00D87C75"/>
    <w:rsid w:val="00D87DC8"/>
    <w:rsid w:val="00D9075E"/>
    <w:rsid w:val="00D918BB"/>
    <w:rsid w:val="00D924A0"/>
    <w:rsid w:val="00D924F0"/>
    <w:rsid w:val="00D92ACE"/>
    <w:rsid w:val="00D92E47"/>
    <w:rsid w:val="00D93A1A"/>
    <w:rsid w:val="00D94963"/>
    <w:rsid w:val="00D975B7"/>
    <w:rsid w:val="00DA043E"/>
    <w:rsid w:val="00DA0844"/>
    <w:rsid w:val="00DA0ADD"/>
    <w:rsid w:val="00DA2036"/>
    <w:rsid w:val="00DA232D"/>
    <w:rsid w:val="00DA2EBE"/>
    <w:rsid w:val="00DA2F5E"/>
    <w:rsid w:val="00DA32CC"/>
    <w:rsid w:val="00DA3BA0"/>
    <w:rsid w:val="00DA3DC8"/>
    <w:rsid w:val="00DA40E7"/>
    <w:rsid w:val="00DA447A"/>
    <w:rsid w:val="00DA4EC8"/>
    <w:rsid w:val="00DA56A2"/>
    <w:rsid w:val="00DA583D"/>
    <w:rsid w:val="00DA5D79"/>
    <w:rsid w:val="00DA5E66"/>
    <w:rsid w:val="00DA6121"/>
    <w:rsid w:val="00DA61AB"/>
    <w:rsid w:val="00DA676B"/>
    <w:rsid w:val="00DA708B"/>
    <w:rsid w:val="00DA70C2"/>
    <w:rsid w:val="00DA75BA"/>
    <w:rsid w:val="00DA765E"/>
    <w:rsid w:val="00DB0229"/>
    <w:rsid w:val="00DB05B0"/>
    <w:rsid w:val="00DB0CDA"/>
    <w:rsid w:val="00DB15C3"/>
    <w:rsid w:val="00DB161D"/>
    <w:rsid w:val="00DB1794"/>
    <w:rsid w:val="00DB1C82"/>
    <w:rsid w:val="00DB1D3C"/>
    <w:rsid w:val="00DB1EAB"/>
    <w:rsid w:val="00DB2A51"/>
    <w:rsid w:val="00DB2D27"/>
    <w:rsid w:val="00DB2ED0"/>
    <w:rsid w:val="00DB327C"/>
    <w:rsid w:val="00DB372D"/>
    <w:rsid w:val="00DB38C1"/>
    <w:rsid w:val="00DB3914"/>
    <w:rsid w:val="00DB3EFB"/>
    <w:rsid w:val="00DB41CA"/>
    <w:rsid w:val="00DB602B"/>
    <w:rsid w:val="00DB65D2"/>
    <w:rsid w:val="00DB7000"/>
    <w:rsid w:val="00DB7CDC"/>
    <w:rsid w:val="00DC0330"/>
    <w:rsid w:val="00DC1309"/>
    <w:rsid w:val="00DC13FC"/>
    <w:rsid w:val="00DC155C"/>
    <w:rsid w:val="00DC34D5"/>
    <w:rsid w:val="00DC366F"/>
    <w:rsid w:val="00DC372C"/>
    <w:rsid w:val="00DC398D"/>
    <w:rsid w:val="00DC453D"/>
    <w:rsid w:val="00DC4B2C"/>
    <w:rsid w:val="00DC50D5"/>
    <w:rsid w:val="00DC5C7A"/>
    <w:rsid w:val="00DC6595"/>
    <w:rsid w:val="00DC6738"/>
    <w:rsid w:val="00DC6ABC"/>
    <w:rsid w:val="00DC738D"/>
    <w:rsid w:val="00DC764C"/>
    <w:rsid w:val="00DC771B"/>
    <w:rsid w:val="00DC7E55"/>
    <w:rsid w:val="00DD011F"/>
    <w:rsid w:val="00DD0155"/>
    <w:rsid w:val="00DD0E77"/>
    <w:rsid w:val="00DD135A"/>
    <w:rsid w:val="00DD214E"/>
    <w:rsid w:val="00DD25F7"/>
    <w:rsid w:val="00DD2A22"/>
    <w:rsid w:val="00DD3312"/>
    <w:rsid w:val="00DD3468"/>
    <w:rsid w:val="00DD35AB"/>
    <w:rsid w:val="00DD3AEF"/>
    <w:rsid w:val="00DD3D49"/>
    <w:rsid w:val="00DD3EB6"/>
    <w:rsid w:val="00DD3F1D"/>
    <w:rsid w:val="00DD3FA1"/>
    <w:rsid w:val="00DD469C"/>
    <w:rsid w:val="00DD4AF5"/>
    <w:rsid w:val="00DD4CEB"/>
    <w:rsid w:val="00DD511F"/>
    <w:rsid w:val="00DD5727"/>
    <w:rsid w:val="00DD65CF"/>
    <w:rsid w:val="00DD69AA"/>
    <w:rsid w:val="00DD754B"/>
    <w:rsid w:val="00DD7BE7"/>
    <w:rsid w:val="00DD7E44"/>
    <w:rsid w:val="00DD7F6C"/>
    <w:rsid w:val="00DE00A2"/>
    <w:rsid w:val="00DE0567"/>
    <w:rsid w:val="00DE07D9"/>
    <w:rsid w:val="00DE127D"/>
    <w:rsid w:val="00DE194A"/>
    <w:rsid w:val="00DE20C2"/>
    <w:rsid w:val="00DE2B76"/>
    <w:rsid w:val="00DE2F57"/>
    <w:rsid w:val="00DE31BE"/>
    <w:rsid w:val="00DE33CD"/>
    <w:rsid w:val="00DE3897"/>
    <w:rsid w:val="00DE4EF6"/>
    <w:rsid w:val="00DE5050"/>
    <w:rsid w:val="00DE51F2"/>
    <w:rsid w:val="00DE5403"/>
    <w:rsid w:val="00DE5493"/>
    <w:rsid w:val="00DE60FF"/>
    <w:rsid w:val="00DE6782"/>
    <w:rsid w:val="00DE67E1"/>
    <w:rsid w:val="00DE6B90"/>
    <w:rsid w:val="00DE6D18"/>
    <w:rsid w:val="00DE6E02"/>
    <w:rsid w:val="00DE7309"/>
    <w:rsid w:val="00DE7B8A"/>
    <w:rsid w:val="00DF0662"/>
    <w:rsid w:val="00DF0AEA"/>
    <w:rsid w:val="00DF0D33"/>
    <w:rsid w:val="00DF1287"/>
    <w:rsid w:val="00DF145B"/>
    <w:rsid w:val="00DF20AE"/>
    <w:rsid w:val="00DF2CFD"/>
    <w:rsid w:val="00DF2F96"/>
    <w:rsid w:val="00DF3379"/>
    <w:rsid w:val="00DF34A9"/>
    <w:rsid w:val="00DF34BE"/>
    <w:rsid w:val="00DF3C97"/>
    <w:rsid w:val="00DF402A"/>
    <w:rsid w:val="00DF4515"/>
    <w:rsid w:val="00DF495E"/>
    <w:rsid w:val="00DF497D"/>
    <w:rsid w:val="00DF533B"/>
    <w:rsid w:val="00DF53E4"/>
    <w:rsid w:val="00DF5B3F"/>
    <w:rsid w:val="00DF5F7C"/>
    <w:rsid w:val="00DF63E5"/>
    <w:rsid w:val="00DF6AAD"/>
    <w:rsid w:val="00DF76B7"/>
    <w:rsid w:val="00DF7F1E"/>
    <w:rsid w:val="00E0034B"/>
    <w:rsid w:val="00E006F2"/>
    <w:rsid w:val="00E0096C"/>
    <w:rsid w:val="00E01586"/>
    <w:rsid w:val="00E0160E"/>
    <w:rsid w:val="00E01A45"/>
    <w:rsid w:val="00E01C47"/>
    <w:rsid w:val="00E020E6"/>
    <w:rsid w:val="00E0330C"/>
    <w:rsid w:val="00E03608"/>
    <w:rsid w:val="00E037DF"/>
    <w:rsid w:val="00E03B5B"/>
    <w:rsid w:val="00E04453"/>
    <w:rsid w:val="00E04B40"/>
    <w:rsid w:val="00E04B44"/>
    <w:rsid w:val="00E05205"/>
    <w:rsid w:val="00E05649"/>
    <w:rsid w:val="00E05AAD"/>
    <w:rsid w:val="00E05B97"/>
    <w:rsid w:val="00E05DC1"/>
    <w:rsid w:val="00E063C6"/>
    <w:rsid w:val="00E06900"/>
    <w:rsid w:val="00E0696C"/>
    <w:rsid w:val="00E06BF7"/>
    <w:rsid w:val="00E06FA6"/>
    <w:rsid w:val="00E070C8"/>
    <w:rsid w:val="00E074C7"/>
    <w:rsid w:val="00E07758"/>
    <w:rsid w:val="00E104A9"/>
    <w:rsid w:val="00E10CB7"/>
    <w:rsid w:val="00E11339"/>
    <w:rsid w:val="00E1137B"/>
    <w:rsid w:val="00E11ABA"/>
    <w:rsid w:val="00E11F0F"/>
    <w:rsid w:val="00E1269E"/>
    <w:rsid w:val="00E12C16"/>
    <w:rsid w:val="00E131D4"/>
    <w:rsid w:val="00E13460"/>
    <w:rsid w:val="00E13537"/>
    <w:rsid w:val="00E14EA8"/>
    <w:rsid w:val="00E1504B"/>
    <w:rsid w:val="00E15DE1"/>
    <w:rsid w:val="00E16396"/>
    <w:rsid w:val="00E164C2"/>
    <w:rsid w:val="00E1660F"/>
    <w:rsid w:val="00E168C5"/>
    <w:rsid w:val="00E16927"/>
    <w:rsid w:val="00E16B0E"/>
    <w:rsid w:val="00E16C22"/>
    <w:rsid w:val="00E16DE5"/>
    <w:rsid w:val="00E16E48"/>
    <w:rsid w:val="00E1753A"/>
    <w:rsid w:val="00E17AE5"/>
    <w:rsid w:val="00E17E0A"/>
    <w:rsid w:val="00E20507"/>
    <w:rsid w:val="00E205B0"/>
    <w:rsid w:val="00E20740"/>
    <w:rsid w:val="00E20E52"/>
    <w:rsid w:val="00E210CD"/>
    <w:rsid w:val="00E21369"/>
    <w:rsid w:val="00E21A53"/>
    <w:rsid w:val="00E22157"/>
    <w:rsid w:val="00E224DF"/>
    <w:rsid w:val="00E225C9"/>
    <w:rsid w:val="00E225E6"/>
    <w:rsid w:val="00E22D5D"/>
    <w:rsid w:val="00E22F72"/>
    <w:rsid w:val="00E23595"/>
    <w:rsid w:val="00E24296"/>
    <w:rsid w:val="00E242DD"/>
    <w:rsid w:val="00E244E0"/>
    <w:rsid w:val="00E2472C"/>
    <w:rsid w:val="00E24FF5"/>
    <w:rsid w:val="00E251FB"/>
    <w:rsid w:val="00E2568D"/>
    <w:rsid w:val="00E2596D"/>
    <w:rsid w:val="00E25F9D"/>
    <w:rsid w:val="00E26860"/>
    <w:rsid w:val="00E27A8D"/>
    <w:rsid w:val="00E27BC7"/>
    <w:rsid w:val="00E27E9A"/>
    <w:rsid w:val="00E30046"/>
    <w:rsid w:val="00E3011B"/>
    <w:rsid w:val="00E30820"/>
    <w:rsid w:val="00E309E7"/>
    <w:rsid w:val="00E30E75"/>
    <w:rsid w:val="00E30FEF"/>
    <w:rsid w:val="00E3116C"/>
    <w:rsid w:val="00E317AC"/>
    <w:rsid w:val="00E31E3B"/>
    <w:rsid w:val="00E31F17"/>
    <w:rsid w:val="00E326E6"/>
    <w:rsid w:val="00E32BBC"/>
    <w:rsid w:val="00E330C5"/>
    <w:rsid w:val="00E33910"/>
    <w:rsid w:val="00E341F4"/>
    <w:rsid w:val="00E344CC"/>
    <w:rsid w:val="00E34565"/>
    <w:rsid w:val="00E345EB"/>
    <w:rsid w:val="00E34649"/>
    <w:rsid w:val="00E346C4"/>
    <w:rsid w:val="00E34961"/>
    <w:rsid w:val="00E34C98"/>
    <w:rsid w:val="00E3504D"/>
    <w:rsid w:val="00E35A6B"/>
    <w:rsid w:val="00E3617B"/>
    <w:rsid w:val="00E36321"/>
    <w:rsid w:val="00E37065"/>
    <w:rsid w:val="00E37235"/>
    <w:rsid w:val="00E37A2A"/>
    <w:rsid w:val="00E37FC2"/>
    <w:rsid w:val="00E40441"/>
    <w:rsid w:val="00E41683"/>
    <w:rsid w:val="00E41741"/>
    <w:rsid w:val="00E41F4B"/>
    <w:rsid w:val="00E41F7C"/>
    <w:rsid w:val="00E4209E"/>
    <w:rsid w:val="00E4332D"/>
    <w:rsid w:val="00E43616"/>
    <w:rsid w:val="00E43EE0"/>
    <w:rsid w:val="00E440FA"/>
    <w:rsid w:val="00E44FEF"/>
    <w:rsid w:val="00E4677F"/>
    <w:rsid w:val="00E46B7F"/>
    <w:rsid w:val="00E46BB4"/>
    <w:rsid w:val="00E46C22"/>
    <w:rsid w:val="00E47193"/>
    <w:rsid w:val="00E47436"/>
    <w:rsid w:val="00E477F9"/>
    <w:rsid w:val="00E47AC1"/>
    <w:rsid w:val="00E47F66"/>
    <w:rsid w:val="00E5035F"/>
    <w:rsid w:val="00E50CD4"/>
    <w:rsid w:val="00E50CF4"/>
    <w:rsid w:val="00E51107"/>
    <w:rsid w:val="00E512AC"/>
    <w:rsid w:val="00E51ABF"/>
    <w:rsid w:val="00E5202B"/>
    <w:rsid w:val="00E52CE2"/>
    <w:rsid w:val="00E52EF6"/>
    <w:rsid w:val="00E52F84"/>
    <w:rsid w:val="00E531AE"/>
    <w:rsid w:val="00E532D7"/>
    <w:rsid w:val="00E53626"/>
    <w:rsid w:val="00E5384B"/>
    <w:rsid w:val="00E53A16"/>
    <w:rsid w:val="00E53B74"/>
    <w:rsid w:val="00E542A9"/>
    <w:rsid w:val="00E54933"/>
    <w:rsid w:val="00E54D3E"/>
    <w:rsid w:val="00E55125"/>
    <w:rsid w:val="00E551A5"/>
    <w:rsid w:val="00E55771"/>
    <w:rsid w:val="00E5595A"/>
    <w:rsid w:val="00E55A0C"/>
    <w:rsid w:val="00E55A5A"/>
    <w:rsid w:val="00E56106"/>
    <w:rsid w:val="00E5644C"/>
    <w:rsid w:val="00E572B3"/>
    <w:rsid w:val="00E5756E"/>
    <w:rsid w:val="00E57963"/>
    <w:rsid w:val="00E579C7"/>
    <w:rsid w:val="00E57B3F"/>
    <w:rsid w:val="00E60140"/>
    <w:rsid w:val="00E60469"/>
    <w:rsid w:val="00E60D60"/>
    <w:rsid w:val="00E60ED6"/>
    <w:rsid w:val="00E61446"/>
    <w:rsid w:val="00E614D6"/>
    <w:rsid w:val="00E618E8"/>
    <w:rsid w:val="00E61A95"/>
    <w:rsid w:val="00E621A4"/>
    <w:rsid w:val="00E62447"/>
    <w:rsid w:val="00E626FC"/>
    <w:rsid w:val="00E62935"/>
    <w:rsid w:val="00E62DDE"/>
    <w:rsid w:val="00E63E95"/>
    <w:rsid w:val="00E64804"/>
    <w:rsid w:val="00E64A17"/>
    <w:rsid w:val="00E65AEB"/>
    <w:rsid w:val="00E66112"/>
    <w:rsid w:val="00E66444"/>
    <w:rsid w:val="00E66713"/>
    <w:rsid w:val="00E67AC4"/>
    <w:rsid w:val="00E67C90"/>
    <w:rsid w:val="00E67D2B"/>
    <w:rsid w:val="00E67FA2"/>
    <w:rsid w:val="00E70C59"/>
    <w:rsid w:val="00E70C86"/>
    <w:rsid w:val="00E71F7D"/>
    <w:rsid w:val="00E72403"/>
    <w:rsid w:val="00E7240E"/>
    <w:rsid w:val="00E72A49"/>
    <w:rsid w:val="00E72B66"/>
    <w:rsid w:val="00E72CAB"/>
    <w:rsid w:val="00E72DCE"/>
    <w:rsid w:val="00E72DF4"/>
    <w:rsid w:val="00E7305E"/>
    <w:rsid w:val="00E73307"/>
    <w:rsid w:val="00E733CC"/>
    <w:rsid w:val="00E734F1"/>
    <w:rsid w:val="00E7359C"/>
    <w:rsid w:val="00E7386D"/>
    <w:rsid w:val="00E738FC"/>
    <w:rsid w:val="00E7390F"/>
    <w:rsid w:val="00E73984"/>
    <w:rsid w:val="00E74183"/>
    <w:rsid w:val="00E747A3"/>
    <w:rsid w:val="00E74A26"/>
    <w:rsid w:val="00E74B2B"/>
    <w:rsid w:val="00E74B9F"/>
    <w:rsid w:val="00E74E9C"/>
    <w:rsid w:val="00E758F6"/>
    <w:rsid w:val="00E75B7C"/>
    <w:rsid w:val="00E75D2C"/>
    <w:rsid w:val="00E7629B"/>
    <w:rsid w:val="00E76337"/>
    <w:rsid w:val="00E76510"/>
    <w:rsid w:val="00E767B7"/>
    <w:rsid w:val="00E76D5C"/>
    <w:rsid w:val="00E772AB"/>
    <w:rsid w:val="00E801FA"/>
    <w:rsid w:val="00E803B5"/>
    <w:rsid w:val="00E80EC4"/>
    <w:rsid w:val="00E80FB7"/>
    <w:rsid w:val="00E8112B"/>
    <w:rsid w:val="00E81330"/>
    <w:rsid w:val="00E81A56"/>
    <w:rsid w:val="00E81D21"/>
    <w:rsid w:val="00E82260"/>
    <w:rsid w:val="00E8255C"/>
    <w:rsid w:val="00E828B9"/>
    <w:rsid w:val="00E83545"/>
    <w:rsid w:val="00E83648"/>
    <w:rsid w:val="00E83C4F"/>
    <w:rsid w:val="00E83F3E"/>
    <w:rsid w:val="00E83FBE"/>
    <w:rsid w:val="00E8454C"/>
    <w:rsid w:val="00E84A75"/>
    <w:rsid w:val="00E84EAC"/>
    <w:rsid w:val="00E84F0F"/>
    <w:rsid w:val="00E85499"/>
    <w:rsid w:val="00E855A2"/>
    <w:rsid w:val="00E85723"/>
    <w:rsid w:val="00E857BD"/>
    <w:rsid w:val="00E859CB"/>
    <w:rsid w:val="00E85BFE"/>
    <w:rsid w:val="00E864F4"/>
    <w:rsid w:val="00E8693F"/>
    <w:rsid w:val="00E86AD1"/>
    <w:rsid w:val="00E86F4A"/>
    <w:rsid w:val="00E87096"/>
    <w:rsid w:val="00E87A90"/>
    <w:rsid w:val="00E90774"/>
    <w:rsid w:val="00E90BA5"/>
    <w:rsid w:val="00E90D0F"/>
    <w:rsid w:val="00E90D79"/>
    <w:rsid w:val="00E91D39"/>
    <w:rsid w:val="00E91E33"/>
    <w:rsid w:val="00E91FD5"/>
    <w:rsid w:val="00E9212E"/>
    <w:rsid w:val="00E922E1"/>
    <w:rsid w:val="00E93117"/>
    <w:rsid w:val="00E93DA3"/>
    <w:rsid w:val="00E94208"/>
    <w:rsid w:val="00E9499D"/>
    <w:rsid w:val="00E94A98"/>
    <w:rsid w:val="00E94BE5"/>
    <w:rsid w:val="00E951B5"/>
    <w:rsid w:val="00E952F3"/>
    <w:rsid w:val="00E95419"/>
    <w:rsid w:val="00E95BED"/>
    <w:rsid w:val="00E9604B"/>
    <w:rsid w:val="00E96164"/>
    <w:rsid w:val="00E9620D"/>
    <w:rsid w:val="00E96460"/>
    <w:rsid w:val="00E9719C"/>
    <w:rsid w:val="00E9787E"/>
    <w:rsid w:val="00EA08D1"/>
    <w:rsid w:val="00EA0E3E"/>
    <w:rsid w:val="00EA150C"/>
    <w:rsid w:val="00EA25F9"/>
    <w:rsid w:val="00EA2F48"/>
    <w:rsid w:val="00EA3210"/>
    <w:rsid w:val="00EA37DE"/>
    <w:rsid w:val="00EA437A"/>
    <w:rsid w:val="00EA45DA"/>
    <w:rsid w:val="00EA46CC"/>
    <w:rsid w:val="00EA481C"/>
    <w:rsid w:val="00EA54A4"/>
    <w:rsid w:val="00EA5825"/>
    <w:rsid w:val="00EA5BC4"/>
    <w:rsid w:val="00EA68D5"/>
    <w:rsid w:val="00EA6D45"/>
    <w:rsid w:val="00EA78F0"/>
    <w:rsid w:val="00EA7BB1"/>
    <w:rsid w:val="00EA7FD7"/>
    <w:rsid w:val="00EB0738"/>
    <w:rsid w:val="00EB0974"/>
    <w:rsid w:val="00EB0A3F"/>
    <w:rsid w:val="00EB10CD"/>
    <w:rsid w:val="00EB12CD"/>
    <w:rsid w:val="00EB1CC2"/>
    <w:rsid w:val="00EB2D31"/>
    <w:rsid w:val="00EB36AD"/>
    <w:rsid w:val="00EB51FC"/>
    <w:rsid w:val="00EB58F0"/>
    <w:rsid w:val="00EB58F2"/>
    <w:rsid w:val="00EB603C"/>
    <w:rsid w:val="00EB6221"/>
    <w:rsid w:val="00EB75B1"/>
    <w:rsid w:val="00EB777C"/>
    <w:rsid w:val="00EC022E"/>
    <w:rsid w:val="00EC0982"/>
    <w:rsid w:val="00EC0F00"/>
    <w:rsid w:val="00EC1138"/>
    <w:rsid w:val="00EC1738"/>
    <w:rsid w:val="00EC1900"/>
    <w:rsid w:val="00EC1D28"/>
    <w:rsid w:val="00EC1D5A"/>
    <w:rsid w:val="00EC22B7"/>
    <w:rsid w:val="00EC231D"/>
    <w:rsid w:val="00EC2502"/>
    <w:rsid w:val="00EC25E6"/>
    <w:rsid w:val="00EC2B11"/>
    <w:rsid w:val="00EC4071"/>
    <w:rsid w:val="00EC457D"/>
    <w:rsid w:val="00EC47DD"/>
    <w:rsid w:val="00EC4881"/>
    <w:rsid w:val="00EC5472"/>
    <w:rsid w:val="00EC557A"/>
    <w:rsid w:val="00EC5E13"/>
    <w:rsid w:val="00EC5EA3"/>
    <w:rsid w:val="00EC5ED9"/>
    <w:rsid w:val="00EC5EE1"/>
    <w:rsid w:val="00EC60FF"/>
    <w:rsid w:val="00EC635C"/>
    <w:rsid w:val="00EC64DA"/>
    <w:rsid w:val="00EC655C"/>
    <w:rsid w:val="00EC6717"/>
    <w:rsid w:val="00EC6BEA"/>
    <w:rsid w:val="00EC7050"/>
    <w:rsid w:val="00EC74DF"/>
    <w:rsid w:val="00EC7605"/>
    <w:rsid w:val="00EC7999"/>
    <w:rsid w:val="00ED002C"/>
    <w:rsid w:val="00ED0515"/>
    <w:rsid w:val="00ED0A28"/>
    <w:rsid w:val="00ED0E47"/>
    <w:rsid w:val="00ED0FB5"/>
    <w:rsid w:val="00ED13FC"/>
    <w:rsid w:val="00ED175E"/>
    <w:rsid w:val="00ED1D94"/>
    <w:rsid w:val="00ED1DF9"/>
    <w:rsid w:val="00ED2FF7"/>
    <w:rsid w:val="00ED3265"/>
    <w:rsid w:val="00ED3410"/>
    <w:rsid w:val="00ED3524"/>
    <w:rsid w:val="00ED3611"/>
    <w:rsid w:val="00ED3922"/>
    <w:rsid w:val="00ED3F15"/>
    <w:rsid w:val="00ED4281"/>
    <w:rsid w:val="00ED4546"/>
    <w:rsid w:val="00ED4B3D"/>
    <w:rsid w:val="00ED550C"/>
    <w:rsid w:val="00ED5BDA"/>
    <w:rsid w:val="00ED5F82"/>
    <w:rsid w:val="00ED6272"/>
    <w:rsid w:val="00ED76E1"/>
    <w:rsid w:val="00ED792F"/>
    <w:rsid w:val="00ED7F0B"/>
    <w:rsid w:val="00EE02CF"/>
    <w:rsid w:val="00EE039E"/>
    <w:rsid w:val="00EE09BA"/>
    <w:rsid w:val="00EE0FF3"/>
    <w:rsid w:val="00EE1696"/>
    <w:rsid w:val="00EE1AD5"/>
    <w:rsid w:val="00EE26FF"/>
    <w:rsid w:val="00EE38F2"/>
    <w:rsid w:val="00EE3A3A"/>
    <w:rsid w:val="00EE3BE2"/>
    <w:rsid w:val="00EE3D29"/>
    <w:rsid w:val="00EE3D7F"/>
    <w:rsid w:val="00EE421C"/>
    <w:rsid w:val="00EE484E"/>
    <w:rsid w:val="00EE4A83"/>
    <w:rsid w:val="00EE6197"/>
    <w:rsid w:val="00EE6A92"/>
    <w:rsid w:val="00EE7B1A"/>
    <w:rsid w:val="00EE7E76"/>
    <w:rsid w:val="00EF0762"/>
    <w:rsid w:val="00EF0AE2"/>
    <w:rsid w:val="00EF0C04"/>
    <w:rsid w:val="00EF0DE9"/>
    <w:rsid w:val="00EF1637"/>
    <w:rsid w:val="00EF1AB7"/>
    <w:rsid w:val="00EF20F1"/>
    <w:rsid w:val="00EF26D2"/>
    <w:rsid w:val="00EF2F52"/>
    <w:rsid w:val="00EF3202"/>
    <w:rsid w:val="00EF389E"/>
    <w:rsid w:val="00EF4052"/>
    <w:rsid w:val="00EF43E1"/>
    <w:rsid w:val="00EF4980"/>
    <w:rsid w:val="00EF50E3"/>
    <w:rsid w:val="00EF57A2"/>
    <w:rsid w:val="00EF585D"/>
    <w:rsid w:val="00EF63BF"/>
    <w:rsid w:val="00F0019F"/>
    <w:rsid w:val="00F00583"/>
    <w:rsid w:val="00F00984"/>
    <w:rsid w:val="00F00B1D"/>
    <w:rsid w:val="00F00E9A"/>
    <w:rsid w:val="00F01167"/>
    <w:rsid w:val="00F012A3"/>
    <w:rsid w:val="00F01906"/>
    <w:rsid w:val="00F01B99"/>
    <w:rsid w:val="00F023BC"/>
    <w:rsid w:val="00F024FB"/>
    <w:rsid w:val="00F02AF9"/>
    <w:rsid w:val="00F02FF5"/>
    <w:rsid w:val="00F03B83"/>
    <w:rsid w:val="00F0407D"/>
    <w:rsid w:val="00F04128"/>
    <w:rsid w:val="00F04408"/>
    <w:rsid w:val="00F04578"/>
    <w:rsid w:val="00F047B2"/>
    <w:rsid w:val="00F04C88"/>
    <w:rsid w:val="00F04D11"/>
    <w:rsid w:val="00F04EF2"/>
    <w:rsid w:val="00F055CE"/>
    <w:rsid w:val="00F057CA"/>
    <w:rsid w:val="00F058C6"/>
    <w:rsid w:val="00F05F9A"/>
    <w:rsid w:val="00F0621B"/>
    <w:rsid w:val="00F07080"/>
    <w:rsid w:val="00F0723B"/>
    <w:rsid w:val="00F100CF"/>
    <w:rsid w:val="00F109E6"/>
    <w:rsid w:val="00F10AD5"/>
    <w:rsid w:val="00F10AE4"/>
    <w:rsid w:val="00F10EE3"/>
    <w:rsid w:val="00F1198F"/>
    <w:rsid w:val="00F119AE"/>
    <w:rsid w:val="00F11C21"/>
    <w:rsid w:val="00F127B0"/>
    <w:rsid w:val="00F131C1"/>
    <w:rsid w:val="00F13482"/>
    <w:rsid w:val="00F1349C"/>
    <w:rsid w:val="00F142DD"/>
    <w:rsid w:val="00F14A62"/>
    <w:rsid w:val="00F14DE3"/>
    <w:rsid w:val="00F155D6"/>
    <w:rsid w:val="00F17247"/>
    <w:rsid w:val="00F177A9"/>
    <w:rsid w:val="00F178C6"/>
    <w:rsid w:val="00F17A13"/>
    <w:rsid w:val="00F17E1A"/>
    <w:rsid w:val="00F17F14"/>
    <w:rsid w:val="00F207C3"/>
    <w:rsid w:val="00F20DDA"/>
    <w:rsid w:val="00F20F63"/>
    <w:rsid w:val="00F21135"/>
    <w:rsid w:val="00F21AC1"/>
    <w:rsid w:val="00F21F13"/>
    <w:rsid w:val="00F22111"/>
    <w:rsid w:val="00F22269"/>
    <w:rsid w:val="00F22BA9"/>
    <w:rsid w:val="00F22CD1"/>
    <w:rsid w:val="00F22EE8"/>
    <w:rsid w:val="00F22F2E"/>
    <w:rsid w:val="00F247C0"/>
    <w:rsid w:val="00F24909"/>
    <w:rsid w:val="00F24A63"/>
    <w:rsid w:val="00F25DC2"/>
    <w:rsid w:val="00F2632A"/>
    <w:rsid w:val="00F26987"/>
    <w:rsid w:val="00F27202"/>
    <w:rsid w:val="00F2765E"/>
    <w:rsid w:val="00F30939"/>
    <w:rsid w:val="00F3152F"/>
    <w:rsid w:val="00F31AAA"/>
    <w:rsid w:val="00F329B3"/>
    <w:rsid w:val="00F32E2F"/>
    <w:rsid w:val="00F334E1"/>
    <w:rsid w:val="00F33741"/>
    <w:rsid w:val="00F338A2"/>
    <w:rsid w:val="00F33981"/>
    <w:rsid w:val="00F33C3D"/>
    <w:rsid w:val="00F3451D"/>
    <w:rsid w:val="00F347F5"/>
    <w:rsid w:val="00F3497C"/>
    <w:rsid w:val="00F34D10"/>
    <w:rsid w:val="00F35768"/>
    <w:rsid w:val="00F35A66"/>
    <w:rsid w:val="00F35B17"/>
    <w:rsid w:val="00F368EE"/>
    <w:rsid w:val="00F36C37"/>
    <w:rsid w:val="00F36EC3"/>
    <w:rsid w:val="00F37188"/>
    <w:rsid w:val="00F371B7"/>
    <w:rsid w:val="00F376B9"/>
    <w:rsid w:val="00F37C1E"/>
    <w:rsid w:val="00F37DC9"/>
    <w:rsid w:val="00F37EB5"/>
    <w:rsid w:val="00F37FF8"/>
    <w:rsid w:val="00F401D2"/>
    <w:rsid w:val="00F40AF2"/>
    <w:rsid w:val="00F40DDF"/>
    <w:rsid w:val="00F4174F"/>
    <w:rsid w:val="00F41893"/>
    <w:rsid w:val="00F41A38"/>
    <w:rsid w:val="00F43ADB"/>
    <w:rsid w:val="00F43F68"/>
    <w:rsid w:val="00F43FE9"/>
    <w:rsid w:val="00F441AB"/>
    <w:rsid w:val="00F44292"/>
    <w:rsid w:val="00F442A7"/>
    <w:rsid w:val="00F448BA"/>
    <w:rsid w:val="00F45053"/>
    <w:rsid w:val="00F45A30"/>
    <w:rsid w:val="00F45C32"/>
    <w:rsid w:val="00F463F8"/>
    <w:rsid w:val="00F46445"/>
    <w:rsid w:val="00F46632"/>
    <w:rsid w:val="00F46C2D"/>
    <w:rsid w:val="00F46C93"/>
    <w:rsid w:val="00F46E72"/>
    <w:rsid w:val="00F46E9E"/>
    <w:rsid w:val="00F46F34"/>
    <w:rsid w:val="00F47A46"/>
    <w:rsid w:val="00F50ABD"/>
    <w:rsid w:val="00F50BAE"/>
    <w:rsid w:val="00F50D34"/>
    <w:rsid w:val="00F51DF6"/>
    <w:rsid w:val="00F52977"/>
    <w:rsid w:val="00F534A8"/>
    <w:rsid w:val="00F539C8"/>
    <w:rsid w:val="00F53E17"/>
    <w:rsid w:val="00F544F0"/>
    <w:rsid w:val="00F546A8"/>
    <w:rsid w:val="00F54CBE"/>
    <w:rsid w:val="00F54CD6"/>
    <w:rsid w:val="00F555C2"/>
    <w:rsid w:val="00F555F8"/>
    <w:rsid w:val="00F559EF"/>
    <w:rsid w:val="00F55AB1"/>
    <w:rsid w:val="00F562B9"/>
    <w:rsid w:val="00F56332"/>
    <w:rsid w:val="00F564B5"/>
    <w:rsid w:val="00F565A4"/>
    <w:rsid w:val="00F569C5"/>
    <w:rsid w:val="00F5702A"/>
    <w:rsid w:val="00F571D4"/>
    <w:rsid w:val="00F579A7"/>
    <w:rsid w:val="00F57BDF"/>
    <w:rsid w:val="00F60257"/>
    <w:rsid w:val="00F603A4"/>
    <w:rsid w:val="00F60475"/>
    <w:rsid w:val="00F60FA8"/>
    <w:rsid w:val="00F616BF"/>
    <w:rsid w:val="00F62380"/>
    <w:rsid w:val="00F62402"/>
    <w:rsid w:val="00F62E7C"/>
    <w:rsid w:val="00F630EA"/>
    <w:rsid w:val="00F64686"/>
    <w:rsid w:val="00F64DB6"/>
    <w:rsid w:val="00F65684"/>
    <w:rsid w:val="00F6597A"/>
    <w:rsid w:val="00F66105"/>
    <w:rsid w:val="00F66743"/>
    <w:rsid w:val="00F669CF"/>
    <w:rsid w:val="00F66B72"/>
    <w:rsid w:val="00F6778F"/>
    <w:rsid w:val="00F67B40"/>
    <w:rsid w:val="00F67C9D"/>
    <w:rsid w:val="00F701CF"/>
    <w:rsid w:val="00F71B2C"/>
    <w:rsid w:val="00F71C36"/>
    <w:rsid w:val="00F71F96"/>
    <w:rsid w:val="00F7238B"/>
    <w:rsid w:val="00F7257D"/>
    <w:rsid w:val="00F725A9"/>
    <w:rsid w:val="00F727E0"/>
    <w:rsid w:val="00F72E30"/>
    <w:rsid w:val="00F72EDD"/>
    <w:rsid w:val="00F73542"/>
    <w:rsid w:val="00F73561"/>
    <w:rsid w:val="00F73A2D"/>
    <w:rsid w:val="00F73DE5"/>
    <w:rsid w:val="00F7441B"/>
    <w:rsid w:val="00F751B9"/>
    <w:rsid w:val="00F7580F"/>
    <w:rsid w:val="00F75D15"/>
    <w:rsid w:val="00F762E6"/>
    <w:rsid w:val="00F770E9"/>
    <w:rsid w:val="00F77869"/>
    <w:rsid w:val="00F77892"/>
    <w:rsid w:val="00F804F4"/>
    <w:rsid w:val="00F80E00"/>
    <w:rsid w:val="00F81568"/>
    <w:rsid w:val="00F81610"/>
    <w:rsid w:val="00F81B54"/>
    <w:rsid w:val="00F823A8"/>
    <w:rsid w:val="00F82885"/>
    <w:rsid w:val="00F82C61"/>
    <w:rsid w:val="00F835A8"/>
    <w:rsid w:val="00F83C47"/>
    <w:rsid w:val="00F84367"/>
    <w:rsid w:val="00F8474A"/>
    <w:rsid w:val="00F84A59"/>
    <w:rsid w:val="00F84C8E"/>
    <w:rsid w:val="00F84D3A"/>
    <w:rsid w:val="00F85276"/>
    <w:rsid w:val="00F85751"/>
    <w:rsid w:val="00F85F1F"/>
    <w:rsid w:val="00F86436"/>
    <w:rsid w:val="00F8653B"/>
    <w:rsid w:val="00F87460"/>
    <w:rsid w:val="00F90BA7"/>
    <w:rsid w:val="00F91743"/>
    <w:rsid w:val="00F91ABE"/>
    <w:rsid w:val="00F91C94"/>
    <w:rsid w:val="00F91D66"/>
    <w:rsid w:val="00F92DDB"/>
    <w:rsid w:val="00F93A97"/>
    <w:rsid w:val="00F946BB"/>
    <w:rsid w:val="00F94B1E"/>
    <w:rsid w:val="00F951F8"/>
    <w:rsid w:val="00F95778"/>
    <w:rsid w:val="00F9578D"/>
    <w:rsid w:val="00F95FF0"/>
    <w:rsid w:val="00F96ED6"/>
    <w:rsid w:val="00F97364"/>
    <w:rsid w:val="00FA047B"/>
    <w:rsid w:val="00FA0549"/>
    <w:rsid w:val="00FA0B4C"/>
    <w:rsid w:val="00FA1912"/>
    <w:rsid w:val="00FA1F31"/>
    <w:rsid w:val="00FA20B6"/>
    <w:rsid w:val="00FA26F7"/>
    <w:rsid w:val="00FA2F7C"/>
    <w:rsid w:val="00FA2FE1"/>
    <w:rsid w:val="00FA3518"/>
    <w:rsid w:val="00FA4516"/>
    <w:rsid w:val="00FA48B8"/>
    <w:rsid w:val="00FA5B80"/>
    <w:rsid w:val="00FA6542"/>
    <w:rsid w:val="00FA6966"/>
    <w:rsid w:val="00FA6FEA"/>
    <w:rsid w:val="00FA755A"/>
    <w:rsid w:val="00FA79D3"/>
    <w:rsid w:val="00FA7F36"/>
    <w:rsid w:val="00FB0368"/>
    <w:rsid w:val="00FB0D91"/>
    <w:rsid w:val="00FB1478"/>
    <w:rsid w:val="00FB26B6"/>
    <w:rsid w:val="00FB2B6C"/>
    <w:rsid w:val="00FB2E21"/>
    <w:rsid w:val="00FB30A5"/>
    <w:rsid w:val="00FB34A7"/>
    <w:rsid w:val="00FB34D1"/>
    <w:rsid w:val="00FB3677"/>
    <w:rsid w:val="00FB36BC"/>
    <w:rsid w:val="00FB59BF"/>
    <w:rsid w:val="00FB5FCC"/>
    <w:rsid w:val="00FB6067"/>
    <w:rsid w:val="00FB75E6"/>
    <w:rsid w:val="00FB7F78"/>
    <w:rsid w:val="00FC0C14"/>
    <w:rsid w:val="00FC1290"/>
    <w:rsid w:val="00FC1545"/>
    <w:rsid w:val="00FC15D3"/>
    <w:rsid w:val="00FC1B75"/>
    <w:rsid w:val="00FC201A"/>
    <w:rsid w:val="00FC20F2"/>
    <w:rsid w:val="00FC2542"/>
    <w:rsid w:val="00FC27AF"/>
    <w:rsid w:val="00FC31EC"/>
    <w:rsid w:val="00FC3AF7"/>
    <w:rsid w:val="00FC45B2"/>
    <w:rsid w:val="00FC48BE"/>
    <w:rsid w:val="00FC5797"/>
    <w:rsid w:val="00FC5F39"/>
    <w:rsid w:val="00FC6087"/>
    <w:rsid w:val="00FC7724"/>
    <w:rsid w:val="00FD0B03"/>
    <w:rsid w:val="00FD0F5C"/>
    <w:rsid w:val="00FD1615"/>
    <w:rsid w:val="00FD1831"/>
    <w:rsid w:val="00FD1A0B"/>
    <w:rsid w:val="00FD229E"/>
    <w:rsid w:val="00FD282F"/>
    <w:rsid w:val="00FD2D34"/>
    <w:rsid w:val="00FD2E48"/>
    <w:rsid w:val="00FD3565"/>
    <w:rsid w:val="00FD4062"/>
    <w:rsid w:val="00FD5513"/>
    <w:rsid w:val="00FD5BD9"/>
    <w:rsid w:val="00FD5CE8"/>
    <w:rsid w:val="00FD5E4A"/>
    <w:rsid w:val="00FD5F16"/>
    <w:rsid w:val="00FD6161"/>
    <w:rsid w:val="00FD787F"/>
    <w:rsid w:val="00FD7E34"/>
    <w:rsid w:val="00FD7FD0"/>
    <w:rsid w:val="00FE01DD"/>
    <w:rsid w:val="00FE042A"/>
    <w:rsid w:val="00FE07CD"/>
    <w:rsid w:val="00FE0995"/>
    <w:rsid w:val="00FE11C5"/>
    <w:rsid w:val="00FE14DD"/>
    <w:rsid w:val="00FE1759"/>
    <w:rsid w:val="00FE18AE"/>
    <w:rsid w:val="00FE2B27"/>
    <w:rsid w:val="00FE2C04"/>
    <w:rsid w:val="00FE2CA4"/>
    <w:rsid w:val="00FE35F2"/>
    <w:rsid w:val="00FE48F6"/>
    <w:rsid w:val="00FE52CB"/>
    <w:rsid w:val="00FE5DCA"/>
    <w:rsid w:val="00FE659D"/>
    <w:rsid w:val="00FE6649"/>
    <w:rsid w:val="00FE6A51"/>
    <w:rsid w:val="00FE6C51"/>
    <w:rsid w:val="00FE6CCE"/>
    <w:rsid w:val="00FE6D0E"/>
    <w:rsid w:val="00FE6F5E"/>
    <w:rsid w:val="00FE70AC"/>
    <w:rsid w:val="00FE7CFC"/>
    <w:rsid w:val="00FE7D3A"/>
    <w:rsid w:val="00FF066B"/>
    <w:rsid w:val="00FF07DA"/>
    <w:rsid w:val="00FF10FC"/>
    <w:rsid w:val="00FF1230"/>
    <w:rsid w:val="00FF13F7"/>
    <w:rsid w:val="00FF145D"/>
    <w:rsid w:val="00FF1E07"/>
    <w:rsid w:val="00FF28F7"/>
    <w:rsid w:val="00FF29C7"/>
    <w:rsid w:val="00FF35EB"/>
    <w:rsid w:val="00FF3B55"/>
    <w:rsid w:val="00FF446B"/>
    <w:rsid w:val="00FF44D8"/>
    <w:rsid w:val="00FF44F9"/>
    <w:rsid w:val="00FF48B6"/>
    <w:rsid w:val="00FF4AFD"/>
    <w:rsid w:val="00FF4B8F"/>
    <w:rsid w:val="00FF4FC0"/>
    <w:rsid w:val="00FF4FD9"/>
    <w:rsid w:val="00FF53DA"/>
    <w:rsid w:val="00FF5E41"/>
    <w:rsid w:val="00FF628E"/>
    <w:rsid w:val="00FF6595"/>
    <w:rsid w:val="00FF6923"/>
    <w:rsid w:val="00FF6E45"/>
    <w:rsid w:val="00FF6F13"/>
    <w:rsid w:val="00FF6F86"/>
    <w:rsid w:val="00FF76A0"/>
    <w:rsid w:val="00FF76AE"/>
    <w:rsid w:val="00FF7D5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7CE8237"/>
  <w15:docId w15:val="{6643C871-565F-AF43-8CD8-AFD44CDDA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qFormat="1"/>
    <w:lsdException w:name="heading 3"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1"/>
    <w:lsdException w:name="Medium Shading 2 Accent 1" w:uiPriority="64"/>
    <w:lsdException w:name="Medium List 1 Accent 1" w:uiPriority="65"/>
    <w:lsdException w:name="Revision" w:semiHidden="1"/>
    <w:lsdException w:name="List Paragraph" w:uiPriority="34"/>
    <w:lsdException w:name="Quote" w:uiPriority="0"/>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3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61"/>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1"/>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lsdException w:name="Intense Emphasis" w:uiPriority="0"/>
    <w:lsdException w:name="Subtle Reference" w:uiPriority="0"/>
    <w:lsdException w:name="Intense Reference" w:uiPriority="0"/>
    <w:lsdException w:name="Book Title" w:uiPriority="0"/>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897"/>
    <w:pPr>
      <w:spacing w:before="120" w:after="120"/>
      <w:jc w:val="both"/>
    </w:pPr>
    <w:rPr>
      <w:rFonts w:ascii="Calibri" w:hAnsi="Calibri"/>
      <w:sz w:val="24"/>
      <w:szCs w:val="24"/>
      <w:lang w:eastAsia="en-US"/>
    </w:rPr>
  </w:style>
  <w:style w:type="paragraph" w:styleId="Heading1">
    <w:name w:val="heading 1"/>
    <w:aliases w:val="Heading 1 New,Char1,Section,Chapter Hdg,Economics Section,New Section,Economics Section Heading,My Heading 1,Lev 1,Section Heading,(Alt 1),Numbered - 1,Outline1,1 ghost,g,Oscar Faber 1,Heading 1 TXC,CES Heading 1,Section 1,Chapter Heading,hea"/>
    <w:basedOn w:val="Normal"/>
    <w:next w:val="Normal"/>
    <w:link w:val="Heading1Char"/>
    <w:qFormat/>
    <w:rsid w:val="002F0D71"/>
    <w:pPr>
      <w:keepNext/>
      <w:numPr>
        <w:numId w:val="30"/>
      </w:numPr>
      <w:outlineLvl w:val="0"/>
    </w:pPr>
    <w:rPr>
      <w:bCs/>
      <w:color w:val="009999"/>
      <w:kern w:val="32"/>
      <w:sz w:val="40"/>
      <w:szCs w:val="28"/>
    </w:rPr>
  </w:style>
  <w:style w:type="paragraph" w:styleId="Heading2">
    <w:name w:val="heading 2"/>
    <w:basedOn w:val="Normal"/>
    <w:next w:val="Normal"/>
    <w:link w:val="Heading2Char"/>
    <w:uiPriority w:val="99"/>
    <w:qFormat/>
    <w:rsid w:val="00412F6E"/>
    <w:pPr>
      <w:keepNext/>
      <w:tabs>
        <w:tab w:val="num" w:pos="709"/>
      </w:tabs>
      <w:ind w:left="1418" w:hanging="709"/>
      <w:outlineLvl w:val="1"/>
    </w:pPr>
    <w:rPr>
      <w:bCs/>
      <w:iCs/>
      <w:color w:val="009999"/>
      <w:sz w:val="32"/>
      <w:szCs w:val="28"/>
    </w:rPr>
  </w:style>
  <w:style w:type="paragraph" w:styleId="Heading3">
    <w:name w:val="heading 3"/>
    <w:aliases w:val="Heading3"/>
    <w:basedOn w:val="Normal"/>
    <w:next w:val="Normal"/>
    <w:link w:val="Heading3Char1"/>
    <w:uiPriority w:val="99"/>
    <w:qFormat/>
    <w:rsid w:val="007677BC"/>
    <w:pPr>
      <w:keepNext/>
      <w:ind w:left="709"/>
      <w:outlineLvl w:val="2"/>
    </w:pPr>
    <w:rPr>
      <w:color w:val="009999"/>
      <w:sz w:val="28"/>
      <w:szCs w:val="28"/>
    </w:rPr>
  </w:style>
  <w:style w:type="paragraph" w:styleId="Heading4">
    <w:name w:val="heading 4"/>
    <w:basedOn w:val="Normal"/>
    <w:next w:val="Normal"/>
    <w:link w:val="Heading4Char"/>
    <w:qFormat/>
    <w:rsid w:val="00412F6E"/>
    <w:pPr>
      <w:keepNext/>
      <w:ind w:left="720"/>
      <w:outlineLvl w:val="3"/>
    </w:pPr>
    <w:rPr>
      <w:bCs/>
      <w:i/>
      <w:color w:val="009999"/>
    </w:rPr>
  </w:style>
  <w:style w:type="paragraph" w:styleId="Heading5">
    <w:name w:val="heading 5"/>
    <w:aliases w:val="Do Not Use 5,Economics Bullets,paragraph,Bold &amp; Italic,Paragraph Text,Lower Case,Lower Case Char,Heading 5 Char1,Lower Case Char1,Bold &amp; Italic Char1,paragraph Char Char Char,Heading 5 Char Char Char Char"/>
    <w:basedOn w:val="Normal"/>
    <w:next w:val="Normal"/>
    <w:link w:val="Heading5Char"/>
    <w:rsid w:val="00FD0F5C"/>
    <w:pPr>
      <w:numPr>
        <w:ilvl w:val="4"/>
        <w:numId w:val="10"/>
      </w:numPr>
      <w:spacing w:before="240" w:after="60"/>
      <w:outlineLvl w:val="4"/>
    </w:pPr>
    <w:rPr>
      <w:b/>
      <w:bCs/>
      <w:i/>
      <w:iCs/>
      <w:sz w:val="26"/>
      <w:szCs w:val="26"/>
    </w:rPr>
  </w:style>
  <w:style w:type="paragraph" w:styleId="Heading6">
    <w:name w:val="heading 6"/>
    <w:aliases w:val="Do Not Use 6,Economics Bullets 2,level 1 bullet,Legal Level 1.,level 1 bullet 1,level 1 bullet Char Char Char,level 1 bullet 1 Char Char Char,level 1 bullet 1 Char Char Char Char Char Char Char,Heading 61"/>
    <w:basedOn w:val="Normal"/>
    <w:next w:val="Normal"/>
    <w:link w:val="Heading6Char"/>
    <w:rsid w:val="00FD0F5C"/>
    <w:pPr>
      <w:numPr>
        <w:ilvl w:val="5"/>
        <w:numId w:val="10"/>
      </w:numPr>
      <w:spacing w:before="240" w:after="60"/>
      <w:outlineLvl w:val="5"/>
    </w:pPr>
    <w:rPr>
      <w:rFonts w:ascii="Times New Roman" w:hAnsi="Times New Roman"/>
      <w:b/>
      <w:bCs/>
      <w:szCs w:val="22"/>
    </w:rPr>
  </w:style>
  <w:style w:type="paragraph" w:styleId="Heading7">
    <w:name w:val="heading 7"/>
    <w:aliases w:val="Do Not Use 7,Economics List (i),level 2 bullets,Legal Level 1.1."/>
    <w:basedOn w:val="Normal"/>
    <w:next w:val="Normal"/>
    <w:link w:val="Heading7Char"/>
    <w:rsid w:val="00FD0F5C"/>
    <w:pPr>
      <w:numPr>
        <w:ilvl w:val="6"/>
        <w:numId w:val="10"/>
      </w:numPr>
      <w:spacing w:before="240" w:after="60"/>
      <w:outlineLvl w:val="6"/>
    </w:pPr>
    <w:rPr>
      <w:rFonts w:ascii="Times New Roman" w:hAnsi="Times New Roman"/>
    </w:rPr>
  </w:style>
  <w:style w:type="paragraph" w:styleId="Heading8">
    <w:name w:val="heading 8"/>
    <w:aliases w:val="Do Not Use 8,Economics List (a),level 3 bullets,Legal Level 1.1.1.,Bullet 3"/>
    <w:basedOn w:val="Normal"/>
    <w:next w:val="Normal"/>
    <w:link w:val="Heading8Char"/>
    <w:rsid w:val="00FD0F5C"/>
    <w:pPr>
      <w:numPr>
        <w:ilvl w:val="7"/>
        <w:numId w:val="10"/>
      </w:numPr>
      <w:spacing w:before="240" w:after="60"/>
      <w:outlineLvl w:val="7"/>
    </w:pPr>
    <w:rPr>
      <w:rFonts w:ascii="Times New Roman" w:hAnsi="Times New Roman"/>
      <w:i/>
      <w:iCs/>
    </w:rPr>
  </w:style>
  <w:style w:type="paragraph" w:styleId="Heading9">
    <w:name w:val="heading 9"/>
    <w:aliases w:val="Do Not Use 9,Legal Level 1.1.1.1."/>
    <w:basedOn w:val="Normal"/>
    <w:next w:val="Normal"/>
    <w:link w:val="Heading9Char"/>
    <w:rsid w:val="00FD0F5C"/>
    <w:pPr>
      <w:numPr>
        <w:ilvl w:val="8"/>
        <w:numId w:val="10"/>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geNumbersonConentsPage">
    <w:name w:val="Page Numbers on Conents Page"/>
    <w:basedOn w:val="Normal"/>
    <w:rsid w:val="00FD0F5C"/>
    <w:pPr>
      <w:jc w:val="right"/>
    </w:pPr>
    <w:rPr>
      <w:b/>
      <w:bCs/>
      <w:szCs w:val="20"/>
    </w:rPr>
  </w:style>
  <w:style w:type="paragraph" w:customStyle="1" w:styleId="Figure">
    <w:name w:val="Figure"/>
    <w:basedOn w:val="BodyCopy"/>
    <w:rsid w:val="00FD0F5C"/>
    <w:pPr>
      <w:spacing w:before="60" w:after="60"/>
    </w:pPr>
    <w:rPr>
      <w:rFonts w:ascii="GillSans" w:hAnsi="GillSans"/>
      <w:sz w:val="16"/>
    </w:rPr>
  </w:style>
  <w:style w:type="paragraph" w:styleId="TOC1">
    <w:name w:val="toc 1"/>
    <w:basedOn w:val="Normal"/>
    <w:next w:val="Normal"/>
    <w:autoRedefine/>
    <w:uiPriority w:val="39"/>
    <w:rsid w:val="00897995"/>
    <w:pPr>
      <w:tabs>
        <w:tab w:val="left" w:pos="720"/>
        <w:tab w:val="left" w:pos="1440"/>
        <w:tab w:val="right" w:leader="dot" w:pos="9157"/>
      </w:tabs>
      <w:ind w:left="1418" w:right="567" w:hanging="1418"/>
    </w:pPr>
    <w:rPr>
      <w:rFonts w:cs="Arial"/>
      <w:bCs/>
      <w:noProof/>
    </w:rPr>
  </w:style>
  <w:style w:type="paragraph" w:customStyle="1" w:styleId="ReportName">
    <w:name w:val="Report Name"/>
    <w:basedOn w:val="Normal"/>
    <w:rsid w:val="00FD0F5C"/>
    <w:rPr>
      <w:rFonts w:ascii="GillSans" w:hAnsi="GillSans"/>
      <w:color w:val="FFFFFF"/>
      <w:sz w:val="38"/>
      <w:szCs w:val="38"/>
    </w:rPr>
  </w:style>
  <w:style w:type="paragraph" w:customStyle="1" w:styleId="CoverPageDate">
    <w:name w:val="Cover Page Date"/>
    <w:basedOn w:val="Normal"/>
    <w:rsid w:val="00FD0F5C"/>
    <w:rPr>
      <w:rFonts w:ascii="GillSans Light" w:hAnsi="GillSans Light"/>
      <w:color w:val="FFFFFF"/>
      <w:sz w:val="38"/>
      <w:szCs w:val="38"/>
    </w:rPr>
  </w:style>
  <w:style w:type="paragraph" w:customStyle="1" w:styleId="Footer-Abra">
    <w:name w:val="Footer - Abra"/>
    <w:basedOn w:val="Normal"/>
    <w:rsid w:val="00FD0F5C"/>
    <w:pPr>
      <w:tabs>
        <w:tab w:val="center" w:pos="4320"/>
        <w:tab w:val="right" w:pos="8640"/>
      </w:tabs>
    </w:pPr>
    <w:rPr>
      <w:rFonts w:ascii="Verdana" w:hAnsi="Verdana"/>
      <w:color w:val="008080"/>
      <w:szCs w:val="16"/>
    </w:rPr>
  </w:style>
  <w:style w:type="character" w:styleId="PageNumber">
    <w:name w:val="page number"/>
    <w:rsid w:val="00FD0F5C"/>
    <w:rPr>
      <w:rFonts w:ascii="GillSans" w:hAnsi="GillSans"/>
      <w:color w:val="FFFFFF"/>
      <w:sz w:val="16"/>
    </w:rPr>
  </w:style>
  <w:style w:type="paragraph" w:customStyle="1" w:styleId="ContentsNumbers">
    <w:name w:val="Contents Numbers"/>
    <w:basedOn w:val="Normal"/>
    <w:rsid w:val="00FD0F5C"/>
    <w:pPr>
      <w:jc w:val="center"/>
    </w:pPr>
    <w:rPr>
      <w:color w:val="FFFFFF"/>
      <w:sz w:val="20"/>
    </w:rPr>
  </w:style>
  <w:style w:type="paragraph" w:customStyle="1" w:styleId="TitleHeading">
    <w:name w:val="Title Heading"/>
    <w:basedOn w:val="Heading1"/>
    <w:rsid w:val="00FD0F5C"/>
    <w:pPr>
      <w:numPr>
        <w:numId w:val="21"/>
      </w:numPr>
      <w:spacing w:before="0"/>
    </w:pPr>
    <w:rPr>
      <w:bCs w:val="0"/>
      <w:sz w:val="44"/>
      <w:szCs w:val="20"/>
    </w:rPr>
  </w:style>
  <w:style w:type="paragraph" w:customStyle="1" w:styleId="BodyCopy">
    <w:name w:val="Body Copy"/>
    <w:basedOn w:val="Normal"/>
    <w:rsid w:val="00FD0F5C"/>
    <w:pPr>
      <w:numPr>
        <w:ilvl w:val="1"/>
        <w:numId w:val="1"/>
      </w:numPr>
    </w:pPr>
    <w:rPr>
      <w:rFonts w:ascii="GillSans Light" w:hAnsi="GillSans Light"/>
      <w:sz w:val="20"/>
      <w:szCs w:val="20"/>
    </w:rPr>
  </w:style>
  <w:style w:type="paragraph" w:customStyle="1" w:styleId="Maintext">
    <w:name w:val="Main text"/>
    <w:basedOn w:val="Normal"/>
    <w:link w:val="MaintextChar1"/>
    <w:rsid w:val="00FD0F5C"/>
    <w:pPr>
      <w:numPr>
        <w:ilvl w:val="1"/>
        <w:numId w:val="10"/>
      </w:numPr>
    </w:pPr>
  </w:style>
  <w:style w:type="paragraph" w:styleId="ListBullet">
    <w:name w:val="List Bullet"/>
    <w:basedOn w:val="Normal"/>
    <w:autoRedefine/>
    <w:rsid w:val="00FD0F5C"/>
    <w:pPr>
      <w:numPr>
        <w:numId w:val="3"/>
      </w:numPr>
    </w:pPr>
    <w:rPr>
      <w:sz w:val="20"/>
    </w:rPr>
  </w:style>
  <w:style w:type="paragraph" w:styleId="TOC2">
    <w:name w:val="toc 2"/>
    <w:basedOn w:val="Normal"/>
    <w:next w:val="Normal"/>
    <w:autoRedefine/>
    <w:uiPriority w:val="39"/>
    <w:rsid w:val="001C023A"/>
    <w:pPr>
      <w:tabs>
        <w:tab w:val="right" w:pos="720"/>
        <w:tab w:val="right" w:leader="dot" w:pos="9157"/>
      </w:tabs>
      <w:spacing w:before="60" w:after="60"/>
      <w:ind w:left="720" w:right="567"/>
    </w:pPr>
    <w:rPr>
      <w:bCs/>
      <w:szCs w:val="20"/>
    </w:rPr>
  </w:style>
  <w:style w:type="paragraph" w:styleId="TOC3">
    <w:name w:val="toc 3"/>
    <w:basedOn w:val="Normal"/>
    <w:next w:val="Normal"/>
    <w:autoRedefine/>
    <w:uiPriority w:val="39"/>
    <w:rsid w:val="00750DEF"/>
    <w:pPr>
      <w:tabs>
        <w:tab w:val="right" w:leader="dot" w:pos="9322"/>
      </w:tabs>
      <w:ind w:left="240"/>
    </w:pPr>
    <w:rPr>
      <w:rFonts w:ascii="Times New Roman" w:hAnsi="Times New Roman"/>
      <w:sz w:val="20"/>
      <w:szCs w:val="20"/>
    </w:rPr>
  </w:style>
  <w:style w:type="paragraph" w:styleId="TOC4">
    <w:name w:val="toc 4"/>
    <w:basedOn w:val="Normal"/>
    <w:next w:val="Normal"/>
    <w:autoRedefine/>
    <w:uiPriority w:val="39"/>
    <w:rsid w:val="00FD0F5C"/>
    <w:pPr>
      <w:ind w:left="480"/>
    </w:pPr>
    <w:rPr>
      <w:rFonts w:ascii="Times New Roman" w:hAnsi="Times New Roman"/>
      <w:sz w:val="20"/>
      <w:szCs w:val="20"/>
    </w:rPr>
  </w:style>
  <w:style w:type="paragraph" w:styleId="TOC5">
    <w:name w:val="toc 5"/>
    <w:basedOn w:val="Normal"/>
    <w:next w:val="Normal"/>
    <w:autoRedefine/>
    <w:uiPriority w:val="39"/>
    <w:rsid w:val="00FD0F5C"/>
    <w:pPr>
      <w:ind w:left="720"/>
    </w:pPr>
    <w:rPr>
      <w:rFonts w:ascii="Times New Roman" w:hAnsi="Times New Roman"/>
      <w:sz w:val="20"/>
      <w:szCs w:val="20"/>
    </w:rPr>
  </w:style>
  <w:style w:type="paragraph" w:styleId="TOC6">
    <w:name w:val="toc 6"/>
    <w:basedOn w:val="Normal"/>
    <w:next w:val="Normal"/>
    <w:autoRedefine/>
    <w:uiPriority w:val="39"/>
    <w:rsid w:val="00FD0F5C"/>
    <w:pPr>
      <w:ind w:left="960"/>
    </w:pPr>
    <w:rPr>
      <w:rFonts w:ascii="Times New Roman" w:hAnsi="Times New Roman"/>
      <w:sz w:val="20"/>
      <w:szCs w:val="20"/>
    </w:rPr>
  </w:style>
  <w:style w:type="paragraph" w:styleId="TOC7">
    <w:name w:val="toc 7"/>
    <w:basedOn w:val="Normal"/>
    <w:next w:val="Normal"/>
    <w:autoRedefine/>
    <w:uiPriority w:val="39"/>
    <w:rsid w:val="00FD0F5C"/>
    <w:pPr>
      <w:ind w:left="1200"/>
    </w:pPr>
    <w:rPr>
      <w:rFonts w:ascii="Times New Roman" w:hAnsi="Times New Roman"/>
      <w:sz w:val="20"/>
      <w:szCs w:val="20"/>
    </w:rPr>
  </w:style>
  <w:style w:type="paragraph" w:styleId="TOC8">
    <w:name w:val="toc 8"/>
    <w:basedOn w:val="Normal"/>
    <w:next w:val="Normal"/>
    <w:autoRedefine/>
    <w:uiPriority w:val="39"/>
    <w:rsid w:val="00FD0F5C"/>
    <w:pPr>
      <w:ind w:left="1440"/>
    </w:pPr>
    <w:rPr>
      <w:rFonts w:ascii="Times New Roman" w:hAnsi="Times New Roman"/>
      <w:sz w:val="20"/>
      <w:szCs w:val="20"/>
    </w:rPr>
  </w:style>
  <w:style w:type="paragraph" w:styleId="TOC9">
    <w:name w:val="toc 9"/>
    <w:basedOn w:val="Normal"/>
    <w:next w:val="Normal"/>
    <w:autoRedefine/>
    <w:uiPriority w:val="39"/>
    <w:rsid w:val="00FD0F5C"/>
    <w:pPr>
      <w:ind w:left="1680"/>
    </w:pPr>
    <w:rPr>
      <w:rFonts w:ascii="Times New Roman" w:hAnsi="Times New Roman"/>
      <w:sz w:val="20"/>
      <w:szCs w:val="20"/>
    </w:rPr>
  </w:style>
  <w:style w:type="character" w:styleId="Hyperlink">
    <w:name w:val="Hyperlink"/>
    <w:uiPriority w:val="99"/>
    <w:rsid w:val="00FD0F5C"/>
    <w:rPr>
      <w:color w:val="0000FF"/>
      <w:u w:val="single"/>
    </w:rPr>
  </w:style>
  <w:style w:type="paragraph" w:styleId="Header">
    <w:name w:val="header"/>
    <w:basedOn w:val="Normal"/>
    <w:link w:val="HeaderChar"/>
    <w:rsid w:val="00FD0F5C"/>
    <w:pPr>
      <w:tabs>
        <w:tab w:val="center" w:pos="4153"/>
        <w:tab w:val="right" w:pos="8306"/>
      </w:tabs>
    </w:pPr>
  </w:style>
  <w:style w:type="paragraph" w:styleId="Footer">
    <w:name w:val="footer"/>
    <w:basedOn w:val="Normal"/>
    <w:link w:val="FooterChar"/>
    <w:rsid w:val="00FD0F5C"/>
    <w:pPr>
      <w:tabs>
        <w:tab w:val="center" w:pos="4153"/>
        <w:tab w:val="right" w:pos="8306"/>
      </w:tabs>
    </w:pPr>
  </w:style>
  <w:style w:type="paragraph" w:styleId="FootnoteText">
    <w:name w:val="footnote text"/>
    <w:aliases w:val="EKOS Footnote Text"/>
    <w:basedOn w:val="Normal"/>
    <w:link w:val="FootnoteTextChar"/>
    <w:uiPriority w:val="99"/>
    <w:rsid w:val="00CD0D04"/>
    <w:pPr>
      <w:spacing w:before="0" w:after="0"/>
    </w:pPr>
    <w:rPr>
      <w:sz w:val="16"/>
      <w:szCs w:val="20"/>
    </w:rPr>
  </w:style>
  <w:style w:type="character" w:styleId="FootnoteReference">
    <w:name w:val="footnote reference"/>
    <w:aliases w:val="Footnote Reference (caveat)"/>
    <w:uiPriority w:val="99"/>
    <w:rsid w:val="00FD0F5C"/>
    <w:rPr>
      <w:vertAlign w:val="superscript"/>
    </w:rPr>
  </w:style>
  <w:style w:type="paragraph" w:customStyle="1" w:styleId="Char">
    <w:name w:val="Char"/>
    <w:basedOn w:val="Normal"/>
    <w:rsid w:val="00BF20D2"/>
    <w:pPr>
      <w:spacing w:before="0" w:after="160" w:line="240" w:lineRule="exact"/>
    </w:pPr>
    <w:rPr>
      <w:sz w:val="20"/>
      <w:szCs w:val="20"/>
      <w:lang w:val="en-US"/>
    </w:rPr>
  </w:style>
  <w:style w:type="paragraph" w:customStyle="1" w:styleId="Style18ptBoldDarkBlueCentered">
    <w:name w:val="Style 18 pt Bold Dark Blue Centered"/>
    <w:basedOn w:val="Normal"/>
    <w:rsid w:val="00FD0F5C"/>
    <w:pPr>
      <w:jc w:val="center"/>
    </w:pPr>
    <w:rPr>
      <w:b/>
      <w:bCs/>
      <w:color w:val="008080"/>
      <w:sz w:val="36"/>
      <w:szCs w:val="36"/>
    </w:rPr>
  </w:style>
  <w:style w:type="character" w:customStyle="1" w:styleId="MaintextCharChar1">
    <w:name w:val="Main text Char Char1"/>
    <w:rsid w:val="00FD0F5C"/>
    <w:rPr>
      <w:rFonts w:ascii="Arial" w:hAnsi="Arial"/>
      <w:sz w:val="24"/>
      <w:szCs w:val="24"/>
      <w:lang w:eastAsia="en-US"/>
    </w:rPr>
  </w:style>
  <w:style w:type="paragraph" w:styleId="BodyText3">
    <w:name w:val="Body Text 3"/>
    <w:basedOn w:val="Normal"/>
    <w:link w:val="BodyText3Char"/>
    <w:rsid w:val="00FD0F5C"/>
    <w:rPr>
      <w:rFonts w:ascii="Times New Roman" w:hAnsi="Times New Roman"/>
      <w:sz w:val="16"/>
      <w:szCs w:val="16"/>
    </w:rPr>
  </w:style>
  <w:style w:type="paragraph" w:customStyle="1" w:styleId="StyleTableBold">
    <w:name w:val="Style Table + Bold"/>
    <w:basedOn w:val="Normal"/>
    <w:rsid w:val="00FD0F5C"/>
    <w:pPr>
      <w:spacing w:before="60" w:after="60"/>
      <w:ind w:left="709"/>
    </w:pPr>
    <w:rPr>
      <w:b/>
      <w:bCs/>
      <w:szCs w:val="20"/>
    </w:rPr>
  </w:style>
  <w:style w:type="paragraph" w:customStyle="1" w:styleId="StyleCentered">
    <w:name w:val="Style Centered"/>
    <w:basedOn w:val="Normal"/>
    <w:rsid w:val="00FD0F5C"/>
    <w:pPr>
      <w:jc w:val="center"/>
    </w:pPr>
    <w:rPr>
      <w:szCs w:val="20"/>
    </w:rPr>
  </w:style>
  <w:style w:type="paragraph" w:customStyle="1" w:styleId="StyleHeading312ptTeal">
    <w:name w:val="Style Heading 3 + 12 pt Teal"/>
    <w:basedOn w:val="Heading3"/>
    <w:rsid w:val="00FD0F5C"/>
    <w:pPr>
      <w:ind w:left="0"/>
    </w:pPr>
    <w:rPr>
      <w:b/>
      <w:bCs/>
      <w:sz w:val="24"/>
      <w:szCs w:val="26"/>
    </w:rPr>
  </w:style>
  <w:style w:type="paragraph" w:customStyle="1" w:styleId="StyleMaintextItalicFirstline0cm">
    <w:name w:val="Style Main text + Italic First line:  0 cm"/>
    <w:basedOn w:val="Maintext"/>
    <w:rsid w:val="00FD0F5C"/>
    <w:pPr>
      <w:numPr>
        <w:ilvl w:val="0"/>
        <w:numId w:val="0"/>
      </w:numPr>
      <w:tabs>
        <w:tab w:val="num" w:pos="1134"/>
      </w:tabs>
      <w:ind w:left="958" w:right="958"/>
    </w:pPr>
    <w:rPr>
      <w:i/>
      <w:iCs/>
      <w:szCs w:val="20"/>
    </w:rPr>
  </w:style>
  <w:style w:type="paragraph" w:customStyle="1" w:styleId="StyleHeading3Left125cmBefore12ptAfter3pt">
    <w:name w:val="Style Heading 3 + Left:  1.25 cm Before:  12 pt After:  3 pt"/>
    <w:basedOn w:val="Heading3"/>
    <w:rsid w:val="00FD0F5C"/>
    <w:rPr>
      <w:b/>
      <w:bCs/>
      <w:color w:val="auto"/>
      <w:sz w:val="24"/>
      <w:szCs w:val="24"/>
      <w:lang w:val="en-US"/>
    </w:rPr>
  </w:style>
  <w:style w:type="paragraph" w:customStyle="1" w:styleId="StyleMaintextGillSansMT">
    <w:name w:val="Style Main text + Gill Sans MT"/>
    <w:basedOn w:val="Normal"/>
    <w:rsid w:val="00FD0F5C"/>
    <w:pPr>
      <w:numPr>
        <w:ilvl w:val="1"/>
        <w:numId w:val="4"/>
      </w:numPr>
      <w:tabs>
        <w:tab w:val="clear" w:pos="709"/>
        <w:tab w:val="num" w:pos="2149"/>
      </w:tabs>
      <w:ind w:left="2149" w:hanging="360"/>
    </w:pPr>
    <w:rPr>
      <w:lang w:val="en-US"/>
    </w:rPr>
  </w:style>
  <w:style w:type="character" w:customStyle="1" w:styleId="Char1CharChar">
    <w:name w:val="Char1 Char Char"/>
    <w:rsid w:val="00FD0F5C"/>
    <w:rPr>
      <w:rFonts w:ascii="Arial Bold" w:hAnsi="Arial Bold" w:cs="Arial"/>
      <w:b/>
      <w:bCs/>
      <w:color w:val="008080"/>
      <w:kern w:val="32"/>
      <w:sz w:val="32"/>
      <w:szCs w:val="28"/>
      <w:lang w:eastAsia="en-US"/>
    </w:rPr>
  </w:style>
  <w:style w:type="character" w:customStyle="1" w:styleId="CharChar14">
    <w:name w:val="Char Char14"/>
    <w:rsid w:val="00FD0F5C"/>
    <w:rPr>
      <w:rFonts w:ascii="Arial" w:hAnsi="Arial" w:cs="Arial"/>
      <w:b/>
      <w:bCs/>
      <w:iCs/>
      <w:color w:val="008080"/>
      <w:sz w:val="28"/>
      <w:szCs w:val="28"/>
      <w:lang w:val="en-GB" w:eastAsia="en-US" w:bidi="ar-SA"/>
    </w:rPr>
  </w:style>
  <w:style w:type="paragraph" w:styleId="BodyTextIndent">
    <w:name w:val="Body Text Indent"/>
    <w:basedOn w:val="Normal"/>
    <w:link w:val="BodyTextIndentChar"/>
    <w:rsid w:val="00FD0F5C"/>
    <w:pPr>
      <w:numPr>
        <w:numId w:val="6"/>
      </w:numPr>
      <w:tabs>
        <w:tab w:val="clear" w:pos="1914"/>
      </w:tabs>
      <w:ind w:left="283" w:firstLine="0"/>
    </w:pPr>
  </w:style>
  <w:style w:type="paragraph" w:customStyle="1" w:styleId="GVABullets">
    <w:name w:val="GVA Bullets"/>
    <w:basedOn w:val="Normal"/>
    <w:rsid w:val="00FD0F5C"/>
    <w:pPr>
      <w:numPr>
        <w:numId w:val="2"/>
      </w:numPr>
    </w:pPr>
    <w:rPr>
      <w:rFonts w:ascii="Times New Roman" w:hAnsi="Times New Roman"/>
    </w:rPr>
  </w:style>
  <w:style w:type="character" w:customStyle="1" w:styleId="MaintextCharChar">
    <w:name w:val="Main text Char Char"/>
    <w:rsid w:val="00FD0F5C"/>
    <w:rPr>
      <w:rFonts w:ascii="Arial" w:hAnsi="Arial"/>
      <w:sz w:val="24"/>
      <w:szCs w:val="24"/>
      <w:lang w:val="en-US" w:eastAsia="en-US" w:bidi="ar-SA"/>
    </w:rPr>
  </w:style>
  <w:style w:type="paragraph" w:styleId="BodyTextIndent3">
    <w:name w:val="Body Text Indent 3"/>
    <w:basedOn w:val="Normal"/>
    <w:link w:val="BodyTextIndent3Char"/>
    <w:rsid w:val="00FD0F5C"/>
    <w:pPr>
      <w:ind w:left="283"/>
    </w:pPr>
    <w:rPr>
      <w:sz w:val="16"/>
      <w:szCs w:val="16"/>
    </w:rPr>
  </w:style>
  <w:style w:type="paragraph" w:customStyle="1" w:styleId="Default">
    <w:name w:val="Default"/>
    <w:rsid w:val="00FD0F5C"/>
    <w:pPr>
      <w:autoSpaceDE w:val="0"/>
      <w:autoSpaceDN w:val="0"/>
      <w:adjustRightInd w:val="0"/>
    </w:pPr>
    <w:rPr>
      <w:rFonts w:ascii="Arial" w:eastAsia="SimSun" w:hAnsi="Arial" w:cs="Arial"/>
      <w:color w:val="000000"/>
      <w:sz w:val="24"/>
      <w:szCs w:val="24"/>
      <w:lang w:eastAsia="zh-CN"/>
    </w:rPr>
  </w:style>
  <w:style w:type="paragraph" w:styleId="BodyText">
    <w:name w:val="Body Text"/>
    <w:basedOn w:val="Normal"/>
    <w:link w:val="BodyTextChar"/>
    <w:rsid w:val="00FD0F5C"/>
    <w:rPr>
      <w:rFonts w:ascii="Times New Roman" w:hAnsi="Times New Roman"/>
    </w:rPr>
  </w:style>
  <w:style w:type="paragraph" w:customStyle="1" w:styleId="StyleHeading312ptWhite">
    <w:name w:val="Style Heading 3 + 12 pt White"/>
    <w:basedOn w:val="Heading3"/>
    <w:rsid w:val="00FD0F5C"/>
    <w:pPr>
      <w:spacing w:before="0" w:after="0"/>
      <w:ind w:left="0"/>
    </w:pPr>
    <w:rPr>
      <w:b/>
      <w:bCs/>
      <w:color w:val="FFFFFF"/>
      <w:sz w:val="26"/>
      <w:szCs w:val="20"/>
      <w:lang w:val="en-US"/>
    </w:rPr>
  </w:style>
  <w:style w:type="paragraph" w:customStyle="1" w:styleId="bullets">
    <w:name w:val="bullets"/>
    <w:basedOn w:val="Normal"/>
    <w:rsid w:val="00FD0F5C"/>
    <w:pPr>
      <w:numPr>
        <w:numId w:val="7"/>
      </w:numPr>
      <w:tabs>
        <w:tab w:val="left" w:pos="1276"/>
      </w:tabs>
      <w:ind w:left="1276" w:hanging="567"/>
    </w:pPr>
    <w:rPr>
      <w:szCs w:val="22"/>
    </w:rPr>
  </w:style>
  <w:style w:type="character" w:customStyle="1" w:styleId="bulletsChar2">
    <w:name w:val="bullets Char2"/>
    <w:rsid w:val="00FD0F5C"/>
    <w:rPr>
      <w:rFonts w:ascii="Arial" w:hAnsi="Arial"/>
      <w:sz w:val="22"/>
      <w:szCs w:val="22"/>
      <w:lang w:eastAsia="en-US"/>
    </w:rPr>
  </w:style>
  <w:style w:type="paragraph" w:styleId="BalloonText">
    <w:name w:val="Balloon Text"/>
    <w:basedOn w:val="Normal"/>
    <w:link w:val="BalloonTextChar"/>
    <w:uiPriority w:val="99"/>
    <w:semiHidden/>
    <w:rsid w:val="00FD0F5C"/>
    <w:rPr>
      <w:rFonts w:ascii="Tahoma" w:hAnsi="Tahoma"/>
      <w:sz w:val="16"/>
      <w:szCs w:val="16"/>
    </w:rPr>
  </w:style>
  <w:style w:type="paragraph" w:styleId="DocumentMap">
    <w:name w:val="Document Map"/>
    <w:basedOn w:val="Normal"/>
    <w:link w:val="DocumentMapChar"/>
    <w:semiHidden/>
    <w:rsid w:val="00FD0F5C"/>
    <w:pPr>
      <w:shd w:val="clear" w:color="auto" w:fill="000080"/>
    </w:pPr>
    <w:rPr>
      <w:rFonts w:ascii="Tahoma" w:hAnsi="Tahoma"/>
    </w:rPr>
  </w:style>
  <w:style w:type="character" w:customStyle="1" w:styleId="Hyperlink1">
    <w:name w:val="Hyperlink1"/>
    <w:rsid w:val="00FD0F5C"/>
    <w:rPr>
      <w:strike w:val="0"/>
      <w:dstrike w:val="0"/>
      <w:color w:val="008083"/>
      <w:u w:val="single"/>
      <w:effect w:val="none"/>
      <w:shd w:val="clear" w:color="auto" w:fill="auto"/>
    </w:rPr>
  </w:style>
  <w:style w:type="paragraph" w:customStyle="1" w:styleId="StyleMaintextJustified1">
    <w:name w:val="Style Main text + Justified1"/>
    <w:basedOn w:val="Maintext"/>
    <w:uiPriority w:val="99"/>
    <w:rsid w:val="00FD0F5C"/>
    <w:pPr>
      <w:numPr>
        <w:numId w:val="5"/>
      </w:numPr>
    </w:pPr>
    <w:rPr>
      <w:szCs w:val="20"/>
    </w:rPr>
  </w:style>
  <w:style w:type="character" w:customStyle="1" w:styleId="MaintextChar">
    <w:name w:val="Main text Char"/>
    <w:rsid w:val="00FD0F5C"/>
    <w:rPr>
      <w:rFonts w:ascii="Arial" w:hAnsi="Arial"/>
      <w:sz w:val="24"/>
      <w:szCs w:val="24"/>
      <w:lang w:val="en-GB" w:eastAsia="en-US" w:bidi="ar-SA"/>
    </w:rPr>
  </w:style>
  <w:style w:type="paragraph" w:customStyle="1" w:styleId="StyleMaintextLeft">
    <w:name w:val="Style Main text + Left"/>
    <w:basedOn w:val="Maintext"/>
    <w:rsid w:val="00FD0F5C"/>
    <w:rPr>
      <w:szCs w:val="20"/>
    </w:rPr>
  </w:style>
  <w:style w:type="paragraph" w:customStyle="1" w:styleId="StyleHeading3Firstline125cm">
    <w:name w:val="Style Heading 3 + First line:  1.25 cm"/>
    <w:basedOn w:val="Heading3"/>
    <w:rsid w:val="00FD0F5C"/>
    <w:pPr>
      <w:spacing w:before="0" w:after="0"/>
      <w:ind w:left="0" w:firstLine="709"/>
    </w:pPr>
    <w:rPr>
      <w:b/>
      <w:bCs/>
      <w:color w:val="auto"/>
      <w:sz w:val="26"/>
      <w:szCs w:val="20"/>
      <w:lang w:val="en-US"/>
    </w:rPr>
  </w:style>
  <w:style w:type="paragraph" w:styleId="EndnoteText">
    <w:name w:val="endnote text"/>
    <w:basedOn w:val="Normal"/>
    <w:link w:val="EndnoteTextChar"/>
    <w:semiHidden/>
    <w:unhideWhenUsed/>
    <w:rsid w:val="00FD0F5C"/>
    <w:rPr>
      <w:sz w:val="20"/>
      <w:szCs w:val="20"/>
    </w:rPr>
  </w:style>
  <w:style w:type="character" w:customStyle="1" w:styleId="CharChar2">
    <w:name w:val="Char Char2"/>
    <w:semiHidden/>
    <w:rsid w:val="00FD0F5C"/>
    <w:rPr>
      <w:rFonts w:ascii="Arial" w:hAnsi="Arial"/>
      <w:lang w:eastAsia="en-US"/>
    </w:rPr>
  </w:style>
  <w:style w:type="character" w:styleId="EndnoteReference">
    <w:name w:val="endnote reference"/>
    <w:semiHidden/>
    <w:unhideWhenUsed/>
    <w:rsid w:val="00FD0F5C"/>
    <w:rPr>
      <w:vertAlign w:val="superscript"/>
    </w:rPr>
  </w:style>
  <w:style w:type="character" w:customStyle="1" w:styleId="CharChar13">
    <w:name w:val="Char Char13"/>
    <w:rsid w:val="00FD0F5C"/>
    <w:rPr>
      <w:rFonts w:ascii="Arial" w:hAnsi="Arial" w:cs="Arial"/>
      <w:color w:val="008080"/>
      <w:sz w:val="28"/>
      <w:szCs w:val="28"/>
      <w:lang w:eastAsia="en-US"/>
    </w:rPr>
  </w:style>
  <w:style w:type="character" w:customStyle="1" w:styleId="CharChar12">
    <w:name w:val="Char Char12"/>
    <w:rsid w:val="00FD0F5C"/>
    <w:rPr>
      <w:rFonts w:ascii="Arial" w:hAnsi="Arial"/>
      <w:bCs/>
      <w:i/>
      <w:color w:val="008080"/>
      <w:sz w:val="24"/>
      <w:szCs w:val="24"/>
      <w:lang w:eastAsia="en-US"/>
    </w:rPr>
  </w:style>
  <w:style w:type="character" w:customStyle="1" w:styleId="DoNotUse5CharChar">
    <w:name w:val="Do Not Use 5 Char Char"/>
    <w:rsid w:val="00FD0F5C"/>
    <w:rPr>
      <w:rFonts w:ascii="Arial" w:hAnsi="Arial"/>
      <w:b/>
      <w:bCs/>
      <w:i/>
      <w:iCs/>
      <w:sz w:val="26"/>
      <w:szCs w:val="26"/>
      <w:lang w:eastAsia="en-US"/>
    </w:rPr>
  </w:style>
  <w:style w:type="character" w:customStyle="1" w:styleId="DoNotUse6CharChar">
    <w:name w:val="Do Not Use 6 Char Char"/>
    <w:rsid w:val="00FD0F5C"/>
    <w:rPr>
      <w:b/>
      <w:bCs/>
      <w:sz w:val="22"/>
      <w:szCs w:val="22"/>
      <w:lang w:eastAsia="en-US"/>
    </w:rPr>
  </w:style>
  <w:style w:type="character" w:customStyle="1" w:styleId="DoNotUse7CharChar">
    <w:name w:val="Do Not Use 7 Char Char"/>
    <w:rsid w:val="00FD0F5C"/>
    <w:rPr>
      <w:sz w:val="24"/>
      <w:szCs w:val="24"/>
      <w:lang w:eastAsia="en-US"/>
    </w:rPr>
  </w:style>
  <w:style w:type="character" w:customStyle="1" w:styleId="DoNotUse8CharChar">
    <w:name w:val="Do Not Use 8 Char Char"/>
    <w:rsid w:val="00FD0F5C"/>
    <w:rPr>
      <w:i/>
      <w:iCs/>
      <w:sz w:val="24"/>
      <w:szCs w:val="24"/>
      <w:lang w:eastAsia="en-US"/>
    </w:rPr>
  </w:style>
  <w:style w:type="character" w:customStyle="1" w:styleId="DoNotUse9CharChar">
    <w:name w:val="Do Not Use 9 Char Char"/>
    <w:rsid w:val="00FD0F5C"/>
    <w:rPr>
      <w:rFonts w:ascii="Arial" w:hAnsi="Arial" w:cs="Arial"/>
      <w:sz w:val="22"/>
      <w:szCs w:val="22"/>
      <w:lang w:eastAsia="en-US"/>
    </w:rPr>
  </w:style>
  <w:style w:type="character" w:customStyle="1" w:styleId="CharChar11">
    <w:name w:val="Char Char11"/>
    <w:rsid w:val="00FD0F5C"/>
    <w:rPr>
      <w:rFonts w:ascii="Arial" w:hAnsi="Arial"/>
      <w:sz w:val="24"/>
      <w:szCs w:val="24"/>
      <w:lang w:eastAsia="en-US"/>
    </w:rPr>
  </w:style>
  <w:style w:type="character" w:customStyle="1" w:styleId="CharChar10">
    <w:name w:val="Char Char10"/>
    <w:rsid w:val="00FD0F5C"/>
    <w:rPr>
      <w:rFonts w:ascii="Arial" w:hAnsi="Arial"/>
      <w:sz w:val="24"/>
      <w:szCs w:val="24"/>
      <w:lang w:eastAsia="en-US"/>
    </w:rPr>
  </w:style>
  <w:style w:type="character" w:customStyle="1" w:styleId="CharChar9">
    <w:name w:val="Char Char9"/>
    <w:semiHidden/>
    <w:rsid w:val="00FD0F5C"/>
    <w:rPr>
      <w:rFonts w:ascii="Arial" w:hAnsi="Arial"/>
      <w:lang w:eastAsia="en-US"/>
    </w:rPr>
  </w:style>
  <w:style w:type="character" w:customStyle="1" w:styleId="CharChar8">
    <w:name w:val="Char Char8"/>
    <w:rsid w:val="00FD0F5C"/>
    <w:rPr>
      <w:sz w:val="16"/>
      <w:szCs w:val="16"/>
      <w:lang w:eastAsia="en-US"/>
    </w:rPr>
  </w:style>
  <w:style w:type="character" w:customStyle="1" w:styleId="CharChar7">
    <w:name w:val="Char Char7"/>
    <w:rsid w:val="00FD0F5C"/>
    <w:rPr>
      <w:rFonts w:ascii="Arial" w:hAnsi="Arial"/>
      <w:sz w:val="24"/>
      <w:szCs w:val="24"/>
      <w:lang w:eastAsia="en-US"/>
    </w:rPr>
  </w:style>
  <w:style w:type="character" w:customStyle="1" w:styleId="CharChar6">
    <w:name w:val="Char Char6"/>
    <w:rsid w:val="00FD0F5C"/>
    <w:rPr>
      <w:rFonts w:ascii="Arial" w:hAnsi="Arial"/>
      <w:sz w:val="16"/>
      <w:szCs w:val="16"/>
      <w:lang w:eastAsia="en-US"/>
    </w:rPr>
  </w:style>
  <w:style w:type="character" w:customStyle="1" w:styleId="CharChar5">
    <w:name w:val="Char Char5"/>
    <w:rsid w:val="00FD0F5C"/>
    <w:rPr>
      <w:sz w:val="24"/>
      <w:szCs w:val="24"/>
      <w:lang w:eastAsia="en-US"/>
    </w:rPr>
  </w:style>
  <w:style w:type="character" w:customStyle="1" w:styleId="CharChar4">
    <w:name w:val="Char Char4"/>
    <w:rsid w:val="00FD0F5C"/>
    <w:rPr>
      <w:rFonts w:ascii="Tahoma" w:hAnsi="Tahoma" w:cs="Tahoma"/>
      <w:sz w:val="16"/>
      <w:szCs w:val="16"/>
      <w:lang w:eastAsia="en-US"/>
    </w:rPr>
  </w:style>
  <w:style w:type="character" w:customStyle="1" w:styleId="CharChar3">
    <w:name w:val="Char Char3"/>
    <w:semiHidden/>
    <w:rsid w:val="00FD0F5C"/>
    <w:rPr>
      <w:rFonts w:ascii="Tahoma" w:hAnsi="Tahoma" w:cs="Tahoma"/>
      <w:sz w:val="24"/>
      <w:szCs w:val="24"/>
      <w:shd w:val="clear" w:color="auto" w:fill="000080"/>
      <w:lang w:eastAsia="en-US"/>
    </w:rPr>
  </w:style>
  <w:style w:type="character" w:styleId="CommentReference">
    <w:name w:val="annotation reference"/>
    <w:uiPriority w:val="99"/>
    <w:rsid w:val="00FD0F5C"/>
    <w:rPr>
      <w:sz w:val="16"/>
      <w:szCs w:val="16"/>
    </w:rPr>
  </w:style>
  <w:style w:type="paragraph" w:styleId="CommentText">
    <w:name w:val="annotation text"/>
    <w:basedOn w:val="Normal"/>
    <w:link w:val="CommentTextChar"/>
    <w:uiPriority w:val="99"/>
    <w:rsid w:val="00FD0F5C"/>
    <w:rPr>
      <w:sz w:val="20"/>
      <w:szCs w:val="20"/>
    </w:rPr>
  </w:style>
  <w:style w:type="paragraph" w:styleId="CommentSubject">
    <w:name w:val="annotation subject"/>
    <w:basedOn w:val="CommentText"/>
    <w:next w:val="CommentText"/>
    <w:link w:val="CommentSubjectChar"/>
    <w:semiHidden/>
    <w:rsid w:val="00FD0F5C"/>
    <w:rPr>
      <w:b/>
      <w:bCs/>
    </w:rPr>
  </w:style>
  <w:style w:type="paragraph" w:customStyle="1" w:styleId="Normal9pt">
    <w:name w:val="Normal + 9 pt"/>
    <w:basedOn w:val="Normal"/>
    <w:rsid w:val="00FD0F5C"/>
    <w:pPr>
      <w:spacing w:before="0" w:after="0" w:line="250" w:lineRule="exact"/>
    </w:pPr>
    <w:rPr>
      <w:sz w:val="18"/>
      <w:szCs w:val="20"/>
    </w:rPr>
  </w:style>
  <w:style w:type="paragraph" w:styleId="BodyText2">
    <w:name w:val="Body Text 2"/>
    <w:basedOn w:val="Normal"/>
    <w:link w:val="BodyText2Char"/>
    <w:rsid w:val="00FD0F5C"/>
    <w:pPr>
      <w:spacing w:line="480" w:lineRule="auto"/>
    </w:pPr>
  </w:style>
  <w:style w:type="character" w:customStyle="1" w:styleId="CharChar1">
    <w:name w:val="Char Char1"/>
    <w:rsid w:val="00FD0F5C"/>
    <w:rPr>
      <w:rFonts w:ascii="Arial" w:hAnsi="Arial"/>
      <w:sz w:val="24"/>
      <w:szCs w:val="24"/>
      <w:lang w:eastAsia="en-US"/>
    </w:rPr>
  </w:style>
  <w:style w:type="character" w:customStyle="1" w:styleId="FootnoteTextChar">
    <w:name w:val="Footnote Text Char"/>
    <w:aliases w:val="EKOS Footnote Text Char"/>
    <w:link w:val="FootnoteText"/>
    <w:uiPriority w:val="99"/>
    <w:rsid w:val="00CD0D04"/>
    <w:rPr>
      <w:rFonts w:ascii="Arial" w:hAnsi="Arial"/>
      <w:sz w:val="16"/>
      <w:lang w:eastAsia="en-US"/>
    </w:rPr>
  </w:style>
  <w:style w:type="paragraph" w:styleId="ListParagraph">
    <w:name w:val="List Paragraph"/>
    <w:aliases w:val="Sub Head,Main-bullets,List Paragraph1,F5 List Paragraph,List Paragraph11,Numbered Para 1,Dot pt,List Paragraph Char Char Char,Indicator Text,Bullet Points,MAIN CONTENT,List Paragraph12"/>
    <w:basedOn w:val="Normal"/>
    <w:link w:val="ListParagraphChar"/>
    <w:uiPriority w:val="34"/>
    <w:rsid w:val="00BC23BD"/>
    <w:pPr>
      <w:ind w:left="720"/>
    </w:pPr>
  </w:style>
  <w:style w:type="character" w:customStyle="1" w:styleId="clear">
    <w:name w:val="clear"/>
    <w:basedOn w:val="DefaultParagraphFont"/>
    <w:rsid w:val="008704CC"/>
  </w:style>
  <w:style w:type="character" w:customStyle="1" w:styleId="Heading1Char">
    <w:name w:val="Heading 1 Char"/>
    <w:aliases w:val="Heading 1 New Char,Char1 Char,Section Char,Chapter Hdg Char,Economics Section Char,New Section Char,Economics Section Heading Char,My Heading 1 Char,Lev 1 Char,Section Heading Char,(Alt 1) Char,Numbered - 1 Char,Outline1 Char,1 ghost Char"/>
    <w:link w:val="Heading1"/>
    <w:rsid w:val="002F0D71"/>
    <w:rPr>
      <w:rFonts w:ascii="Calibri" w:hAnsi="Calibri"/>
      <w:bCs/>
      <w:color w:val="009999"/>
      <w:kern w:val="32"/>
      <w:sz w:val="40"/>
      <w:szCs w:val="28"/>
      <w:lang w:eastAsia="en-US"/>
    </w:rPr>
  </w:style>
  <w:style w:type="character" w:customStyle="1" w:styleId="Heading2Char">
    <w:name w:val="Heading 2 Char"/>
    <w:link w:val="Heading2"/>
    <w:uiPriority w:val="99"/>
    <w:rsid w:val="00412F6E"/>
    <w:rPr>
      <w:rFonts w:ascii="Calibri" w:hAnsi="Calibri"/>
      <w:bCs/>
      <w:iCs/>
      <w:color w:val="009999"/>
      <w:sz w:val="32"/>
      <w:szCs w:val="28"/>
      <w:lang w:eastAsia="en-US"/>
    </w:rPr>
  </w:style>
  <w:style w:type="character" w:customStyle="1" w:styleId="apple-converted-space">
    <w:name w:val="apple-converted-space"/>
    <w:basedOn w:val="DefaultParagraphFont"/>
    <w:rsid w:val="00E864F4"/>
  </w:style>
  <w:style w:type="paragraph" w:styleId="Revision">
    <w:name w:val="Revision"/>
    <w:hidden/>
    <w:uiPriority w:val="99"/>
    <w:semiHidden/>
    <w:rsid w:val="000F16B2"/>
    <w:rPr>
      <w:rFonts w:ascii="Arial" w:hAnsi="Arial"/>
      <w:sz w:val="24"/>
      <w:szCs w:val="24"/>
      <w:lang w:eastAsia="en-US"/>
    </w:rPr>
  </w:style>
  <w:style w:type="character" w:customStyle="1" w:styleId="Heading3Char1">
    <w:name w:val="Heading 3 Char1"/>
    <w:aliases w:val="Heading3 Char"/>
    <w:link w:val="Heading3"/>
    <w:uiPriority w:val="99"/>
    <w:rsid w:val="007677BC"/>
    <w:rPr>
      <w:rFonts w:ascii="Calibri" w:hAnsi="Calibri"/>
      <w:color w:val="009999"/>
      <w:sz w:val="28"/>
      <w:szCs w:val="28"/>
      <w:lang w:eastAsia="en-US"/>
    </w:rPr>
  </w:style>
  <w:style w:type="character" w:customStyle="1" w:styleId="Heading4Char">
    <w:name w:val="Heading 4 Char"/>
    <w:link w:val="Heading4"/>
    <w:rsid w:val="00412F6E"/>
    <w:rPr>
      <w:rFonts w:ascii="Calibri" w:hAnsi="Calibri"/>
      <w:bCs/>
      <w:i/>
      <w:color w:val="009999"/>
      <w:sz w:val="24"/>
      <w:szCs w:val="24"/>
      <w:lang w:eastAsia="en-US"/>
    </w:rPr>
  </w:style>
  <w:style w:type="character" w:customStyle="1" w:styleId="Heading5Char">
    <w:name w:val="Heading 5 Char"/>
    <w:aliases w:val="Do Not Use 5 Char,Economics Bullets Char,paragraph Char,Bold &amp; Italic Char,Paragraph Text Char,Lower Case Char2,Lower Case Char Char,Heading 5 Char1 Char,Lower Case Char1 Char,Bold &amp; Italic Char1 Char,paragraph Char Char Char Char"/>
    <w:link w:val="Heading5"/>
    <w:rsid w:val="002A4C96"/>
    <w:rPr>
      <w:rFonts w:ascii="Calibri" w:hAnsi="Calibri"/>
      <w:b/>
      <w:bCs/>
      <w:i/>
      <w:iCs/>
      <w:sz w:val="26"/>
      <w:szCs w:val="26"/>
      <w:lang w:eastAsia="en-US"/>
    </w:rPr>
  </w:style>
  <w:style w:type="character" w:customStyle="1" w:styleId="Heading6Char">
    <w:name w:val="Heading 6 Char"/>
    <w:aliases w:val="Do Not Use 6 Char,Economics Bullets 2 Char,level 1 bullet Char,Legal Level 1. Char,level 1 bullet 1 Char,level 1 bullet Char Char Char Char,level 1 bullet 1 Char Char Char Char,level 1 bullet 1 Char Char Char Char Char Char Char Char"/>
    <w:link w:val="Heading6"/>
    <w:rsid w:val="002A4C96"/>
    <w:rPr>
      <w:b/>
      <w:bCs/>
      <w:sz w:val="24"/>
      <w:szCs w:val="22"/>
      <w:lang w:eastAsia="en-US"/>
    </w:rPr>
  </w:style>
  <w:style w:type="character" w:customStyle="1" w:styleId="Heading7Char">
    <w:name w:val="Heading 7 Char"/>
    <w:aliases w:val="Do Not Use 7 Char,Economics List (i) Char,level 2 bullets Char,Legal Level 1.1. Char"/>
    <w:link w:val="Heading7"/>
    <w:rsid w:val="002A4C96"/>
    <w:rPr>
      <w:sz w:val="24"/>
      <w:szCs w:val="24"/>
      <w:lang w:eastAsia="en-US"/>
    </w:rPr>
  </w:style>
  <w:style w:type="character" w:customStyle="1" w:styleId="Heading8Char">
    <w:name w:val="Heading 8 Char"/>
    <w:aliases w:val="Do Not Use 8 Char,Economics List (a) Char,level 3 bullets Char,Legal Level 1.1.1. Char,Bullet 3 Char"/>
    <w:link w:val="Heading8"/>
    <w:rsid w:val="002A4C96"/>
    <w:rPr>
      <w:i/>
      <w:iCs/>
      <w:sz w:val="24"/>
      <w:szCs w:val="24"/>
      <w:lang w:eastAsia="en-US"/>
    </w:rPr>
  </w:style>
  <w:style w:type="character" w:customStyle="1" w:styleId="Heading9Char">
    <w:name w:val="Heading 9 Char"/>
    <w:aliases w:val="Do Not Use 9 Char,Legal Level 1.1.1.1. Char"/>
    <w:link w:val="Heading9"/>
    <w:rsid w:val="002A4C96"/>
    <w:rPr>
      <w:rFonts w:ascii="Calibri" w:hAnsi="Calibri"/>
      <w:sz w:val="24"/>
      <w:szCs w:val="22"/>
      <w:lang w:eastAsia="en-US"/>
    </w:rPr>
  </w:style>
  <w:style w:type="character" w:customStyle="1" w:styleId="HeaderChar">
    <w:name w:val="Header Char"/>
    <w:link w:val="Header"/>
    <w:rsid w:val="002A4C96"/>
    <w:rPr>
      <w:rFonts w:ascii="Arial" w:hAnsi="Arial"/>
      <w:sz w:val="24"/>
      <w:szCs w:val="24"/>
      <w:lang w:eastAsia="en-US"/>
    </w:rPr>
  </w:style>
  <w:style w:type="character" w:customStyle="1" w:styleId="FooterChar">
    <w:name w:val="Footer Char"/>
    <w:link w:val="Footer"/>
    <w:rsid w:val="002A4C96"/>
    <w:rPr>
      <w:rFonts w:ascii="Arial" w:hAnsi="Arial"/>
      <w:sz w:val="24"/>
      <w:szCs w:val="24"/>
      <w:lang w:eastAsia="en-US"/>
    </w:rPr>
  </w:style>
  <w:style w:type="character" w:customStyle="1" w:styleId="BodyText3Char">
    <w:name w:val="Body Text 3 Char"/>
    <w:link w:val="BodyText3"/>
    <w:rsid w:val="002A4C96"/>
    <w:rPr>
      <w:sz w:val="16"/>
      <w:szCs w:val="16"/>
      <w:lang w:eastAsia="en-US"/>
    </w:rPr>
  </w:style>
  <w:style w:type="character" w:customStyle="1" w:styleId="BodyTextIndentChar">
    <w:name w:val="Body Text Indent Char"/>
    <w:link w:val="BodyTextIndent"/>
    <w:rsid w:val="002A4C96"/>
    <w:rPr>
      <w:rFonts w:ascii="Calibri" w:hAnsi="Calibri"/>
      <w:sz w:val="24"/>
      <w:szCs w:val="24"/>
      <w:lang w:eastAsia="en-US"/>
    </w:rPr>
  </w:style>
  <w:style w:type="character" w:customStyle="1" w:styleId="BodyTextIndent3Char">
    <w:name w:val="Body Text Indent 3 Char"/>
    <w:link w:val="BodyTextIndent3"/>
    <w:rsid w:val="002A4C96"/>
    <w:rPr>
      <w:rFonts w:ascii="Arial" w:hAnsi="Arial"/>
      <w:sz w:val="16"/>
      <w:szCs w:val="16"/>
      <w:lang w:eastAsia="en-US"/>
    </w:rPr>
  </w:style>
  <w:style w:type="character" w:customStyle="1" w:styleId="BodyTextChar">
    <w:name w:val="Body Text Char"/>
    <w:link w:val="BodyText"/>
    <w:rsid w:val="002A4C96"/>
    <w:rPr>
      <w:sz w:val="24"/>
      <w:szCs w:val="24"/>
      <w:lang w:eastAsia="en-US"/>
    </w:rPr>
  </w:style>
  <w:style w:type="character" w:customStyle="1" w:styleId="BalloonTextChar">
    <w:name w:val="Balloon Text Char"/>
    <w:link w:val="BalloonText"/>
    <w:uiPriority w:val="99"/>
    <w:semiHidden/>
    <w:rsid w:val="002A4C96"/>
    <w:rPr>
      <w:rFonts w:ascii="Tahoma" w:hAnsi="Tahoma" w:cs="Tahoma"/>
      <w:sz w:val="16"/>
      <w:szCs w:val="16"/>
      <w:lang w:eastAsia="en-US"/>
    </w:rPr>
  </w:style>
  <w:style w:type="character" w:customStyle="1" w:styleId="DocumentMapChar">
    <w:name w:val="Document Map Char"/>
    <w:link w:val="DocumentMap"/>
    <w:semiHidden/>
    <w:rsid w:val="002A4C96"/>
    <w:rPr>
      <w:rFonts w:ascii="Tahoma" w:hAnsi="Tahoma" w:cs="Tahoma"/>
      <w:sz w:val="24"/>
      <w:szCs w:val="24"/>
      <w:shd w:val="clear" w:color="auto" w:fill="000080"/>
      <w:lang w:eastAsia="en-US"/>
    </w:rPr>
  </w:style>
  <w:style w:type="character" w:customStyle="1" w:styleId="EndnoteTextChar">
    <w:name w:val="Endnote Text Char"/>
    <w:link w:val="EndnoteText"/>
    <w:semiHidden/>
    <w:rsid w:val="002A4C96"/>
    <w:rPr>
      <w:rFonts w:ascii="Arial" w:hAnsi="Arial"/>
      <w:lang w:eastAsia="en-US"/>
    </w:rPr>
  </w:style>
  <w:style w:type="character" w:customStyle="1" w:styleId="CommentTextChar">
    <w:name w:val="Comment Text Char"/>
    <w:link w:val="CommentText"/>
    <w:uiPriority w:val="99"/>
    <w:rsid w:val="002A4C96"/>
    <w:rPr>
      <w:rFonts w:ascii="Arial" w:hAnsi="Arial"/>
      <w:lang w:eastAsia="en-US"/>
    </w:rPr>
  </w:style>
  <w:style w:type="character" w:customStyle="1" w:styleId="CommentSubjectChar">
    <w:name w:val="Comment Subject Char"/>
    <w:link w:val="CommentSubject"/>
    <w:semiHidden/>
    <w:rsid w:val="002A4C96"/>
    <w:rPr>
      <w:rFonts w:ascii="Arial" w:hAnsi="Arial"/>
      <w:b/>
      <w:bCs/>
      <w:lang w:eastAsia="en-US"/>
    </w:rPr>
  </w:style>
  <w:style w:type="character" w:customStyle="1" w:styleId="BodyText2Char">
    <w:name w:val="Body Text 2 Char"/>
    <w:link w:val="BodyText2"/>
    <w:rsid w:val="002A4C96"/>
    <w:rPr>
      <w:rFonts w:ascii="Arial" w:hAnsi="Arial"/>
      <w:sz w:val="24"/>
      <w:szCs w:val="24"/>
      <w:lang w:eastAsia="en-US"/>
    </w:rPr>
  </w:style>
  <w:style w:type="table" w:styleId="TableGrid">
    <w:name w:val="Table Grid"/>
    <w:basedOn w:val="TableNormal"/>
    <w:uiPriority w:val="59"/>
    <w:rsid w:val="002A4C96"/>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C16473"/>
    <w:rPr>
      <w:color w:val="800080"/>
      <w:u w:val="single"/>
    </w:rPr>
  </w:style>
  <w:style w:type="paragraph" w:styleId="PlainText">
    <w:name w:val="Plain Text"/>
    <w:basedOn w:val="Normal"/>
    <w:link w:val="PlainTextChar"/>
    <w:rsid w:val="00C16473"/>
    <w:pPr>
      <w:spacing w:before="0" w:after="0"/>
    </w:pPr>
    <w:rPr>
      <w:sz w:val="20"/>
      <w:szCs w:val="20"/>
    </w:rPr>
  </w:style>
  <w:style w:type="character" w:customStyle="1" w:styleId="Heading3Char">
    <w:name w:val="Heading 3 Char"/>
    <w:rsid w:val="00C16473"/>
    <w:rPr>
      <w:rFonts w:ascii="Arial" w:hAnsi="Arial" w:cs="Arial"/>
      <w:color w:val="008080"/>
      <w:sz w:val="28"/>
      <w:szCs w:val="28"/>
      <w:lang w:val="en-GB" w:eastAsia="en-US" w:bidi="ar-SA"/>
    </w:rPr>
  </w:style>
  <w:style w:type="paragraph" w:customStyle="1" w:styleId="CM33">
    <w:name w:val="CM33"/>
    <w:basedOn w:val="Normal"/>
    <w:next w:val="Normal"/>
    <w:rsid w:val="00C16473"/>
    <w:pPr>
      <w:widowControl w:val="0"/>
      <w:autoSpaceDE w:val="0"/>
      <w:autoSpaceDN w:val="0"/>
      <w:adjustRightInd w:val="0"/>
      <w:spacing w:before="0" w:after="268"/>
    </w:pPr>
    <w:rPr>
      <w:rFonts w:ascii="Georgia" w:hAnsi="Georgia"/>
      <w:lang w:val="en-US"/>
    </w:rPr>
  </w:style>
  <w:style w:type="paragraph" w:customStyle="1" w:styleId="CM37">
    <w:name w:val="CM37"/>
    <w:basedOn w:val="Default"/>
    <w:next w:val="Default"/>
    <w:rsid w:val="00C16473"/>
    <w:pPr>
      <w:widowControl w:val="0"/>
      <w:spacing w:after="768"/>
    </w:pPr>
    <w:rPr>
      <w:rFonts w:ascii="Georgia" w:eastAsia="Times New Roman" w:hAnsi="Georgia" w:cs="Times New Roman"/>
      <w:color w:val="auto"/>
      <w:lang w:val="en-US" w:eastAsia="en-US"/>
    </w:rPr>
  </w:style>
  <w:style w:type="paragraph" w:styleId="NormalWeb">
    <w:name w:val="Normal (Web)"/>
    <w:basedOn w:val="Normal"/>
    <w:uiPriority w:val="99"/>
    <w:rsid w:val="00C16473"/>
    <w:pPr>
      <w:spacing w:before="100" w:beforeAutospacing="1" w:after="100" w:afterAutospacing="1"/>
    </w:pPr>
    <w:rPr>
      <w:rFonts w:ascii="Times New Roman" w:hAnsi="Times New Roman"/>
      <w:lang w:eastAsia="en-GB"/>
    </w:rPr>
  </w:style>
  <w:style w:type="character" w:customStyle="1" w:styleId="legdslegrhslegp2text">
    <w:name w:val="legds legrhs legp2text"/>
    <w:basedOn w:val="DefaultParagraphFont"/>
    <w:rsid w:val="00C16473"/>
  </w:style>
  <w:style w:type="character" w:customStyle="1" w:styleId="legdslegp1grouptitle">
    <w:name w:val="legds legp1grouptitle"/>
    <w:basedOn w:val="DefaultParagraphFont"/>
    <w:rsid w:val="00C16473"/>
  </w:style>
  <w:style w:type="character" w:customStyle="1" w:styleId="BodytextdcChar">
    <w:name w:val="Body text dc Char"/>
    <w:link w:val="Bodytextdc"/>
    <w:locked/>
    <w:rsid w:val="001C2C07"/>
    <w:rPr>
      <w:rFonts w:ascii="TimesNewRomanPS" w:hAnsi="TimesNewRomanPS" w:cs="TimesNewRomanPS"/>
      <w:color w:val="000000"/>
      <w:sz w:val="28"/>
      <w:szCs w:val="28"/>
      <w:lang w:eastAsia="en-US"/>
    </w:rPr>
  </w:style>
  <w:style w:type="paragraph" w:customStyle="1" w:styleId="Bodytextdc">
    <w:name w:val="Body text dc"/>
    <w:basedOn w:val="Normal"/>
    <w:link w:val="BodytextdcChar"/>
    <w:rsid w:val="001C2C07"/>
    <w:pPr>
      <w:widowControl w:val="0"/>
      <w:tabs>
        <w:tab w:val="left" w:pos="539"/>
        <w:tab w:val="left" w:pos="850"/>
      </w:tabs>
      <w:suppressAutoHyphens/>
      <w:autoSpaceDE w:val="0"/>
      <w:autoSpaceDN w:val="0"/>
      <w:adjustRightInd w:val="0"/>
      <w:spacing w:before="0" w:after="280" w:line="340" w:lineRule="atLeast"/>
    </w:pPr>
    <w:rPr>
      <w:rFonts w:ascii="TimesNewRomanPS" w:hAnsi="TimesNewRomanPS"/>
      <w:color w:val="000000"/>
      <w:sz w:val="28"/>
      <w:szCs w:val="28"/>
    </w:rPr>
  </w:style>
  <w:style w:type="table" w:styleId="TableColumns3">
    <w:name w:val="Table Columns 3"/>
    <w:basedOn w:val="TableNormal"/>
    <w:rsid w:val="001C2C07"/>
    <w:pPr>
      <w:spacing w:before="120" w:after="1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Reporttext">
    <w:name w:val="Report text"/>
    <w:basedOn w:val="Maintext"/>
    <w:link w:val="ReporttextChar"/>
    <w:qFormat/>
    <w:rsid w:val="001F27D2"/>
    <w:pPr>
      <w:numPr>
        <w:numId w:val="30"/>
      </w:numPr>
      <w:spacing w:before="0"/>
    </w:pPr>
    <w:rPr>
      <w:rFonts w:asciiTheme="minorHAnsi" w:hAnsiTheme="minorHAnsi" w:cs="Calibri"/>
    </w:rPr>
  </w:style>
  <w:style w:type="character" w:customStyle="1" w:styleId="MaintextChar1">
    <w:name w:val="Main text Char1"/>
    <w:link w:val="Maintext"/>
    <w:rsid w:val="001C2C07"/>
    <w:rPr>
      <w:rFonts w:ascii="Calibri" w:hAnsi="Calibri"/>
      <w:sz w:val="24"/>
      <w:szCs w:val="24"/>
      <w:lang w:eastAsia="en-US"/>
    </w:rPr>
  </w:style>
  <w:style w:type="character" w:customStyle="1" w:styleId="ReporttextChar">
    <w:name w:val="Report text Char"/>
    <w:link w:val="Reporttext"/>
    <w:rsid w:val="001F27D2"/>
    <w:rPr>
      <w:rFonts w:asciiTheme="minorHAnsi" w:hAnsiTheme="minorHAnsi" w:cs="Calibri"/>
      <w:sz w:val="24"/>
      <w:szCs w:val="24"/>
      <w:lang w:eastAsia="en-US"/>
    </w:rPr>
  </w:style>
  <w:style w:type="table" w:styleId="LightList-Accent4">
    <w:name w:val="Light List Accent 4"/>
    <w:basedOn w:val="TableNormal"/>
    <w:uiPriority w:val="61"/>
    <w:rsid w:val="00185C4E"/>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styleId="NoSpacing">
    <w:name w:val="No Spacing"/>
    <w:link w:val="NoSpacingChar"/>
    <w:uiPriority w:val="1"/>
    <w:rsid w:val="0004072A"/>
    <w:rPr>
      <w:rFonts w:ascii="Calibri" w:hAnsi="Calibri"/>
      <w:sz w:val="22"/>
      <w:szCs w:val="22"/>
      <w:lang w:val="en-US" w:eastAsia="en-US"/>
    </w:rPr>
  </w:style>
  <w:style w:type="character" w:customStyle="1" w:styleId="NoSpacingChar">
    <w:name w:val="No Spacing Char"/>
    <w:link w:val="NoSpacing"/>
    <w:uiPriority w:val="1"/>
    <w:rsid w:val="0004072A"/>
    <w:rPr>
      <w:rFonts w:ascii="Calibri" w:hAnsi="Calibri"/>
      <w:sz w:val="22"/>
      <w:szCs w:val="22"/>
      <w:lang w:val="en-US" w:eastAsia="en-US" w:bidi="ar-SA"/>
    </w:rPr>
  </w:style>
  <w:style w:type="table" w:customStyle="1" w:styleId="LightList-Accent11">
    <w:name w:val="Light List - Accent 11"/>
    <w:basedOn w:val="TableNormal"/>
    <w:uiPriority w:val="61"/>
    <w:rsid w:val="00100EF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StyleHelveticaNeue-Light24pt">
    <w:name w:val="Style HelveticaNeue-Light 24 pt"/>
    <w:rsid w:val="002F1584"/>
    <w:rPr>
      <w:rFonts w:ascii="Arial" w:hAnsi="Arial"/>
      <w:sz w:val="48"/>
    </w:rPr>
  </w:style>
  <w:style w:type="paragraph" w:customStyle="1" w:styleId="abullet">
    <w:name w:val="a. bullet"/>
    <w:basedOn w:val="PlainText"/>
    <w:rsid w:val="006458D3"/>
    <w:pPr>
      <w:numPr>
        <w:numId w:val="8"/>
      </w:numPr>
    </w:pPr>
    <w:rPr>
      <w:rFonts w:eastAsia="MS Mincho"/>
    </w:rPr>
  </w:style>
  <w:style w:type="paragraph" w:customStyle="1" w:styleId="1bullet">
    <w:name w:val="1. bullet"/>
    <w:basedOn w:val="PlainText"/>
    <w:rsid w:val="006458D3"/>
    <w:pPr>
      <w:tabs>
        <w:tab w:val="num" w:pos="709"/>
      </w:tabs>
      <w:ind w:left="709" w:hanging="709"/>
    </w:pPr>
    <w:rPr>
      <w:rFonts w:eastAsia="MS Mincho"/>
    </w:rPr>
  </w:style>
  <w:style w:type="paragraph" w:customStyle="1" w:styleId="2bullet">
    <w:name w:val="2. bullet"/>
    <w:basedOn w:val="1bullet"/>
    <w:rsid w:val="006458D3"/>
    <w:pPr>
      <w:tabs>
        <w:tab w:val="clear" w:pos="709"/>
        <w:tab w:val="num" w:pos="1134"/>
      </w:tabs>
      <w:ind w:left="1134" w:hanging="425"/>
    </w:pPr>
  </w:style>
  <w:style w:type="paragraph" w:customStyle="1" w:styleId="3bullet">
    <w:name w:val="3. bullet"/>
    <w:basedOn w:val="2bullet"/>
    <w:uiPriority w:val="99"/>
    <w:rsid w:val="006458D3"/>
    <w:pPr>
      <w:numPr>
        <w:numId w:val="11"/>
      </w:numPr>
    </w:pPr>
  </w:style>
  <w:style w:type="paragraph" w:customStyle="1" w:styleId="xl24">
    <w:name w:val="xl24"/>
    <w:basedOn w:val="Normal"/>
    <w:rsid w:val="006458D3"/>
    <w:pPr>
      <w:spacing w:before="100" w:beforeAutospacing="1" w:after="100" w:afterAutospacing="1"/>
    </w:pPr>
    <w:rPr>
      <w:rFonts w:cs="Arial"/>
    </w:rPr>
  </w:style>
  <w:style w:type="paragraph" w:customStyle="1" w:styleId="xl25">
    <w:name w:val="xl25"/>
    <w:basedOn w:val="Normal"/>
    <w:rsid w:val="006458D3"/>
    <w:pPr>
      <w:spacing w:before="100" w:beforeAutospacing="1" w:after="100" w:afterAutospacing="1"/>
    </w:pPr>
    <w:rPr>
      <w:rFonts w:cs="Arial"/>
      <w:sz w:val="16"/>
      <w:szCs w:val="16"/>
    </w:rPr>
  </w:style>
  <w:style w:type="character" w:customStyle="1" w:styleId="highlightedsearchterm">
    <w:name w:val="highlightedsearchterm"/>
    <w:basedOn w:val="DefaultParagraphFont"/>
    <w:rsid w:val="006458D3"/>
  </w:style>
  <w:style w:type="character" w:customStyle="1" w:styleId="PlainTextChar">
    <w:name w:val="Plain Text Char"/>
    <w:link w:val="PlainText"/>
    <w:rsid w:val="00EF389E"/>
    <w:rPr>
      <w:rFonts w:ascii="Arial" w:hAnsi="Arial" w:cs="Courier New"/>
      <w:lang w:eastAsia="en-US"/>
    </w:rPr>
  </w:style>
  <w:style w:type="paragraph" w:customStyle="1" w:styleId="tableheading">
    <w:name w:val="tableheading"/>
    <w:basedOn w:val="Normal"/>
    <w:next w:val="Normal"/>
    <w:link w:val="tableheadingChar"/>
    <w:rsid w:val="00C925B4"/>
    <w:rPr>
      <w:rFonts w:cs="Arial"/>
      <w:b/>
      <w:color w:val="FFFFFF" w:themeColor="background1"/>
      <w:sz w:val="22"/>
    </w:rPr>
  </w:style>
  <w:style w:type="paragraph" w:customStyle="1" w:styleId="bullet">
    <w:name w:val="bullet"/>
    <w:basedOn w:val="ListParagraph"/>
    <w:link w:val="bulletChar"/>
    <w:qFormat/>
    <w:rsid w:val="00323A61"/>
    <w:pPr>
      <w:numPr>
        <w:numId w:val="9"/>
      </w:numPr>
    </w:pPr>
  </w:style>
  <w:style w:type="character" w:customStyle="1" w:styleId="tableheadingChar">
    <w:name w:val="tableheading Char"/>
    <w:link w:val="tableheading"/>
    <w:rsid w:val="00C925B4"/>
    <w:rPr>
      <w:rFonts w:ascii="Arial" w:hAnsi="Arial" w:cs="Arial"/>
      <w:b/>
      <w:color w:val="FFFFFF" w:themeColor="background1"/>
      <w:sz w:val="22"/>
      <w:szCs w:val="24"/>
      <w:lang w:eastAsia="en-US"/>
    </w:rPr>
  </w:style>
  <w:style w:type="paragraph" w:customStyle="1" w:styleId="mapheading">
    <w:name w:val="mapheading"/>
    <w:basedOn w:val="Normal"/>
    <w:link w:val="mapheadingChar"/>
    <w:rsid w:val="00412F6E"/>
    <w:pPr>
      <w:spacing w:before="0" w:after="0"/>
    </w:pPr>
    <w:rPr>
      <w:b/>
      <w:color w:val="009999"/>
      <w:sz w:val="22"/>
    </w:rPr>
  </w:style>
  <w:style w:type="character" w:customStyle="1" w:styleId="ListParagraphChar">
    <w:name w:val="List Paragraph Char"/>
    <w:aliases w:val="Sub Head Char,Main-bullets Char1,List Paragraph1 Char,F5 List Paragraph Char,List Paragraph11 Char,Numbered Para 1 Char,Dot pt Char,List Paragraph Char Char Char Char,Indicator Text Char,Bullet Points Char,MAIN CONTENT Char"/>
    <w:link w:val="ListParagraph"/>
    <w:uiPriority w:val="34"/>
    <w:rsid w:val="0017107B"/>
    <w:rPr>
      <w:rFonts w:ascii="Arial" w:hAnsi="Arial"/>
      <w:sz w:val="24"/>
      <w:szCs w:val="24"/>
      <w:lang w:eastAsia="en-US"/>
    </w:rPr>
  </w:style>
  <w:style w:type="character" w:customStyle="1" w:styleId="bulletChar">
    <w:name w:val="bullet Char"/>
    <w:link w:val="bullet"/>
    <w:rsid w:val="00323A61"/>
    <w:rPr>
      <w:rFonts w:ascii="Calibri" w:hAnsi="Calibri"/>
      <w:sz w:val="24"/>
      <w:szCs w:val="24"/>
      <w:lang w:eastAsia="en-US"/>
    </w:rPr>
  </w:style>
  <w:style w:type="character" w:customStyle="1" w:styleId="mapheadingChar">
    <w:name w:val="mapheading Char"/>
    <w:link w:val="mapheading"/>
    <w:rsid w:val="00412F6E"/>
    <w:rPr>
      <w:rFonts w:ascii="Calibri" w:hAnsi="Calibri"/>
      <w:b/>
      <w:color w:val="009999"/>
      <w:sz w:val="22"/>
      <w:szCs w:val="24"/>
      <w:lang w:eastAsia="en-US"/>
    </w:rPr>
  </w:style>
  <w:style w:type="paragraph" w:customStyle="1" w:styleId="figureheading">
    <w:name w:val="figureheading"/>
    <w:basedOn w:val="mapheading"/>
    <w:next w:val="Normal"/>
    <w:link w:val="figureheadingChar"/>
    <w:rsid w:val="00412F6E"/>
  </w:style>
  <w:style w:type="character" w:styleId="Strong">
    <w:name w:val="Strong"/>
    <w:uiPriority w:val="22"/>
    <w:rsid w:val="005620AF"/>
    <w:rPr>
      <w:b/>
      <w:bCs/>
    </w:rPr>
  </w:style>
  <w:style w:type="character" w:customStyle="1" w:styleId="figureheadingChar">
    <w:name w:val="figureheading Char"/>
    <w:link w:val="figureheading"/>
    <w:rsid w:val="00412F6E"/>
    <w:rPr>
      <w:rFonts w:ascii="Calibri" w:hAnsi="Calibri"/>
      <w:b/>
      <w:color w:val="009999"/>
      <w:sz w:val="22"/>
      <w:szCs w:val="24"/>
      <w:lang w:eastAsia="en-US"/>
    </w:rPr>
  </w:style>
  <w:style w:type="paragraph" w:customStyle="1" w:styleId="frontpage">
    <w:name w:val="front page"/>
    <w:basedOn w:val="Normal"/>
    <w:autoRedefine/>
    <w:rsid w:val="00C91109"/>
    <w:pPr>
      <w:spacing w:before="720" w:after="720"/>
      <w:jc w:val="center"/>
    </w:pPr>
    <w:rPr>
      <w:b/>
      <w:caps/>
      <w:sz w:val="28"/>
      <w:szCs w:val="20"/>
    </w:rPr>
  </w:style>
  <w:style w:type="numbering" w:customStyle="1" w:styleId="Reportnumberingstyle">
    <w:name w:val="Report numbering style"/>
    <w:uiPriority w:val="99"/>
    <w:rsid w:val="00E90774"/>
    <w:pPr>
      <w:numPr>
        <w:numId w:val="16"/>
      </w:numPr>
    </w:pPr>
  </w:style>
  <w:style w:type="paragraph" w:customStyle="1" w:styleId="TOCHeading1">
    <w:name w:val="TOC Heading1"/>
    <w:basedOn w:val="Normal"/>
    <w:link w:val="TOCheadingChar"/>
    <w:qFormat/>
    <w:rsid w:val="00385919"/>
    <w:pPr>
      <w:spacing w:before="0" w:after="0"/>
    </w:pPr>
    <w:rPr>
      <w:rFonts w:cs="Arial"/>
      <w:color w:val="009999"/>
      <w:sz w:val="28"/>
      <w:szCs w:val="28"/>
    </w:rPr>
  </w:style>
  <w:style w:type="character" w:customStyle="1" w:styleId="TOCheadingChar">
    <w:name w:val="TOC heading Char"/>
    <w:basedOn w:val="DefaultParagraphFont"/>
    <w:link w:val="TOCHeading1"/>
    <w:rsid w:val="00385919"/>
    <w:rPr>
      <w:rFonts w:ascii="Arial" w:hAnsi="Arial" w:cs="Arial"/>
      <w:color w:val="009999"/>
      <w:sz w:val="28"/>
      <w:szCs w:val="28"/>
      <w:lang w:eastAsia="en-US"/>
    </w:rPr>
  </w:style>
  <w:style w:type="paragraph" w:styleId="Caption">
    <w:name w:val="caption"/>
    <w:basedOn w:val="Normal"/>
    <w:next w:val="Normal"/>
    <w:rsid w:val="00E16927"/>
    <w:pPr>
      <w:spacing w:line="360" w:lineRule="auto"/>
    </w:pPr>
    <w:rPr>
      <w:rFonts w:ascii="GillSans" w:hAnsi="GillSans"/>
      <w:b/>
      <w:bCs/>
      <w:sz w:val="20"/>
      <w:szCs w:val="20"/>
    </w:rPr>
  </w:style>
  <w:style w:type="paragraph" w:customStyle="1" w:styleId="HTMLBody">
    <w:name w:val="HTML Body"/>
    <w:rsid w:val="00E16927"/>
    <w:rPr>
      <w:rFonts w:ascii="Arial" w:hAnsi="Arial"/>
      <w:snapToGrid w:val="0"/>
      <w:lang w:val="en-US" w:eastAsia="en-US"/>
    </w:rPr>
  </w:style>
  <w:style w:type="paragraph" w:customStyle="1" w:styleId="CM22">
    <w:name w:val="CM22"/>
    <w:basedOn w:val="Default"/>
    <w:next w:val="Default"/>
    <w:rsid w:val="00E16927"/>
    <w:pPr>
      <w:widowControl w:val="0"/>
      <w:spacing w:after="445"/>
    </w:pPr>
    <w:rPr>
      <w:rFonts w:eastAsia="Times New Roman" w:cs="Times New Roman"/>
      <w:color w:val="auto"/>
      <w:lang w:val="en-US" w:eastAsia="en-US"/>
    </w:rPr>
  </w:style>
  <w:style w:type="paragraph" w:customStyle="1" w:styleId="CM23">
    <w:name w:val="CM23"/>
    <w:basedOn w:val="Default"/>
    <w:next w:val="Default"/>
    <w:rsid w:val="00E16927"/>
    <w:pPr>
      <w:widowControl w:val="0"/>
      <w:spacing w:after="253"/>
    </w:pPr>
    <w:rPr>
      <w:rFonts w:eastAsia="Times New Roman" w:cs="Times New Roman"/>
      <w:color w:val="auto"/>
      <w:lang w:val="en-US" w:eastAsia="en-US"/>
    </w:rPr>
  </w:style>
  <w:style w:type="paragraph" w:customStyle="1" w:styleId="CM25">
    <w:name w:val="CM25"/>
    <w:basedOn w:val="Default"/>
    <w:next w:val="Default"/>
    <w:rsid w:val="00E16927"/>
    <w:pPr>
      <w:widowControl w:val="0"/>
      <w:spacing w:after="508"/>
    </w:pPr>
    <w:rPr>
      <w:rFonts w:eastAsia="Times New Roman" w:cs="Times New Roman"/>
      <w:color w:val="auto"/>
      <w:lang w:val="en-US" w:eastAsia="en-US"/>
    </w:rPr>
  </w:style>
  <w:style w:type="paragraph" w:customStyle="1" w:styleId="CM6">
    <w:name w:val="CM6"/>
    <w:basedOn w:val="Default"/>
    <w:next w:val="Default"/>
    <w:rsid w:val="00E16927"/>
    <w:pPr>
      <w:widowControl w:val="0"/>
      <w:spacing w:line="260" w:lineRule="atLeast"/>
    </w:pPr>
    <w:rPr>
      <w:rFonts w:eastAsia="Times New Roman" w:cs="Times New Roman"/>
      <w:color w:val="auto"/>
      <w:lang w:val="en-US" w:eastAsia="en-US"/>
    </w:rPr>
  </w:style>
  <w:style w:type="paragraph" w:customStyle="1" w:styleId="CM14">
    <w:name w:val="CM14"/>
    <w:basedOn w:val="Default"/>
    <w:next w:val="Default"/>
    <w:rsid w:val="00E16927"/>
    <w:pPr>
      <w:widowControl w:val="0"/>
      <w:spacing w:line="260" w:lineRule="atLeast"/>
    </w:pPr>
    <w:rPr>
      <w:rFonts w:eastAsia="Times New Roman" w:cs="Times New Roman"/>
      <w:color w:val="auto"/>
      <w:lang w:val="en-US" w:eastAsia="en-US"/>
    </w:rPr>
  </w:style>
  <w:style w:type="paragraph" w:customStyle="1" w:styleId="CM28">
    <w:name w:val="CM28"/>
    <w:basedOn w:val="Default"/>
    <w:next w:val="Default"/>
    <w:rsid w:val="00E16927"/>
    <w:pPr>
      <w:widowControl w:val="0"/>
      <w:spacing w:after="170"/>
    </w:pPr>
    <w:rPr>
      <w:rFonts w:eastAsia="Times New Roman" w:cs="Times New Roman"/>
      <w:color w:val="auto"/>
      <w:lang w:val="en-US" w:eastAsia="en-US"/>
    </w:rPr>
  </w:style>
  <w:style w:type="paragraph" w:customStyle="1" w:styleId="bullet20">
    <w:name w:val="bullet 2"/>
    <w:basedOn w:val="Normal"/>
    <w:rsid w:val="00E16927"/>
    <w:pPr>
      <w:numPr>
        <w:ilvl w:val="2"/>
        <w:numId w:val="12"/>
      </w:numPr>
      <w:spacing w:before="0" w:after="0"/>
    </w:pPr>
  </w:style>
  <w:style w:type="paragraph" w:styleId="BodyTextIndent2">
    <w:name w:val="Body Text Indent 2"/>
    <w:basedOn w:val="Normal"/>
    <w:link w:val="BodyTextIndent2Char"/>
    <w:rsid w:val="00E16927"/>
    <w:pPr>
      <w:spacing w:before="0" w:after="0"/>
      <w:ind w:left="720"/>
    </w:pPr>
  </w:style>
  <w:style w:type="character" w:customStyle="1" w:styleId="BodyTextIndent2Char">
    <w:name w:val="Body Text Indent 2 Char"/>
    <w:basedOn w:val="DefaultParagraphFont"/>
    <w:link w:val="BodyTextIndent2"/>
    <w:rsid w:val="00E16927"/>
    <w:rPr>
      <w:rFonts w:ascii="Arial" w:hAnsi="Arial"/>
      <w:sz w:val="24"/>
      <w:szCs w:val="24"/>
      <w:lang w:eastAsia="en-US"/>
    </w:rPr>
  </w:style>
  <w:style w:type="paragraph" w:customStyle="1" w:styleId="StyleHeading214ptDarkBlueLeft125cmHanging125">
    <w:name w:val="Style Heading 2 + 14 pt Dark Blue Left:  1.25 cm Hanging:  1.25 ..."/>
    <w:basedOn w:val="Heading2"/>
    <w:rsid w:val="00E16927"/>
    <w:pPr>
      <w:tabs>
        <w:tab w:val="clear" w:pos="709"/>
      </w:tabs>
      <w:spacing w:before="240" w:after="60"/>
      <w:jc w:val="left"/>
    </w:pPr>
    <w:rPr>
      <w:iCs w:val="0"/>
      <w:color w:val="000080"/>
      <w:sz w:val="28"/>
      <w:szCs w:val="20"/>
    </w:rPr>
  </w:style>
  <w:style w:type="paragraph" w:customStyle="1" w:styleId="StyleHeading2Left125cmHanging125cmBefore12pt">
    <w:name w:val="Style Heading 2 + Left:  1.25 cm Hanging:  1.25 cm Before:  12 pt..."/>
    <w:basedOn w:val="Heading2"/>
    <w:rsid w:val="00E16927"/>
    <w:pPr>
      <w:tabs>
        <w:tab w:val="clear" w:pos="709"/>
      </w:tabs>
      <w:spacing w:before="240" w:after="60"/>
      <w:jc w:val="left"/>
    </w:pPr>
    <w:rPr>
      <w:iCs w:val="0"/>
      <w:color w:val="333399"/>
      <w:sz w:val="28"/>
      <w:szCs w:val="20"/>
    </w:rPr>
  </w:style>
  <w:style w:type="paragraph" w:customStyle="1" w:styleId="StyleHeading2Left127cm">
    <w:name w:val="Style Heading 2 + Left:  1.27 cm"/>
    <w:basedOn w:val="Heading2"/>
    <w:rsid w:val="00E16927"/>
    <w:pPr>
      <w:tabs>
        <w:tab w:val="clear" w:pos="709"/>
      </w:tabs>
      <w:spacing w:before="0" w:after="0"/>
      <w:ind w:left="720" w:firstLine="0"/>
      <w:jc w:val="left"/>
    </w:pPr>
    <w:rPr>
      <w:iCs w:val="0"/>
      <w:color w:val="333399"/>
      <w:sz w:val="28"/>
      <w:szCs w:val="20"/>
    </w:rPr>
  </w:style>
  <w:style w:type="character" w:styleId="Emphasis">
    <w:name w:val="Emphasis"/>
    <w:uiPriority w:val="20"/>
    <w:rsid w:val="00E16927"/>
    <w:rPr>
      <w:i/>
      <w:iCs/>
    </w:rPr>
  </w:style>
  <w:style w:type="paragraph" w:customStyle="1" w:styleId="DefaultText">
    <w:name w:val="Default Text"/>
    <w:basedOn w:val="Normal"/>
    <w:rsid w:val="00E16927"/>
    <w:pPr>
      <w:overflowPunct w:val="0"/>
      <w:autoSpaceDE w:val="0"/>
      <w:autoSpaceDN w:val="0"/>
      <w:adjustRightInd w:val="0"/>
      <w:spacing w:before="0" w:after="0"/>
      <w:textAlignment w:val="baseline"/>
    </w:pPr>
    <w:rPr>
      <w:rFonts w:ascii="Times New Roman" w:hAnsi="Times New Roman"/>
      <w:noProof/>
      <w:szCs w:val="20"/>
    </w:rPr>
  </w:style>
  <w:style w:type="paragraph" w:customStyle="1" w:styleId="StyleLinespacingsingle">
    <w:name w:val="Style Line spacing:  single"/>
    <w:basedOn w:val="Normal"/>
    <w:rsid w:val="00E16927"/>
    <w:rPr>
      <w:szCs w:val="20"/>
    </w:rPr>
  </w:style>
  <w:style w:type="paragraph" w:styleId="TOCHeading">
    <w:name w:val="TOC Heading"/>
    <w:basedOn w:val="Heading1"/>
    <w:next w:val="Normal"/>
    <w:uiPriority w:val="39"/>
    <w:unhideWhenUsed/>
    <w:rsid w:val="00E16927"/>
    <w:pPr>
      <w:keepLines/>
      <w:numPr>
        <w:numId w:val="0"/>
      </w:numPr>
      <w:spacing w:before="480" w:after="0" w:line="276" w:lineRule="auto"/>
      <w:outlineLvl w:val="9"/>
    </w:pPr>
    <w:rPr>
      <w:rFonts w:ascii="Cambria" w:hAnsi="Cambria"/>
      <w:b/>
      <w:color w:val="365F91"/>
      <w:kern w:val="0"/>
      <w:sz w:val="28"/>
      <w:lang w:val="en-US"/>
    </w:rPr>
  </w:style>
  <w:style w:type="paragraph" w:customStyle="1" w:styleId="prec4">
    <w:name w:val="prec4"/>
    <w:basedOn w:val="Normal"/>
    <w:rsid w:val="00E16927"/>
    <w:pPr>
      <w:numPr>
        <w:ilvl w:val="3"/>
        <w:numId w:val="13"/>
      </w:numPr>
      <w:spacing w:before="0" w:after="240" w:line="360" w:lineRule="auto"/>
    </w:pPr>
    <w:rPr>
      <w:rFonts w:ascii="Times New Roman" w:hAnsi="Times New Roman"/>
      <w:szCs w:val="20"/>
    </w:rPr>
  </w:style>
  <w:style w:type="paragraph" w:customStyle="1" w:styleId="mrukbody1">
    <w:name w:val="mruk_body1"/>
    <w:basedOn w:val="Normal"/>
    <w:link w:val="mrukbody1Char1"/>
    <w:rsid w:val="00E16927"/>
    <w:pPr>
      <w:spacing w:before="0" w:after="0" w:line="260" w:lineRule="exact"/>
    </w:pPr>
    <w:rPr>
      <w:szCs w:val="20"/>
    </w:rPr>
  </w:style>
  <w:style w:type="character" w:customStyle="1" w:styleId="mrukbody1Char1">
    <w:name w:val="mruk_body1 Char1"/>
    <w:link w:val="mrukbody1"/>
    <w:rsid w:val="00E16927"/>
    <w:rPr>
      <w:rFonts w:ascii="Arial" w:hAnsi="Arial"/>
      <w:sz w:val="22"/>
      <w:lang w:eastAsia="en-US"/>
    </w:rPr>
  </w:style>
  <w:style w:type="paragraph" w:customStyle="1" w:styleId="mrukbullet1">
    <w:name w:val="mruk_bullet1"/>
    <w:basedOn w:val="Normal"/>
    <w:link w:val="mrukbullet1Char"/>
    <w:rsid w:val="00E16927"/>
    <w:pPr>
      <w:numPr>
        <w:numId w:val="14"/>
      </w:numPr>
      <w:spacing w:before="0" w:after="260" w:line="260" w:lineRule="exact"/>
    </w:pPr>
    <w:rPr>
      <w:szCs w:val="20"/>
    </w:rPr>
  </w:style>
  <w:style w:type="character" w:customStyle="1" w:styleId="mrukbullet1Char">
    <w:name w:val="mruk_bullet1 Char"/>
    <w:link w:val="mrukbullet1"/>
    <w:rsid w:val="00E16927"/>
    <w:rPr>
      <w:rFonts w:ascii="Calibri" w:hAnsi="Calibri"/>
      <w:sz w:val="24"/>
      <w:lang w:eastAsia="en-US"/>
    </w:rPr>
  </w:style>
  <w:style w:type="paragraph" w:customStyle="1" w:styleId="ProgressiveTextChar">
    <w:name w:val="Progressive Text Char"/>
    <w:link w:val="ProgressiveTextCharChar"/>
    <w:rsid w:val="00E16927"/>
    <w:pPr>
      <w:spacing w:before="120" w:after="120"/>
      <w:jc w:val="both"/>
    </w:pPr>
    <w:rPr>
      <w:rFonts w:ascii="Arial" w:hAnsi="Arial"/>
      <w:sz w:val="22"/>
      <w:lang w:eastAsia="en-US"/>
    </w:rPr>
  </w:style>
  <w:style w:type="character" w:customStyle="1" w:styleId="ProgressiveTextCharChar">
    <w:name w:val="Progressive Text Char Char"/>
    <w:link w:val="ProgressiveTextChar"/>
    <w:rsid w:val="00E16927"/>
    <w:rPr>
      <w:rFonts w:ascii="Arial" w:hAnsi="Arial"/>
      <w:sz w:val="22"/>
      <w:lang w:eastAsia="en-US"/>
    </w:rPr>
  </w:style>
  <w:style w:type="paragraph" w:customStyle="1" w:styleId="ProgressiveTableText">
    <w:name w:val="Progressive Table Text"/>
    <w:basedOn w:val="ProgressiveTextChar"/>
    <w:rsid w:val="00E16927"/>
    <w:pPr>
      <w:keepLines/>
      <w:spacing w:before="0" w:after="0"/>
    </w:pPr>
    <w:rPr>
      <w:bCs/>
    </w:rPr>
  </w:style>
  <w:style w:type="paragraph" w:customStyle="1" w:styleId="Char2">
    <w:name w:val="Char2"/>
    <w:basedOn w:val="Normal"/>
    <w:rsid w:val="00E1504B"/>
    <w:pPr>
      <w:spacing w:before="0" w:after="160" w:line="240" w:lineRule="exact"/>
      <w:jc w:val="left"/>
    </w:pPr>
    <w:rPr>
      <w:sz w:val="20"/>
      <w:szCs w:val="20"/>
      <w:lang w:val="en-US"/>
    </w:rPr>
  </w:style>
  <w:style w:type="character" w:customStyle="1" w:styleId="CharChar141">
    <w:name w:val="Char Char141"/>
    <w:basedOn w:val="DefaultParagraphFont"/>
    <w:rsid w:val="00E1504B"/>
    <w:rPr>
      <w:rFonts w:ascii="Arial" w:hAnsi="Arial" w:cs="Arial"/>
      <w:b/>
      <w:bCs/>
      <w:iCs/>
      <w:color w:val="008080"/>
      <w:sz w:val="28"/>
      <w:szCs w:val="28"/>
      <w:lang w:val="en-GB" w:eastAsia="en-US" w:bidi="ar-SA"/>
    </w:rPr>
  </w:style>
  <w:style w:type="character" w:customStyle="1" w:styleId="CharChar131">
    <w:name w:val="Char Char131"/>
    <w:basedOn w:val="DefaultParagraphFont"/>
    <w:rsid w:val="00E1504B"/>
    <w:rPr>
      <w:rFonts w:ascii="Arial" w:hAnsi="Arial" w:cs="Arial"/>
      <w:color w:val="008080"/>
      <w:sz w:val="28"/>
      <w:szCs w:val="28"/>
      <w:lang w:eastAsia="en-US"/>
    </w:rPr>
  </w:style>
  <w:style w:type="character" w:customStyle="1" w:styleId="CharChar121">
    <w:name w:val="Char Char121"/>
    <w:basedOn w:val="DefaultParagraphFont"/>
    <w:rsid w:val="00E1504B"/>
    <w:rPr>
      <w:rFonts w:ascii="Arial" w:hAnsi="Arial"/>
      <w:bCs/>
      <w:i/>
      <w:color w:val="008080"/>
      <w:sz w:val="24"/>
      <w:szCs w:val="24"/>
      <w:lang w:eastAsia="en-US"/>
    </w:rPr>
  </w:style>
  <w:style w:type="character" w:customStyle="1" w:styleId="CharChar111">
    <w:name w:val="Char Char111"/>
    <w:basedOn w:val="DefaultParagraphFont"/>
    <w:rsid w:val="00E1504B"/>
    <w:rPr>
      <w:rFonts w:ascii="Arial" w:hAnsi="Arial"/>
      <w:sz w:val="24"/>
      <w:szCs w:val="24"/>
      <w:lang w:eastAsia="en-US"/>
    </w:rPr>
  </w:style>
  <w:style w:type="character" w:customStyle="1" w:styleId="CharChar101">
    <w:name w:val="Char Char101"/>
    <w:basedOn w:val="DefaultParagraphFont"/>
    <w:rsid w:val="00E1504B"/>
    <w:rPr>
      <w:rFonts w:ascii="Arial" w:hAnsi="Arial"/>
      <w:sz w:val="24"/>
      <w:szCs w:val="24"/>
      <w:lang w:eastAsia="en-US"/>
    </w:rPr>
  </w:style>
  <w:style w:type="character" w:customStyle="1" w:styleId="CharChar81">
    <w:name w:val="Char Char81"/>
    <w:basedOn w:val="DefaultParagraphFont"/>
    <w:rsid w:val="00E1504B"/>
    <w:rPr>
      <w:sz w:val="16"/>
      <w:szCs w:val="16"/>
      <w:lang w:eastAsia="en-US"/>
    </w:rPr>
  </w:style>
  <w:style w:type="character" w:customStyle="1" w:styleId="CharChar71">
    <w:name w:val="Char Char71"/>
    <w:basedOn w:val="DefaultParagraphFont"/>
    <w:rsid w:val="00E1504B"/>
    <w:rPr>
      <w:rFonts w:ascii="Arial" w:hAnsi="Arial"/>
      <w:sz w:val="24"/>
      <w:szCs w:val="24"/>
      <w:lang w:eastAsia="en-US"/>
    </w:rPr>
  </w:style>
  <w:style w:type="character" w:customStyle="1" w:styleId="CharChar61">
    <w:name w:val="Char Char61"/>
    <w:basedOn w:val="DefaultParagraphFont"/>
    <w:rsid w:val="00E1504B"/>
    <w:rPr>
      <w:rFonts w:ascii="Arial" w:hAnsi="Arial"/>
      <w:sz w:val="16"/>
      <w:szCs w:val="16"/>
      <w:lang w:eastAsia="en-US"/>
    </w:rPr>
  </w:style>
  <w:style w:type="character" w:customStyle="1" w:styleId="CharChar51">
    <w:name w:val="Char Char51"/>
    <w:basedOn w:val="DefaultParagraphFont"/>
    <w:rsid w:val="00E1504B"/>
    <w:rPr>
      <w:sz w:val="24"/>
      <w:szCs w:val="24"/>
      <w:lang w:eastAsia="en-US"/>
    </w:rPr>
  </w:style>
  <w:style w:type="character" w:customStyle="1" w:styleId="CharChar15">
    <w:name w:val="Char Char15"/>
    <w:basedOn w:val="DefaultParagraphFont"/>
    <w:rsid w:val="00E1504B"/>
    <w:rPr>
      <w:rFonts w:ascii="Arial" w:hAnsi="Arial"/>
      <w:sz w:val="24"/>
      <w:szCs w:val="24"/>
      <w:lang w:eastAsia="en-US"/>
    </w:rPr>
  </w:style>
  <w:style w:type="paragraph" w:customStyle="1" w:styleId="StyleHeading1Char1Teal">
    <w:name w:val="Style Heading 1Char1 + Teal"/>
    <w:basedOn w:val="Heading1"/>
    <w:rsid w:val="00E1504B"/>
    <w:pPr>
      <w:numPr>
        <w:numId w:val="0"/>
      </w:numPr>
      <w:tabs>
        <w:tab w:val="num" w:pos="432"/>
        <w:tab w:val="num" w:pos="928"/>
      </w:tabs>
      <w:spacing w:before="240" w:after="60"/>
      <w:ind w:left="432" w:hanging="432"/>
      <w:jc w:val="left"/>
    </w:pPr>
    <w:rPr>
      <w:rFonts w:cs="Arial"/>
      <w:b/>
      <w:caps/>
      <w:color w:val="008080"/>
      <w:sz w:val="36"/>
    </w:rPr>
  </w:style>
  <w:style w:type="paragraph" w:customStyle="1" w:styleId="Bulletstyle">
    <w:name w:val="Bullet style"/>
    <w:basedOn w:val="Maintext"/>
    <w:link w:val="BulletstyleChar"/>
    <w:rsid w:val="00E1504B"/>
    <w:pPr>
      <w:numPr>
        <w:ilvl w:val="0"/>
        <w:numId w:val="0"/>
      </w:numPr>
      <w:tabs>
        <w:tab w:val="num" w:pos="1134"/>
      </w:tabs>
      <w:ind w:left="1134" w:hanging="425"/>
    </w:pPr>
  </w:style>
  <w:style w:type="character" w:customStyle="1" w:styleId="BulletstyleChar">
    <w:name w:val="Bullet style Char"/>
    <w:basedOn w:val="MaintextChar1"/>
    <w:link w:val="Bulletstyle"/>
    <w:rsid w:val="00E1504B"/>
    <w:rPr>
      <w:rFonts w:ascii="Arial" w:hAnsi="Arial"/>
      <w:sz w:val="24"/>
      <w:szCs w:val="24"/>
      <w:lang w:eastAsia="en-US"/>
    </w:rPr>
  </w:style>
  <w:style w:type="paragraph" w:customStyle="1" w:styleId="CharCharCharCharCharCharCharCharCharChar">
    <w:name w:val="Char Char Char Char Char Char Char Char Char Char"/>
    <w:basedOn w:val="Normal"/>
    <w:rsid w:val="0068512D"/>
    <w:pPr>
      <w:spacing w:before="0" w:line="240" w:lineRule="exact"/>
      <w:jc w:val="left"/>
    </w:pPr>
    <w:rPr>
      <w:rFonts w:ascii="Verdana" w:hAnsi="Verdana"/>
      <w:sz w:val="20"/>
      <w:szCs w:val="20"/>
      <w:lang w:val="en-US"/>
    </w:rPr>
  </w:style>
  <w:style w:type="character" w:customStyle="1" w:styleId="MaintextChar2">
    <w:name w:val="Main text Char2"/>
    <w:rsid w:val="0068512D"/>
    <w:rPr>
      <w:rFonts w:ascii="Arial" w:hAnsi="Arial"/>
      <w:sz w:val="24"/>
      <w:szCs w:val="24"/>
      <w:lang w:eastAsia="en-US"/>
    </w:rPr>
  </w:style>
  <w:style w:type="character" w:customStyle="1" w:styleId="googqs-tidbitgoogqs-tidbit-0">
    <w:name w:val="goog_qs-tidbit goog_qs-tidbit-0"/>
    <w:basedOn w:val="DefaultParagraphFont"/>
    <w:rsid w:val="0068512D"/>
  </w:style>
  <w:style w:type="character" w:customStyle="1" w:styleId="apple-style-span">
    <w:name w:val="apple-style-span"/>
    <w:basedOn w:val="DefaultParagraphFont"/>
    <w:rsid w:val="0068512D"/>
  </w:style>
  <w:style w:type="character" w:customStyle="1" w:styleId="DocumentMapChar1">
    <w:name w:val="Document Map Char1"/>
    <w:basedOn w:val="DefaultParagraphFont"/>
    <w:uiPriority w:val="99"/>
    <w:semiHidden/>
    <w:rsid w:val="0068512D"/>
    <w:rPr>
      <w:rFonts w:ascii="Tahoma" w:hAnsi="Tahoma" w:cs="Tahoma"/>
      <w:sz w:val="16"/>
      <w:szCs w:val="16"/>
      <w:lang w:eastAsia="en-US"/>
    </w:rPr>
  </w:style>
  <w:style w:type="character" w:customStyle="1" w:styleId="EndnoteTextChar1">
    <w:name w:val="Endnote Text Char1"/>
    <w:basedOn w:val="DefaultParagraphFont"/>
    <w:uiPriority w:val="99"/>
    <w:semiHidden/>
    <w:rsid w:val="0068512D"/>
    <w:rPr>
      <w:lang w:eastAsia="en-US"/>
    </w:rPr>
  </w:style>
  <w:style w:type="character" w:customStyle="1" w:styleId="BodyText2Char1">
    <w:name w:val="Body Text 2 Char1"/>
    <w:basedOn w:val="DefaultParagraphFont"/>
    <w:uiPriority w:val="99"/>
    <w:semiHidden/>
    <w:rsid w:val="0068512D"/>
    <w:rPr>
      <w:sz w:val="24"/>
      <w:szCs w:val="24"/>
      <w:lang w:eastAsia="en-US"/>
    </w:rPr>
  </w:style>
  <w:style w:type="paragraph" w:styleId="IntenseQuote">
    <w:name w:val="Intense Quote"/>
    <w:basedOn w:val="Normal"/>
    <w:next w:val="Normal"/>
    <w:link w:val="IntenseQuoteChar"/>
    <w:uiPriority w:val="30"/>
    <w:rsid w:val="0068512D"/>
    <w:pPr>
      <w:pBdr>
        <w:bottom w:val="single" w:sz="4" w:space="4" w:color="4F81BD"/>
      </w:pBdr>
      <w:spacing w:before="200" w:after="280"/>
      <w:ind w:left="936" w:right="936"/>
      <w:jc w:val="left"/>
    </w:pPr>
    <w:rPr>
      <w:b/>
      <w:bCs/>
      <w:i/>
      <w:iCs/>
      <w:color w:val="4F81BD"/>
    </w:rPr>
  </w:style>
  <w:style w:type="character" w:customStyle="1" w:styleId="IntenseQuoteChar">
    <w:name w:val="Intense Quote Char"/>
    <w:basedOn w:val="DefaultParagraphFont"/>
    <w:link w:val="IntenseQuote"/>
    <w:uiPriority w:val="30"/>
    <w:rsid w:val="0068512D"/>
    <w:rPr>
      <w:rFonts w:ascii="Arial" w:hAnsi="Arial"/>
      <w:b/>
      <w:bCs/>
      <w:i/>
      <w:iCs/>
      <w:color w:val="4F81BD"/>
      <w:sz w:val="24"/>
      <w:szCs w:val="24"/>
      <w:lang w:eastAsia="en-US"/>
    </w:rPr>
  </w:style>
  <w:style w:type="paragraph" w:customStyle="1" w:styleId="Bullet0">
    <w:name w:val="Bullet"/>
    <w:basedOn w:val="Maintext"/>
    <w:link w:val="BulletChar0"/>
    <w:rsid w:val="0068512D"/>
    <w:pPr>
      <w:numPr>
        <w:numId w:val="15"/>
      </w:numPr>
    </w:pPr>
  </w:style>
  <w:style w:type="character" w:customStyle="1" w:styleId="BulletChar0">
    <w:name w:val="Bullet Char"/>
    <w:basedOn w:val="MaintextChar2"/>
    <w:link w:val="Bullet0"/>
    <w:rsid w:val="0068512D"/>
    <w:rPr>
      <w:rFonts w:ascii="Calibri" w:hAnsi="Calibri"/>
      <w:sz w:val="24"/>
      <w:szCs w:val="24"/>
      <w:lang w:eastAsia="en-US"/>
    </w:rPr>
  </w:style>
  <w:style w:type="table" w:customStyle="1" w:styleId="arc4table">
    <w:name w:val="arc4 table"/>
    <w:basedOn w:val="TableNormal"/>
    <w:uiPriority w:val="99"/>
    <w:rsid w:val="00F50D34"/>
    <w:pPr>
      <w:spacing w:before="20" w:after="20"/>
    </w:pPr>
    <w:rPr>
      <w:rFonts w:ascii="Arial" w:hAnsi="Arial"/>
      <w:sz w:val="22"/>
    </w:rPr>
    <w:tblPr>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Pr>
    <w:tcPr>
      <w:vAlign w:val="center"/>
    </w:tcPr>
    <w:tblStylePr w:type="firstRow">
      <w:rPr>
        <w:rFonts w:ascii="Arial" w:hAnsi="Arial"/>
        <w:b/>
        <w:color w:val="FFFFFF" w:themeColor="background1"/>
        <w:sz w:val="22"/>
      </w:rPr>
      <w:tblPr/>
      <w:tcPr>
        <w:shd w:val="clear" w:color="auto" w:fill="009999"/>
      </w:tcPr>
    </w:tblStylePr>
  </w:style>
  <w:style w:type="paragraph" w:customStyle="1" w:styleId="bulletlevel2">
    <w:name w:val="bullet level 2"/>
    <w:basedOn w:val="ListParagraph"/>
    <w:link w:val="bulletlevel2Char"/>
    <w:uiPriority w:val="99"/>
    <w:qFormat/>
    <w:rsid w:val="00A16AF7"/>
    <w:pPr>
      <w:numPr>
        <w:ilvl w:val="1"/>
        <w:numId w:val="17"/>
      </w:numPr>
      <w:shd w:val="clear" w:color="auto" w:fill="FFFFFF"/>
      <w:ind w:left="1434" w:hanging="357"/>
    </w:pPr>
    <w:rPr>
      <w:rFonts w:cs="Arial"/>
      <w:bCs/>
      <w:color w:val="000000"/>
      <w:lang w:eastAsia="en-GB"/>
    </w:rPr>
  </w:style>
  <w:style w:type="character" w:customStyle="1" w:styleId="bulletlevel2Char">
    <w:name w:val="bullet level 2 Char"/>
    <w:link w:val="bulletlevel2"/>
    <w:uiPriority w:val="99"/>
    <w:rsid w:val="00A16AF7"/>
    <w:rPr>
      <w:rFonts w:ascii="Calibri" w:hAnsi="Calibri" w:cs="Arial"/>
      <w:bCs/>
      <w:color w:val="000000"/>
      <w:sz w:val="24"/>
      <w:szCs w:val="24"/>
      <w:shd w:val="clear" w:color="auto" w:fill="FFFFFF"/>
    </w:rPr>
  </w:style>
  <w:style w:type="character" w:customStyle="1" w:styleId="Heading1Char8">
    <w:name w:val="Heading 1 Char8"/>
    <w:aliases w:val="Heading 1 New Char8,Char1 Char8,Section Char8,Chapter Hdg Char8,Economics Section Char8,New Section Char8,Economics Section Heading Char8,My Heading 1 Char8,Lev 1 Char8,Section Heading Char8,(Alt 1) Char8,Numbered - 1 Char8,1 ghost Cha"/>
    <w:basedOn w:val="DefaultParagraphFont"/>
    <w:uiPriority w:val="99"/>
    <w:locked/>
    <w:rsid w:val="0031285F"/>
    <w:rPr>
      <w:rFonts w:ascii="Cambria" w:hAnsi="Cambria" w:cs="Times New Roman"/>
      <w:b/>
      <w:bCs/>
      <w:kern w:val="32"/>
      <w:sz w:val="32"/>
      <w:szCs w:val="32"/>
      <w:lang w:eastAsia="en-US"/>
    </w:rPr>
  </w:style>
  <w:style w:type="character" w:customStyle="1" w:styleId="Heading1Char7">
    <w:name w:val="Heading 1 Char7"/>
    <w:aliases w:val="Heading 1 New Char7,Char1 Char7,Section Char7,Chapter Hdg Char7,Economics Section Char7,New Section Char7,Economics Section Heading Char7,My Heading 1 Char7,Lev 1 Char7,Section Heading Char7,(Alt 1) Char7,Numbered - 1 Char7,1 ghost Cha6"/>
    <w:basedOn w:val="DefaultParagraphFont"/>
    <w:uiPriority w:val="99"/>
    <w:locked/>
    <w:rsid w:val="0031285F"/>
    <w:rPr>
      <w:rFonts w:ascii="Cambria" w:hAnsi="Cambria" w:cs="Times New Roman"/>
      <w:b/>
      <w:bCs/>
      <w:kern w:val="32"/>
      <w:sz w:val="32"/>
      <w:szCs w:val="32"/>
      <w:lang w:eastAsia="en-US"/>
    </w:rPr>
  </w:style>
  <w:style w:type="character" w:customStyle="1" w:styleId="Heading1Char6">
    <w:name w:val="Heading 1 Char6"/>
    <w:aliases w:val="Heading 1 New Char6,Char1 Char6,Section Char6,Chapter Hdg Char6,Economics Section Char6,New Section Char6,Economics Section Heading Char6,My Heading 1 Char6,Lev 1 Char6,Section Heading Char6,(Alt 1) Char6,Numbered - 1 Char6,1 ghost Cha5"/>
    <w:basedOn w:val="DefaultParagraphFont"/>
    <w:uiPriority w:val="99"/>
    <w:locked/>
    <w:rsid w:val="0031285F"/>
    <w:rPr>
      <w:rFonts w:ascii="Cambria" w:hAnsi="Cambria" w:cs="Times New Roman"/>
      <w:b/>
      <w:bCs/>
      <w:kern w:val="32"/>
      <w:sz w:val="32"/>
      <w:szCs w:val="32"/>
      <w:lang w:eastAsia="en-US"/>
    </w:rPr>
  </w:style>
  <w:style w:type="character" w:customStyle="1" w:styleId="Heading1Char5">
    <w:name w:val="Heading 1 Char5"/>
    <w:aliases w:val="Heading 1 New Char5,Char1 Char5,Section Char5,Chapter Hdg Char5,Economics Section Char5,New Section Char5,Economics Section Heading Char5,My Heading 1 Char5,Lev 1 Char5,Section Heading Char5,(Alt 1) Char5,Numbered - 1 Char5,1 ghost Cha4"/>
    <w:basedOn w:val="DefaultParagraphFont"/>
    <w:uiPriority w:val="99"/>
    <w:locked/>
    <w:rsid w:val="0031285F"/>
    <w:rPr>
      <w:rFonts w:ascii="Cambria" w:hAnsi="Cambria" w:cs="Times New Roman"/>
      <w:b/>
      <w:bCs/>
      <w:kern w:val="32"/>
      <w:sz w:val="32"/>
      <w:szCs w:val="32"/>
      <w:lang w:eastAsia="en-US"/>
    </w:rPr>
  </w:style>
  <w:style w:type="character" w:customStyle="1" w:styleId="Heading1Char4">
    <w:name w:val="Heading 1 Char4"/>
    <w:aliases w:val="Heading 1 New Char4,Char1 Char4,Section Char4,Chapter Hdg Char4,Economics Section Char4,New Section Char4,Economics Section Heading Char4,My Heading 1 Char4,Lev 1 Char4,Section Heading Char4,(Alt 1) Char4,Numbered - 1 Char4,1 ghost Cha3"/>
    <w:basedOn w:val="DefaultParagraphFont"/>
    <w:uiPriority w:val="99"/>
    <w:locked/>
    <w:rsid w:val="0031285F"/>
    <w:rPr>
      <w:rFonts w:ascii="Cambria" w:hAnsi="Cambria" w:cs="Times New Roman"/>
      <w:b/>
      <w:bCs/>
      <w:kern w:val="32"/>
      <w:sz w:val="32"/>
      <w:szCs w:val="32"/>
      <w:lang w:eastAsia="en-US"/>
    </w:rPr>
  </w:style>
  <w:style w:type="character" w:customStyle="1" w:styleId="Heading1Char3">
    <w:name w:val="Heading 1 Char3"/>
    <w:aliases w:val="Heading 1 New Char3,Char1 Char3,Section Char3,Chapter Hdg Char3,Economics Section Char3,New Section Char3,Economics Section Heading Char3,My Heading 1 Char3,Lev 1 Char3,Section Heading Char3,(Alt 1) Char3,Numbered - 1 Char3,1 ghost Cha2"/>
    <w:basedOn w:val="DefaultParagraphFont"/>
    <w:uiPriority w:val="99"/>
    <w:locked/>
    <w:rsid w:val="0031285F"/>
    <w:rPr>
      <w:rFonts w:ascii="Cambria" w:hAnsi="Cambria" w:cs="Times New Roman"/>
      <w:b/>
      <w:bCs/>
      <w:kern w:val="32"/>
      <w:sz w:val="32"/>
      <w:szCs w:val="32"/>
      <w:lang w:eastAsia="en-US"/>
    </w:rPr>
  </w:style>
  <w:style w:type="character" w:customStyle="1" w:styleId="Heading1Char2">
    <w:name w:val="Heading 1 Char2"/>
    <w:aliases w:val="Heading 1 New Char2,Char1 Char2,Section Char2,Chapter Hdg Char2,Economics Section Char2,New Section Char2,Economics Section Heading Char2,My Heading 1 Char2,Lev 1 Char2,Section Heading Char2,(Alt 1) Char2,Numbered - 1 Char2,1 ghost Cha1"/>
    <w:basedOn w:val="DefaultParagraphFont"/>
    <w:uiPriority w:val="99"/>
    <w:locked/>
    <w:rsid w:val="0031285F"/>
    <w:rPr>
      <w:rFonts w:ascii="Cambria" w:hAnsi="Cambria" w:cs="Times New Roman"/>
      <w:b/>
      <w:bCs/>
      <w:kern w:val="32"/>
      <w:sz w:val="32"/>
      <w:szCs w:val="32"/>
      <w:lang w:eastAsia="en-US"/>
    </w:rPr>
  </w:style>
  <w:style w:type="character" w:customStyle="1" w:styleId="Heading1Char1">
    <w:name w:val="Heading 1 Char1"/>
    <w:aliases w:val="Heading 1 New Char1,Char1 Char1,Section Char1,Chapter Hdg Char1,Economics Section Char1,New Section Char1,Economics Section Heading Char1,My Heading 1 Char1,Lev 1 Char1,Section Heading Char1,(Alt 1) Char1,Numbered - 1 Char1,1 ghost Char1"/>
    <w:locked/>
    <w:rsid w:val="0031285F"/>
    <w:rPr>
      <w:rFonts w:ascii="Arial" w:hAnsi="Arial"/>
      <w:color w:val="009999"/>
      <w:kern w:val="32"/>
      <w:sz w:val="28"/>
      <w:lang w:eastAsia="en-US"/>
    </w:rPr>
  </w:style>
  <w:style w:type="paragraph" w:styleId="z-TopofForm">
    <w:name w:val="HTML Top of Form"/>
    <w:basedOn w:val="Normal"/>
    <w:next w:val="Normal"/>
    <w:link w:val="z-TopofFormChar"/>
    <w:hidden/>
    <w:uiPriority w:val="99"/>
    <w:semiHidden/>
    <w:rsid w:val="0031285F"/>
    <w:pPr>
      <w:pBdr>
        <w:bottom w:val="single" w:sz="6" w:space="1" w:color="auto"/>
      </w:pBdr>
      <w:spacing w:before="0" w:after="0"/>
      <w:jc w:val="center"/>
    </w:pPr>
    <w:rPr>
      <w:rFonts w:cs="Arial"/>
      <w:vanish/>
      <w:sz w:val="16"/>
      <w:szCs w:val="16"/>
      <w:lang w:eastAsia="en-GB"/>
    </w:rPr>
  </w:style>
  <w:style w:type="character" w:customStyle="1" w:styleId="z-TopofFormChar">
    <w:name w:val="z-Top of Form Char"/>
    <w:basedOn w:val="DefaultParagraphFont"/>
    <w:link w:val="z-TopofForm"/>
    <w:uiPriority w:val="99"/>
    <w:semiHidden/>
    <w:rsid w:val="0031285F"/>
    <w:rPr>
      <w:rFonts w:ascii="Arial" w:hAnsi="Arial" w:cs="Arial"/>
      <w:vanish/>
      <w:sz w:val="16"/>
      <w:szCs w:val="16"/>
    </w:rPr>
  </w:style>
  <w:style w:type="paragraph" w:styleId="z-BottomofForm">
    <w:name w:val="HTML Bottom of Form"/>
    <w:basedOn w:val="Normal"/>
    <w:next w:val="Normal"/>
    <w:link w:val="z-BottomofFormChar"/>
    <w:hidden/>
    <w:uiPriority w:val="99"/>
    <w:semiHidden/>
    <w:rsid w:val="0031285F"/>
    <w:pPr>
      <w:pBdr>
        <w:top w:val="single" w:sz="6" w:space="1" w:color="auto"/>
      </w:pBdr>
      <w:spacing w:before="0" w:after="0"/>
      <w:jc w:val="center"/>
    </w:pPr>
    <w:rPr>
      <w:rFonts w:cs="Arial"/>
      <w:vanish/>
      <w:sz w:val="16"/>
      <w:szCs w:val="16"/>
      <w:lang w:eastAsia="en-GB"/>
    </w:rPr>
  </w:style>
  <w:style w:type="character" w:customStyle="1" w:styleId="z-BottomofFormChar">
    <w:name w:val="z-Bottom of Form Char"/>
    <w:basedOn w:val="DefaultParagraphFont"/>
    <w:link w:val="z-BottomofForm"/>
    <w:uiPriority w:val="99"/>
    <w:semiHidden/>
    <w:rsid w:val="0031285F"/>
    <w:rPr>
      <w:rFonts w:ascii="Arial" w:hAnsi="Arial" w:cs="Arial"/>
      <w:vanish/>
      <w:sz w:val="16"/>
      <w:szCs w:val="16"/>
    </w:rPr>
  </w:style>
  <w:style w:type="paragraph" w:customStyle="1" w:styleId="reporttext0">
    <w:name w:val="report text"/>
    <w:basedOn w:val="Maintext"/>
    <w:link w:val="reporttextChar0"/>
    <w:uiPriority w:val="99"/>
    <w:rsid w:val="0031285F"/>
    <w:pPr>
      <w:numPr>
        <w:ilvl w:val="0"/>
        <w:numId w:val="0"/>
      </w:numPr>
      <w:tabs>
        <w:tab w:val="num" w:pos="709"/>
      </w:tabs>
      <w:ind w:left="709" w:hanging="709"/>
    </w:pPr>
    <w:rPr>
      <w:sz w:val="20"/>
      <w:szCs w:val="20"/>
    </w:rPr>
  </w:style>
  <w:style w:type="character" w:customStyle="1" w:styleId="reporttextChar0">
    <w:name w:val="report text Char"/>
    <w:link w:val="reporttext0"/>
    <w:uiPriority w:val="99"/>
    <w:locked/>
    <w:rsid w:val="0031285F"/>
    <w:rPr>
      <w:rFonts w:ascii="Arial" w:hAnsi="Arial"/>
      <w:lang w:eastAsia="en-US"/>
    </w:rPr>
  </w:style>
  <w:style w:type="character" w:customStyle="1" w:styleId="Heading5Char2">
    <w:name w:val="Heading 5 Char2"/>
    <w:aliases w:val="Do Not Use 5 Char1,Economics Bullets Char1,paragraph Char1,Bold &amp; Italic Char2,Paragraph Text Char1,Lower Case Char3,Lower Case Char Char1,Heading 5 Char1 Char1,Lower Case Char1 Char1,Bold &amp; Italic Char1 Char1"/>
    <w:basedOn w:val="DefaultParagraphFont"/>
    <w:semiHidden/>
    <w:rsid w:val="00BA12A2"/>
    <w:rPr>
      <w:rFonts w:asciiTheme="majorHAnsi" w:eastAsiaTheme="majorEastAsia" w:hAnsiTheme="majorHAnsi" w:cstheme="majorBidi"/>
      <w:color w:val="1F3763" w:themeColor="accent1" w:themeShade="7F"/>
      <w:sz w:val="24"/>
      <w:szCs w:val="24"/>
      <w:lang w:eastAsia="en-US"/>
    </w:rPr>
  </w:style>
  <w:style w:type="character" w:customStyle="1" w:styleId="Heading6Char1">
    <w:name w:val="Heading 6 Char1"/>
    <w:aliases w:val="Do Not Use 6 Char1,Economics Bullets 2 Char1,level 1 bullet Char1,Legal Level 1. Char1,level 1 bullet 1 Char1,level 1 bullet Char Char Char Char1,level 1 bullet 1 Char Char Char Char1,Heading 61 Char"/>
    <w:basedOn w:val="DefaultParagraphFont"/>
    <w:semiHidden/>
    <w:rsid w:val="00BA12A2"/>
    <w:rPr>
      <w:rFonts w:asciiTheme="majorHAnsi" w:eastAsiaTheme="majorEastAsia" w:hAnsiTheme="majorHAnsi" w:cstheme="majorBidi"/>
      <w:i/>
      <w:iCs/>
      <w:color w:val="1F3763" w:themeColor="accent1" w:themeShade="7F"/>
      <w:sz w:val="24"/>
      <w:szCs w:val="24"/>
      <w:lang w:eastAsia="en-US"/>
    </w:rPr>
  </w:style>
  <w:style w:type="character" w:styleId="HTMLTypewriter">
    <w:name w:val="HTML Typewriter"/>
    <w:unhideWhenUsed/>
    <w:rsid w:val="00BA12A2"/>
    <w:rPr>
      <w:rFonts w:ascii="Courier New" w:eastAsia="Times New Roman" w:hAnsi="Courier New" w:cs="Courier New" w:hint="default"/>
      <w:sz w:val="20"/>
      <w:szCs w:val="20"/>
    </w:rPr>
  </w:style>
  <w:style w:type="character" w:customStyle="1" w:styleId="Heading7Char1">
    <w:name w:val="Heading 7 Char1"/>
    <w:aliases w:val="Do Not Use 7 Char1,Economics List (i) Char1,level 2 bullets Char1,Legal Level 1.1. Char1"/>
    <w:basedOn w:val="DefaultParagraphFont"/>
    <w:semiHidden/>
    <w:rsid w:val="00BA12A2"/>
    <w:rPr>
      <w:rFonts w:asciiTheme="majorHAnsi" w:eastAsiaTheme="majorEastAsia" w:hAnsiTheme="majorHAnsi" w:cstheme="majorBidi"/>
      <w:i/>
      <w:iCs/>
      <w:color w:val="404040" w:themeColor="text1" w:themeTint="BF"/>
      <w:sz w:val="24"/>
      <w:szCs w:val="24"/>
      <w:lang w:eastAsia="en-US"/>
    </w:rPr>
  </w:style>
  <w:style w:type="character" w:customStyle="1" w:styleId="Heading8Char1">
    <w:name w:val="Heading 8 Char1"/>
    <w:aliases w:val="Do Not Use 8 Char1,Economics List (a) Char1,level 3 bullets Char1,Legal Level 1.1.1. Char1,Bullet 3 Char1"/>
    <w:basedOn w:val="DefaultParagraphFont"/>
    <w:semiHidden/>
    <w:rsid w:val="00BA12A2"/>
    <w:rPr>
      <w:rFonts w:asciiTheme="majorHAnsi" w:eastAsiaTheme="majorEastAsia" w:hAnsiTheme="majorHAnsi" w:cstheme="majorBidi"/>
      <w:color w:val="404040" w:themeColor="text1" w:themeTint="BF"/>
      <w:lang w:eastAsia="en-US"/>
    </w:rPr>
  </w:style>
  <w:style w:type="character" w:customStyle="1" w:styleId="Heading9Char1">
    <w:name w:val="Heading 9 Char1"/>
    <w:aliases w:val="Do Not Use 9 Char1,Legal Level 1.1.1.1. Char1"/>
    <w:basedOn w:val="DefaultParagraphFont"/>
    <w:semiHidden/>
    <w:rsid w:val="00BA12A2"/>
    <w:rPr>
      <w:rFonts w:asciiTheme="majorHAnsi" w:eastAsiaTheme="majorEastAsia" w:hAnsiTheme="majorHAnsi" w:cstheme="majorBidi"/>
      <w:i/>
      <w:iCs/>
      <w:color w:val="404040" w:themeColor="text1" w:themeTint="BF"/>
      <w:lang w:eastAsia="en-US"/>
    </w:rPr>
  </w:style>
  <w:style w:type="character" w:customStyle="1" w:styleId="FootnoteTextChar1">
    <w:name w:val="Footnote Text Char1"/>
    <w:aliases w:val="EKOS Footnote Text Char1,Footnote Text Char2"/>
    <w:basedOn w:val="DefaultParagraphFont"/>
    <w:semiHidden/>
    <w:rsid w:val="00BA12A2"/>
    <w:rPr>
      <w:rFonts w:ascii="Arial" w:hAnsi="Arial"/>
      <w:lang w:eastAsia="en-US"/>
    </w:rPr>
  </w:style>
  <w:style w:type="paragraph" w:styleId="Title">
    <w:name w:val="Title"/>
    <w:basedOn w:val="Normal"/>
    <w:link w:val="TitleChar"/>
    <w:uiPriority w:val="99"/>
    <w:rsid w:val="00BA12A2"/>
    <w:pPr>
      <w:spacing w:before="0" w:after="0"/>
      <w:jc w:val="center"/>
    </w:pPr>
    <w:rPr>
      <w:rFonts w:ascii="Times New Roman" w:hAnsi="Times New Roman"/>
      <w:b/>
      <w:bCs/>
      <w:u w:val="single"/>
    </w:rPr>
  </w:style>
  <w:style w:type="character" w:customStyle="1" w:styleId="TitleChar">
    <w:name w:val="Title Char"/>
    <w:basedOn w:val="DefaultParagraphFont"/>
    <w:link w:val="Title"/>
    <w:uiPriority w:val="99"/>
    <w:rsid w:val="00BA12A2"/>
    <w:rPr>
      <w:b/>
      <w:bCs/>
      <w:sz w:val="24"/>
      <w:szCs w:val="24"/>
      <w:u w:val="single"/>
      <w:lang w:eastAsia="en-US"/>
    </w:rPr>
  </w:style>
  <w:style w:type="table" w:styleId="ColorfulList-Accent1">
    <w:name w:val="Colorful List Accent 1"/>
    <w:basedOn w:val="TableNormal"/>
    <w:uiPriority w:val="72"/>
    <w:rsid w:val="00BA12A2"/>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no-margin">
    <w:name w:val="no-margin"/>
    <w:basedOn w:val="Normal"/>
    <w:uiPriority w:val="99"/>
    <w:rsid w:val="00BA12A2"/>
    <w:pPr>
      <w:spacing w:before="75" w:after="150"/>
      <w:jc w:val="left"/>
    </w:pPr>
    <w:rPr>
      <w:rFonts w:cs="Arial"/>
      <w:color w:val="333333"/>
      <w:sz w:val="18"/>
      <w:szCs w:val="18"/>
      <w:lang w:eastAsia="en-GB"/>
    </w:rPr>
  </w:style>
  <w:style w:type="paragraph" w:customStyle="1" w:styleId="ecxmsolistparagraph">
    <w:name w:val="ecxmsolistparagraph"/>
    <w:basedOn w:val="Normal"/>
    <w:uiPriority w:val="99"/>
    <w:rsid w:val="00BA12A2"/>
    <w:pPr>
      <w:spacing w:before="0" w:after="324"/>
      <w:jc w:val="left"/>
    </w:pPr>
    <w:rPr>
      <w:rFonts w:ascii="Times New Roman" w:hAnsi="Times New Roman"/>
      <w:lang w:eastAsia="en-GB"/>
    </w:rPr>
  </w:style>
  <w:style w:type="paragraph" w:customStyle="1" w:styleId="ecxmsonormal">
    <w:name w:val="ecxmsonormal"/>
    <w:basedOn w:val="Normal"/>
    <w:uiPriority w:val="99"/>
    <w:rsid w:val="00BA12A2"/>
    <w:pPr>
      <w:spacing w:before="0" w:after="324"/>
      <w:jc w:val="left"/>
    </w:pPr>
    <w:rPr>
      <w:rFonts w:ascii="Times New Roman" w:hAnsi="Times New Roman"/>
      <w:lang w:eastAsia="en-GB"/>
    </w:rPr>
  </w:style>
  <w:style w:type="paragraph" w:customStyle="1" w:styleId="1">
    <w:name w:val="1"/>
    <w:basedOn w:val="Normal"/>
    <w:uiPriority w:val="99"/>
    <w:rsid w:val="00BA12A2"/>
    <w:pPr>
      <w:spacing w:before="0" w:line="240" w:lineRule="exact"/>
      <w:jc w:val="left"/>
    </w:pPr>
    <w:rPr>
      <w:rFonts w:ascii="Verdana" w:hAnsi="Verdana"/>
      <w:sz w:val="20"/>
      <w:szCs w:val="20"/>
      <w:lang w:val="en-US"/>
    </w:rPr>
  </w:style>
  <w:style w:type="paragraph" w:customStyle="1" w:styleId="StyleJustified">
    <w:name w:val="Style Justified"/>
    <w:basedOn w:val="Normal"/>
    <w:uiPriority w:val="99"/>
    <w:rsid w:val="00BA12A2"/>
    <w:pPr>
      <w:numPr>
        <w:ilvl w:val="1"/>
        <w:numId w:val="18"/>
      </w:numPr>
      <w:ind w:left="0" w:firstLine="0"/>
    </w:pPr>
    <w:rPr>
      <w:sz w:val="22"/>
      <w:szCs w:val="20"/>
    </w:rPr>
  </w:style>
  <w:style w:type="paragraph" w:customStyle="1" w:styleId="Min">
    <w:name w:val="Min"/>
    <w:basedOn w:val="Normal"/>
    <w:uiPriority w:val="99"/>
    <w:rsid w:val="00BA12A2"/>
    <w:pPr>
      <w:autoSpaceDE w:val="0"/>
      <w:autoSpaceDN w:val="0"/>
      <w:adjustRightInd w:val="0"/>
      <w:ind w:left="720" w:hanging="720"/>
    </w:pPr>
    <w:rPr>
      <w:rFonts w:ascii="Helvetica" w:hAnsi="Helvetica" w:cs="Helvetica"/>
    </w:rPr>
  </w:style>
  <w:style w:type="paragraph" w:customStyle="1" w:styleId="Main">
    <w:name w:val="Main#"/>
    <w:basedOn w:val="Maintext"/>
    <w:uiPriority w:val="99"/>
    <w:rsid w:val="00BA12A2"/>
    <w:pPr>
      <w:numPr>
        <w:ilvl w:val="0"/>
        <w:numId w:val="0"/>
      </w:numPr>
      <w:tabs>
        <w:tab w:val="num" w:pos="709"/>
      </w:tabs>
      <w:ind w:left="720" w:hanging="720"/>
    </w:pPr>
  </w:style>
  <w:style w:type="paragraph" w:customStyle="1" w:styleId="Nor">
    <w:name w:val="Nor#"/>
    <w:basedOn w:val="Normal"/>
    <w:uiPriority w:val="99"/>
    <w:rsid w:val="00BA12A2"/>
    <w:rPr>
      <w:sz w:val="22"/>
    </w:rPr>
  </w:style>
  <w:style w:type="paragraph" w:customStyle="1" w:styleId="CM70">
    <w:name w:val="CM70"/>
    <w:basedOn w:val="Default"/>
    <w:next w:val="Default"/>
    <w:uiPriority w:val="99"/>
    <w:rsid w:val="00BA12A2"/>
    <w:rPr>
      <w:rFonts w:ascii="Gill Sans MT Pro Medium" w:eastAsia="Times New Roman" w:hAnsi="Gill Sans MT Pro Medium" w:cs="Times New Roman"/>
      <w:color w:val="auto"/>
      <w:lang w:val="en-US" w:eastAsia="en-US"/>
    </w:rPr>
  </w:style>
  <w:style w:type="paragraph" w:customStyle="1" w:styleId="Bullets0">
    <w:name w:val="Bullets"/>
    <w:basedOn w:val="Normal"/>
    <w:uiPriority w:val="99"/>
    <w:rsid w:val="00BA12A2"/>
    <w:pPr>
      <w:tabs>
        <w:tab w:val="num" w:pos="709"/>
      </w:tabs>
      <w:spacing w:before="0" w:after="0"/>
      <w:ind w:left="709" w:hanging="709"/>
    </w:pPr>
  </w:style>
  <w:style w:type="paragraph" w:customStyle="1" w:styleId="NoParagraphStyle">
    <w:name w:val="[No Paragraph Style]"/>
    <w:uiPriority w:val="99"/>
    <w:rsid w:val="00BA12A2"/>
    <w:pPr>
      <w:autoSpaceDE w:val="0"/>
      <w:autoSpaceDN w:val="0"/>
      <w:adjustRightInd w:val="0"/>
      <w:spacing w:line="288" w:lineRule="auto"/>
    </w:pPr>
    <w:rPr>
      <w:color w:val="000000"/>
      <w:sz w:val="24"/>
      <w:szCs w:val="24"/>
      <w:lang w:eastAsia="en-US"/>
    </w:rPr>
  </w:style>
  <w:style w:type="paragraph" w:customStyle="1" w:styleId="DocumentTitle">
    <w:name w:val="Document Title"/>
    <w:uiPriority w:val="99"/>
    <w:rsid w:val="00BA12A2"/>
    <w:pPr>
      <w:spacing w:line="860" w:lineRule="exact"/>
    </w:pPr>
    <w:rPr>
      <w:rFonts w:ascii="Arial" w:hAnsi="Arial"/>
      <w:b/>
      <w:color w:val="00B3BE"/>
      <w:sz w:val="80"/>
      <w:lang w:eastAsia="en-US"/>
    </w:rPr>
  </w:style>
  <w:style w:type="paragraph" w:customStyle="1" w:styleId="naib">
    <w:name w:val="naib"/>
    <w:basedOn w:val="Normal"/>
    <w:uiPriority w:val="99"/>
    <w:rsid w:val="00BA12A2"/>
    <w:rPr>
      <w:sz w:val="22"/>
    </w:rPr>
  </w:style>
  <w:style w:type="paragraph" w:customStyle="1" w:styleId="TableContents">
    <w:name w:val="Table Contents"/>
    <w:basedOn w:val="Normal"/>
    <w:uiPriority w:val="99"/>
    <w:rsid w:val="00BA12A2"/>
    <w:pPr>
      <w:widowControl w:val="0"/>
      <w:suppressLineNumbers/>
      <w:suppressAutoHyphens/>
      <w:spacing w:before="0" w:after="0"/>
      <w:jc w:val="left"/>
    </w:pPr>
    <w:rPr>
      <w:rFonts w:ascii="Times New Roman" w:eastAsia="Arial Unicode MS" w:hAnsi="Times New Roman" w:cs="Arial Unicode MS"/>
      <w:kern w:val="2"/>
      <w:lang w:eastAsia="zh-CN" w:bidi="hi-IN"/>
    </w:rPr>
  </w:style>
  <w:style w:type="paragraph" w:customStyle="1" w:styleId="Masin">
    <w:name w:val="Masin"/>
    <w:basedOn w:val="Normal"/>
    <w:uiPriority w:val="99"/>
    <w:rsid w:val="00BA12A2"/>
  </w:style>
  <w:style w:type="character" w:customStyle="1" w:styleId="ColorfulList-Accent1Char">
    <w:name w:val="Colorful List - Accent 1 Char"/>
    <w:link w:val="ColorfulList-Accent11"/>
    <w:uiPriority w:val="34"/>
    <w:locked/>
    <w:rsid w:val="00BA12A2"/>
    <w:rPr>
      <w:rFonts w:ascii="Arial" w:hAnsi="Arial" w:cs="Arial"/>
      <w:sz w:val="24"/>
      <w:szCs w:val="24"/>
      <w:lang w:eastAsia="en-US"/>
    </w:rPr>
  </w:style>
  <w:style w:type="paragraph" w:customStyle="1" w:styleId="ColorfulList-Accent11">
    <w:name w:val="Colorful List - Accent 11"/>
    <w:basedOn w:val="Normal"/>
    <w:link w:val="ColorfulList-Accent1Char"/>
    <w:uiPriority w:val="34"/>
    <w:rsid w:val="00BA12A2"/>
    <w:pPr>
      <w:ind w:left="720"/>
      <w:jc w:val="left"/>
    </w:pPr>
    <w:rPr>
      <w:rFonts w:cs="Arial"/>
    </w:rPr>
  </w:style>
  <w:style w:type="paragraph" w:customStyle="1" w:styleId="ColorfulShading-Accent11">
    <w:name w:val="Colorful Shading - Accent 11"/>
    <w:uiPriority w:val="99"/>
    <w:semiHidden/>
    <w:rsid w:val="00BA12A2"/>
    <w:rPr>
      <w:rFonts w:ascii="Arial" w:hAnsi="Arial"/>
      <w:sz w:val="24"/>
      <w:szCs w:val="24"/>
      <w:lang w:eastAsia="en-US"/>
    </w:rPr>
  </w:style>
  <w:style w:type="paragraph" w:customStyle="1" w:styleId="NoSpacing1">
    <w:name w:val="No Spacing1"/>
    <w:uiPriority w:val="1"/>
    <w:rsid w:val="00BA12A2"/>
    <w:rPr>
      <w:rFonts w:ascii="Calibri" w:hAnsi="Calibri"/>
      <w:sz w:val="22"/>
      <w:szCs w:val="22"/>
      <w:lang w:val="en-US" w:eastAsia="en-US"/>
    </w:rPr>
  </w:style>
  <w:style w:type="character" w:customStyle="1" w:styleId="bullet2Char">
    <w:name w:val="bullet2 Char"/>
    <w:link w:val="bullet2"/>
    <w:uiPriority w:val="99"/>
    <w:locked/>
    <w:rsid w:val="00BA12A2"/>
    <w:rPr>
      <w:rFonts w:ascii="Calibri" w:hAnsi="Calibri"/>
      <w:sz w:val="24"/>
      <w:szCs w:val="24"/>
      <w:lang w:eastAsia="en-US"/>
    </w:rPr>
  </w:style>
  <w:style w:type="paragraph" w:customStyle="1" w:styleId="bullet2">
    <w:name w:val="bullet2"/>
    <w:basedOn w:val="Normal"/>
    <w:link w:val="bullet2Char"/>
    <w:uiPriority w:val="99"/>
    <w:rsid w:val="00BA12A2"/>
    <w:pPr>
      <w:numPr>
        <w:ilvl w:val="1"/>
        <w:numId w:val="19"/>
      </w:numPr>
      <w:ind w:left="1794" w:hanging="357"/>
    </w:pPr>
  </w:style>
  <w:style w:type="table" w:styleId="MediumGrid2">
    <w:name w:val="Medium Grid 2"/>
    <w:basedOn w:val="TableNormal"/>
    <w:link w:val="MediumGrid2Char1"/>
    <w:uiPriority w:val="1"/>
    <w:rsid w:val="00BA12A2"/>
    <w:rPr>
      <w:rFonts w:ascii="Calibri" w:hAnsi="Calibr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MediumGrid2Char1">
    <w:name w:val="Medium Grid 2 Char1"/>
    <w:link w:val="MediumGrid2"/>
    <w:uiPriority w:val="1"/>
    <w:locked/>
    <w:rsid w:val="00BA12A2"/>
    <w:rPr>
      <w:rFonts w:ascii="Calibri" w:hAnsi="Calibri" w:hint="default"/>
      <w:sz w:val="22"/>
      <w:szCs w:val="22"/>
      <w:lang w:val="en-US" w:eastAsia="en-US" w:bidi="ar-SA"/>
    </w:rPr>
  </w:style>
  <w:style w:type="character" w:customStyle="1" w:styleId="ColorfulList-Accent1Char1">
    <w:name w:val="Colorful List - Accent 1 Char1"/>
    <w:aliases w:val="Main-bullets Char"/>
    <w:uiPriority w:val="34"/>
    <w:rsid w:val="00BA12A2"/>
    <w:rPr>
      <w:rFonts w:ascii="Arial" w:hAnsi="Arial" w:cs="Arial" w:hint="default"/>
      <w:sz w:val="24"/>
      <w:szCs w:val="24"/>
      <w:lang w:eastAsia="en-US"/>
    </w:rPr>
  </w:style>
  <w:style w:type="table" w:styleId="LightShading-Accent2">
    <w:name w:val="Light Shading Accent 2"/>
    <w:basedOn w:val="TableNormal"/>
    <w:link w:val="LightShading-Accent2Char"/>
    <w:uiPriority w:val="30"/>
    <w:rsid w:val="00BA12A2"/>
    <w:rPr>
      <w:rFonts w:ascii="Arial" w:hAnsi="Arial" w:cs="Arial"/>
      <w:b/>
      <w:bCs/>
      <w:i/>
      <w:iCs/>
      <w:color w:val="4F81BD"/>
      <w:sz w:val="24"/>
      <w:szCs w:val="24"/>
      <w:lang w:eastAsia="en-US"/>
    </w:rPr>
    <w:tblPr>
      <w:tblStyleRowBandSize w:val="1"/>
      <w:tblStyleColBandSize w:val="1"/>
      <w:tblBorders>
        <w:top w:val="single" w:sz="8" w:space="0" w:color="ED7D31" w:themeColor="accent2"/>
        <w:bottom w:val="single" w:sz="8" w:space="0" w:color="ED7D31" w:themeColor="accent2"/>
      </w:tblBorders>
    </w:tblPr>
    <w:tblStylePr w:type="firstRow">
      <w:pPr>
        <w:spacing w:beforeLines="0" w:beforeAutospacing="0" w:afterLines="0" w:afterAutospacing="0" w:line="240" w:lineRule="auto"/>
      </w:p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Lines="0" w:beforeAutospacing="0" w:afterLines="0" w:afterAutospacing="0" w:line="240" w:lineRule="auto"/>
      </w:pPr>
      <w:tblPr/>
      <w:tcPr>
        <w:tcBorders>
          <w:top w:val="single" w:sz="8" w:space="0" w:color="ED7D31" w:themeColor="accent2"/>
          <w:left w:val="nil"/>
          <w:bottom w:val="single" w:sz="8" w:space="0" w:color="ED7D31" w:themeColor="accent2"/>
          <w:right w:val="nil"/>
          <w:insideH w:val="nil"/>
          <w:insideV w:val="nil"/>
        </w:tcBorders>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character" w:customStyle="1" w:styleId="LightShading-Accent2Char">
    <w:name w:val="Light Shading - Accent 2 Char"/>
    <w:link w:val="LightShading-Accent2"/>
    <w:uiPriority w:val="30"/>
    <w:locked/>
    <w:rsid w:val="00BA12A2"/>
    <w:rPr>
      <w:rFonts w:ascii="Arial" w:hAnsi="Arial" w:cs="Arial" w:hint="default"/>
      <w:b/>
      <w:bCs/>
      <w:i/>
      <w:iCs/>
      <w:color w:val="4F81BD"/>
      <w:sz w:val="24"/>
      <w:szCs w:val="24"/>
      <w:lang w:eastAsia="en-US"/>
    </w:rPr>
  </w:style>
  <w:style w:type="character" w:customStyle="1" w:styleId="caps">
    <w:name w:val="caps"/>
    <w:basedOn w:val="DefaultParagraphFont"/>
    <w:rsid w:val="00BA12A2"/>
  </w:style>
  <w:style w:type="character" w:customStyle="1" w:styleId="CharChar25">
    <w:name w:val="Char Char25"/>
    <w:semiHidden/>
    <w:rsid w:val="00BA12A2"/>
    <w:rPr>
      <w:rFonts w:ascii="Arial" w:hAnsi="Arial" w:cs="Arial" w:hint="default"/>
      <w:lang w:eastAsia="en-US"/>
    </w:rPr>
  </w:style>
  <w:style w:type="table" w:styleId="MediumShading1-Accent1">
    <w:name w:val="Medium Shading 1 Accent 1"/>
    <w:basedOn w:val="TableNormal"/>
    <w:link w:val="MediumGrid2Char"/>
    <w:uiPriority w:val="1"/>
    <w:rsid w:val="00BA12A2"/>
    <w:rPr>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MediumGrid2Char">
    <w:name w:val="Medium Grid 2 Char"/>
    <w:link w:val="MediumShading1-Accent1"/>
    <w:uiPriority w:val="1"/>
    <w:locked/>
    <w:rsid w:val="00BA12A2"/>
    <w:rPr>
      <w:rFonts w:ascii="Times New Roman" w:eastAsia="Times New Roman" w:hAnsi="Times New Roman" w:cs="Times New Roman" w:hint="default"/>
      <w:lang w:val="en-US" w:eastAsia="en-GB" w:bidi="ar-SA"/>
    </w:rPr>
  </w:style>
  <w:style w:type="table" w:styleId="TableGrid1">
    <w:name w:val="Table Grid 1"/>
    <w:basedOn w:val="TableNormal"/>
    <w:unhideWhenUsed/>
    <w:rsid w:val="00BA12A2"/>
    <w:pPr>
      <w:spacing w:before="120" w:after="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5">
    <w:name w:val="Table Grid 5"/>
    <w:basedOn w:val="TableNormal"/>
    <w:unhideWhenUsed/>
    <w:rsid w:val="00BA12A2"/>
    <w:pPr>
      <w:spacing w:before="120" w:after="12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nhideWhenUsed/>
    <w:rsid w:val="00BA12A2"/>
    <w:pPr>
      <w:spacing w:before="120" w:after="12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DarkList-Accent4">
    <w:name w:val="Dark List Accent 4"/>
    <w:basedOn w:val="TableNormal"/>
    <w:uiPriority w:val="61"/>
    <w:rsid w:val="00BA12A2"/>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MediumList1-Accent5">
    <w:name w:val="Medium List 1 Accent 5"/>
    <w:basedOn w:val="TableNormal"/>
    <w:uiPriority w:val="61"/>
    <w:rsid w:val="00BA12A2"/>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Reportnumberingstyle1">
    <w:name w:val="Report numbering style1"/>
    <w:uiPriority w:val="99"/>
    <w:rsid w:val="00D60B19"/>
  </w:style>
  <w:style w:type="numbering" w:customStyle="1" w:styleId="Reportnumberingstyle2">
    <w:name w:val="Report numbering style2"/>
    <w:uiPriority w:val="99"/>
    <w:rsid w:val="00DF497D"/>
  </w:style>
  <w:style w:type="paragraph" w:customStyle="1" w:styleId="GTTAquestionno">
    <w:name w:val="GTTA question no"/>
    <w:basedOn w:val="Heading4"/>
    <w:link w:val="GTTAquestionnoChar"/>
    <w:qFormat/>
    <w:rsid w:val="00412F6E"/>
    <w:pPr>
      <w:numPr>
        <w:numId w:val="20"/>
      </w:numPr>
    </w:pPr>
  </w:style>
  <w:style w:type="character" w:customStyle="1" w:styleId="GTTAquestionnoChar">
    <w:name w:val="GTTA question no Char"/>
    <w:basedOn w:val="Heading4Char"/>
    <w:link w:val="GTTAquestionno"/>
    <w:rsid w:val="00412F6E"/>
    <w:rPr>
      <w:rFonts w:ascii="Calibri" w:hAnsi="Calibri"/>
      <w:bCs/>
      <w:i/>
      <w:color w:val="009999"/>
      <w:sz w:val="24"/>
      <w:szCs w:val="24"/>
      <w:lang w:eastAsia="en-US"/>
    </w:rPr>
  </w:style>
  <w:style w:type="character" w:customStyle="1" w:styleId="Mention1">
    <w:name w:val="Mention1"/>
    <w:basedOn w:val="DefaultParagraphFont"/>
    <w:uiPriority w:val="99"/>
    <w:semiHidden/>
    <w:unhideWhenUsed/>
    <w:rsid w:val="003313F1"/>
    <w:rPr>
      <w:color w:val="2B579A"/>
      <w:shd w:val="clear" w:color="auto" w:fill="E6E6E6"/>
    </w:rPr>
  </w:style>
  <w:style w:type="numbering" w:customStyle="1" w:styleId="NoList1">
    <w:name w:val="No List1"/>
    <w:next w:val="NoList"/>
    <w:uiPriority w:val="99"/>
    <w:semiHidden/>
    <w:unhideWhenUsed/>
    <w:rsid w:val="00F22269"/>
  </w:style>
  <w:style w:type="paragraph" w:customStyle="1" w:styleId="Figureheading0">
    <w:name w:val="Figureheading"/>
    <w:basedOn w:val="Maintext"/>
    <w:link w:val="FigureheadingChar0"/>
    <w:qFormat/>
    <w:rsid w:val="00A41763"/>
    <w:pPr>
      <w:keepNext/>
      <w:numPr>
        <w:ilvl w:val="0"/>
        <w:numId w:val="0"/>
      </w:numPr>
    </w:pPr>
    <w:rPr>
      <w:rFonts w:cs="Arial"/>
      <w:b/>
      <w:color w:val="009999"/>
      <w:sz w:val="22"/>
    </w:rPr>
  </w:style>
  <w:style w:type="character" w:customStyle="1" w:styleId="FigureheadingChar0">
    <w:name w:val="Figureheading Char"/>
    <w:basedOn w:val="MaintextChar2"/>
    <w:link w:val="Figureheading0"/>
    <w:rsid w:val="00A41763"/>
    <w:rPr>
      <w:rFonts w:ascii="Calibri" w:hAnsi="Calibri" w:cs="Arial"/>
      <w:b/>
      <w:color w:val="009999"/>
      <w:sz w:val="22"/>
      <w:szCs w:val="24"/>
      <w:lang w:eastAsia="en-US"/>
    </w:rPr>
  </w:style>
  <w:style w:type="paragraph" w:customStyle="1" w:styleId="Mapheading0">
    <w:name w:val="Mapheading"/>
    <w:basedOn w:val="Maintext"/>
    <w:link w:val="MapheadingChar0"/>
    <w:qFormat/>
    <w:rsid w:val="00321D49"/>
    <w:pPr>
      <w:keepNext/>
      <w:numPr>
        <w:ilvl w:val="0"/>
        <w:numId w:val="0"/>
      </w:numPr>
    </w:pPr>
    <w:rPr>
      <w:rFonts w:cs="Arial"/>
      <w:b/>
      <w:color w:val="009999"/>
      <w:sz w:val="22"/>
    </w:rPr>
  </w:style>
  <w:style w:type="character" w:customStyle="1" w:styleId="MapheadingChar0">
    <w:name w:val="Mapheading Char"/>
    <w:basedOn w:val="MaintextChar2"/>
    <w:link w:val="Mapheading0"/>
    <w:rsid w:val="00321D49"/>
    <w:rPr>
      <w:rFonts w:ascii="Calibri" w:hAnsi="Calibri" w:cs="Arial"/>
      <w:b/>
      <w:color w:val="009999"/>
      <w:sz w:val="22"/>
      <w:szCs w:val="24"/>
      <w:lang w:eastAsia="en-US"/>
    </w:rPr>
  </w:style>
  <w:style w:type="table" w:customStyle="1" w:styleId="GridTable1Light-Accent11">
    <w:name w:val="Grid Table 1 Light - Accent 11"/>
    <w:basedOn w:val="TableNormal"/>
    <w:uiPriority w:val="46"/>
    <w:rsid w:val="00F22269"/>
    <w:rPr>
      <w:rFonts w:asciiTheme="minorHAnsi" w:eastAsiaTheme="minorHAnsi" w:hAnsiTheme="minorHAnsi" w:cstheme="minorBidi"/>
      <w:sz w:val="22"/>
      <w:szCs w:val="22"/>
      <w:lang w:eastAsia="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NormalParagraphNumbered">
    <w:name w:val="Normal Paragraph Numbered"/>
    <w:basedOn w:val="Heading2"/>
    <w:rsid w:val="00F22269"/>
    <w:pPr>
      <w:keepNext w:val="0"/>
      <w:numPr>
        <w:ilvl w:val="1"/>
      </w:numPr>
      <w:tabs>
        <w:tab w:val="num" w:pos="709"/>
      </w:tabs>
      <w:spacing w:before="0" w:after="240"/>
      <w:ind w:left="1021" w:hanging="1021"/>
      <w:jc w:val="left"/>
    </w:pPr>
    <w:rPr>
      <w:rFonts w:ascii="Arial" w:hAnsi="Arial"/>
      <w:iCs w:val="0"/>
      <w:color w:val="auto"/>
      <w:sz w:val="20"/>
      <w:szCs w:val="26"/>
    </w:rPr>
  </w:style>
  <w:style w:type="paragraph" w:customStyle="1" w:styleId="tableheader">
    <w:name w:val="tableheader"/>
    <w:basedOn w:val="Normal"/>
    <w:rsid w:val="00F22269"/>
    <w:pPr>
      <w:spacing w:before="0" w:after="0"/>
    </w:pPr>
  </w:style>
  <w:style w:type="paragraph" w:customStyle="1" w:styleId="msonormal0">
    <w:name w:val="msonormal"/>
    <w:basedOn w:val="Normal"/>
    <w:uiPriority w:val="99"/>
    <w:rsid w:val="00F22269"/>
    <w:pPr>
      <w:spacing w:before="100" w:beforeAutospacing="1" w:after="100" w:afterAutospacing="1"/>
    </w:pPr>
    <w:rPr>
      <w:rFonts w:ascii="Times New Roman" w:hAnsi="Times New Roman"/>
      <w:lang w:eastAsia="en-GB"/>
    </w:rPr>
  </w:style>
  <w:style w:type="paragraph" w:customStyle="1" w:styleId="tableheaders">
    <w:name w:val="tableheaders"/>
    <w:basedOn w:val="Normal"/>
    <w:uiPriority w:val="99"/>
    <w:rsid w:val="00F22269"/>
    <w:pPr>
      <w:spacing w:before="0" w:after="0"/>
      <w:jc w:val="left"/>
    </w:pPr>
    <w:rPr>
      <w:szCs w:val="22"/>
    </w:rPr>
  </w:style>
  <w:style w:type="paragraph" w:customStyle="1" w:styleId="mapheader">
    <w:name w:val="mapheader"/>
    <w:basedOn w:val="Maintext"/>
    <w:rsid w:val="00F22269"/>
    <w:pPr>
      <w:numPr>
        <w:ilvl w:val="0"/>
        <w:numId w:val="0"/>
      </w:numPr>
      <w:ind w:left="709" w:hanging="709"/>
    </w:pPr>
    <w:rPr>
      <w:rFonts w:ascii="Arial" w:hAnsi="Arial" w:cs="Arial"/>
      <w:b/>
    </w:rPr>
  </w:style>
  <w:style w:type="paragraph" w:customStyle="1" w:styleId="t">
    <w:name w:val="t"/>
    <w:basedOn w:val="Normal"/>
    <w:rsid w:val="00F22269"/>
    <w:rPr>
      <w:lang w:eastAsia="en-GB"/>
    </w:rPr>
  </w:style>
  <w:style w:type="paragraph" w:customStyle="1" w:styleId="tt">
    <w:name w:val="tt"/>
    <w:basedOn w:val="t"/>
    <w:rsid w:val="00F22269"/>
  </w:style>
  <w:style w:type="paragraph" w:customStyle="1" w:styleId="tableeheading">
    <w:name w:val="tableeheading"/>
    <w:basedOn w:val="Normal"/>
    <w:rsid w:val="00F22269"/>
    <w:pPr>
      <w:spacing w:before="0" w:after="0"/>
      <w:jc w:val="left"/>
    </w:pPr>
    <w:rPr>
      <w:color w:val="000000"/>
    </w:rPr>
  </w:style>
  <w:style w:type="paragraph" w:customStyle="1" w:styleId="tabeheading">
    <w:name w:val="tabeheading"/>
    <w:basedOn w:val="Maintext"/>
    <w:rsid w:val="00F22269"/>
    <w:pPr>
      <w:numPr>
        <w:ilvl w:val="0"/>
        <w:numId w:val="0"/>
      </w:numPr>
    </w:pPr>
    <w:rPr>
      <w:rFonts w:ascii="Arial" w:hAnsi="Arial"/>
    </w:rPr>
  </w:style>
  <w:style w:type="paragraph" w:customStyle="1" w:styleId="Normatabl">
    <w:name w:val="Normatabl"/>
    <w:basedOn w:val="Normal"/>
    <w:rsid w:val="00F22269"/>
  </w:style>
  <w:style w:type="paragraph" w:customStyle="1" w:styleId="tableheading0">
    <w:name w:val="table heading"/>
    <w:basedOn w:val="Normatabl"/>
    <w:rsid w:val="00F22269"/>
  </w:style>
  <w:style w:type="paragraph" w:customStyle="1" w:styleId="tablehading">
    <w:name w:val="tablehading"/>
    <w:basedOn w:val="t"/>
    <w:rsid w:val="00F22269"/>
    <w:rPr>
      <w:color w:val="000000"/>
    </w:rPr>
  </w:style>
  <w:style w:type="paragraph" w:customStyle="1" w:styleId="ffigureheading">
    <w:name w:val="ffigureheading"/>
    <w:basedOn w:val="Normal"/>
    <w:rsid w:val="00F22269"/>
  </w:style>
  <w:style w:type="paragraph" w:customStyle="1" w:styleId="figureheadingffigureheading">
    <w:name w:val="figureheadingffigureheading"/>
    <w:basedOn w:val="ffigureheading"/>
    <w:rsid w:val="00F22269"/>
  </w:style>
  <w:style w:type="paragraph" w:customStyle="1" w:styleId="fi">
    <w:name w:val="fi"/>
    <w:basedOn w:val="Reporttext"/>
    <w:rsid w:val="00F22269"/>
    <w:pPr>
      <w:numPr>
        <w:ilvl w:val="0"/>
        <w:numId w:val="0"/>
      </w:numPr>
      <w:ind w:left="709"/>
    </w:pPr>
    <w:rPr>
      <w:rFonts w:ascii="Arial" w:hAnsi="Arial"/>
    </w:rPr>
  </w:style>
  <w:style w:type="character" w:customStyle="1" w:styleId="QuotesChar">
    <w:name w:val="Quotes Char"/>
    <w:link w:val="Quotes"/>
    <w:locked/>
    <w:rsid w:val="00F22269"/>
    <w:rPr>
      <w:rFonts w:ascii="Arial" w:hAnsi="Arial" w:cs="Arial"/>
      <w:color w:val="009999"/>
    </w:rPr>
  </w:style>
  <w:style w:type="paragraph" w:customStyle="1" w:styleId="Quotes">
    <w:name w:val="Quotes"/>
    <w:basedOn w:val="Reporttext"/>
    <w:link w:val="QuotesChar"/>
    <w:rsid w:val="00F22269"/>
    <w:pPr>
      <w:numPr>
        <w:ilvl w:val="0"/>
        <w:numId w:val="0"/>
      </w:numPr>
      <w:tabs>
        <w:tab w:val="num" w:pos="709"/>
      </w:tabs>
      <w:ind w:left="709" w:hanging="709"/>
    </w:pPr>
    <w:rPr>
      <w:rFonts w:ascii="Arial" w:hAnsi="Arial" w:cs="Arial"/>
      <w:color w:val="009999"/>
      <w:sz w:val="20"/>
      <w:szCs w:val="20"/>
      <w:lang w:eastAsia="en-GB"/>
    </w:rPr>
  </w:style>
  <w:style w:type="table" w:customStyle="1" w:styleId="LightList-Accent41">
    <w:name w:val="Light List - Accent 41"/>
    <w:rsid w:val="00806C70"/>
    <w:rPr>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paragraph" w:customStyle="1" w:styleId="Centre14">
    <w:name w:val="Centre14"/>
    <w:basedOn w:val="Normal"/>
    <w:next w:val="Normal"/>
    <w:autoRedefine/>
    <w:rsid w:val="00806C70"/>
    <w:pPr>
      <w:ind w:left="709" w:hanging="709"/>
      <w:jc w:val="center"/>
    </w:pPr>
    <w:rPr>
      <w:b/>
      <w:sz w:val="28"/>
    </w:rPr>
  </w:style>
  <w:style w:type="paragraph" w:customStyle="1" w:styleId="Sidehead11">
    <w:name w:val="Sidehead11"/>
    <w:basedOn w:val="Normal"/>
    <w:next w:val="Normal"/>
    <w:autoRedefine/>
    <w:rsid w:val="00806C70"/>
    <w:pPr>
      <w:ind w:left="720" w:hanging="720"/>
    </w:pPr>
    <w:rPr>
      <w:b/>
    </w:rPr>
  </w:style>
  <w:style w:type="paragraph" w:customStyle="1" w:styleId="Min0">
    <w:name w:val="Min#"/>
    <w:basedOn w:val="Maintext"/>
    <w:rsid w:val="00806C70"/>
    <w:pPr>
      <w:numPr>
        <w:ilvl w:val="0"/>
        <w:numId w:val="0"/>
      </w:numPr>
    </w:pPr>
    <w:rPr>
      <w:rFonts w:eastAsia="MS Mincho"/>
      <w:lang w:val="en-US" w:eastAsia="ja-JP"/>
    </w:rPr>
  </w:style>
  <w:style w:type="character" w:styleId="SubtleEmphasis">
    <w:name w:val="Subtle Emphasis"/>
    <w:rsid w:val="00806C70"/>
    <w:rPr>
      <w:rFonts w:cs="Times New Roman"/>
      <w:i/>
      <w:color w:val="808080"/>
    </w:rPr>
  </w:style>
  <w:style w:type="paragraph" w:customStyle="1" w:styleId="Para">
    <w:name w:val="Para"/>
    <w:basedOn w:val="Normal"/>
    <w:link w:val="ParaChar"/>
    <w:rsid w:val="00806C70"/>
    <w:pPr>
      <w:numPr>
        <w:ilvl w:val="1"/>
        <w:numId w:val="23"/>
      </w:numPr>
      <w:ind w:left="709" w:hanging="709"/>
    </w:pPr>
    <w:rPr>
      <w:szCs w:val="20"/>
      <w:lang w:val="en-US" w:eastAsia="ja-JP"/>
    </w:rPr>
  </w:style>
  <w:style w:type="paragraph" w:customStyle="1" w:styleId="Heading31">
    <w:name w:val="Heading 31"/>
    <w:basedOn w:val="Heading3"/>
    <w:link w:val="Heading31Char"/>
    <w:rsid w:val="00806C70"/>
    <w:pPr>
      <w:numPr>
        <w:numId w:val="22"/>
      </w:numPr>
    </w:pPr>
    <w:rPr>
      <w:b/>
      <w:color w:val="008080"/>
      <w:szCs w:val="20"/>
      <w:lang w:val="en-US" w:eastAsia="ja-JP"/>
    </w:rPr>
  </w:style>
  <w:style w:type="character" w:customStyle="1" w:styleId="ParaChar">
    <w:name w:val="Para Char"/>
    <w:link w:val="Para"/>
    <w:locked/>
    <w:rsid w:val="00806C70"/>
    <w:rPr>
      <w:rFonts w:ascii="Calibri" w:hAnsi="Calibri"/>
      <w:sz w:val="24"/>
      <w:lang w:val="en-US" w:eastAsia="ja-JP"/>
    </w:rPr>
  </w:style>
  <w:style w:type="paragraph" w:styleId="Subtitle">
    <w:name w:val="Subtitle"/>
    <w:basedOn w:val="Normal"/>
    <w:next w:val="Normal"/>
    <w:link w:val="SubtitleChar"/>
    <w:rsid w:val="00806C70"/>
    <w:pPr>
      <w:spacing w:after="60"/>
      <w:ind w:left="709" w:hanging="709"/>
      <w:jc w:val="center"/>
      <w:outlineLvl w:val="1"/>
    </w:pPr>
    <w:rPr>
      <w:rFonts w:ascii="Cambria" w:hAnsi="Cambria"/>
      <w:lang w:val="en-US"/>
    </w:rPr>
  </w:style>
  <w:style w:type="character" w:customStyle="1" w:styleId="SubtitleChar">
    <w:name w:val="Subtitle Char"/>
    <w:basedOn w:val="DefaultParagraphFont"/>
    <w:link w:val="Subtitle"/>
    <w:rsid w:val="00806C70"/>
    <w:rPr>
      <w:rFonts w:ascii="Cambria" w:hAnsi="Cambria"/>
      <w:sz w:val="24"/>
      <w:szCs w:val="24"/>
      <w:lang w:val="en-US" w:eastAsia="en-US"/>
    </w:rPr>
  </w:style>
  <w:style w:type="character" w:customStyle="1" w:styleId="Heading31Char">
    <w:name w:val="Heading 31 Char"/>
    <w:link w:val="Heading31"/>
    <w:locked/>
    <w:rsid w:val="00806C70"/>
    <w:rPr>
      <w:rFonts w:ascii="Calibri" w:hAnsi="Calibri"/>
      <w:b/>
      <w:color w:val="008080"/>
      <w:sz w:val="28"/>
      <w:lang w:val="en-US" w:eastAsia="ja-JP"/>
    </w:rPr>
  </w:style>
  <w:style w:type="paragraph" w:styleId="Quote">
    <w:name w:val="Quote"/>
    <w:basedOn w:val="Normal"/>
    <w:next w:val="Normal"/>
    <w:link w:val="QuoteChar"/>
    <w:rsid w:val="00806C70"/>
    <w:pPr>
      <w:ind w:left="709" w:hanging="709"/>
    </w:pPr>
    <w:rPr>
      <w:i/>
      <w:iCs/>
      <w:color w:val="000000"/>
      <w:lang w:val="en-US"/>
    </w:rPr>
  </w:style>
  <w:style w:type="character" w:customStyle="1" w:styleId="QuoteChar">
    <w:name w:val="Quote Char"/>
    <w:basedOn w:val="DefaultParagraphFont"/>
    <w:link w:val="Quote"/>
    <w:rsid w:val="00806C70"/>
    <w:rPr>
      <w:rFonts w:ascii="Calibri" w:hAnsi="Calibri"/>
      <w:i/>
      <w:iCs/>
      <w:color w:val="000000"/>
      <w:sz w:val="24"/>
      <w:szCs w:val="24"/>
      <w:lang w:val="en-US" w:eastAsia="en-US"/>
    </w:rPr>
  </w:style>
  <w:style w:type="character" w:styleId="IntenseEmphasis">
    <w:name w:val="Intense Emphasis"/>
    <w:rsid w:val="00806C70"/>
    <w:rPr>
      <w:rFonts w:cs="Times New Roman"/>
      <w:b/>
      <w:i/>
      <w:color w:val="4F81BD"/>
    </w:rPr>
  </w:style>
  <w:style w:type="character" w:styleId="SubtleReference">
    <w:name w:val="Subtle Reference"/>
    <w:rsid w:val="00806C70"/>
    <w:rPr>
      <w:rFonts w:cs="Times New Roman"/>
      <w:smallCaps/>
      <w:color w:val="C0504D"/>
      <w:u w:val="single"/>
    </w:rPr>
  </w:style>
  <w:style w:type="character" w:styleId="IntenseReference">
    <w:name w:val="Intense Reference"/>
    <w:rsid w:val="00806C70"/>
    <w:rPr>
      <w:rFonts w:cs="Times New Roman"/>
      <w:b/>
      <w:smallCaps/>
      <w:color w:val="C0504D"/>
      <w:spacing w:val="5"/>
      <w:u w:val="single"/>
    </w:rPr>
  </w:style>
  <w:style w:type="character" w:styleId="BookTitle">
    <w:name w:val="Book Title"/>
    <w:rsid w:val="00806C70"/>
    <w:rPr>
      <w:rFonts w:cs="Times New Roman"/>
      <w:b/>
      <w:smallCaps/>
      <w:spacing w:val="5"/>
    </w:rPr>
  </w:style>
  <w:style w:type="paragraph" w:customStyle="1" w:styleId="Bulletindent">
    <w:name w:val="Bullet indent"/>
    <w:basedOn w:val="bullet"/>
    <w:link w:val="BulletindentChar"/>
    <w:rsid w:val="00806C70"/>
    <w:pPr>
      <w:numPr>
        <w:ilvl w:val="1"/>
        <w:numId w:val="24"/>
      </w:numPr>
      <w:tabs>
        <w:tab w:val="clear" w:pos="709"/>
        <w:tab w:val="num" w:pos="1789"/>
      </w:tabs>
      <w:spacing w:before="0" w:after="0"/>
      <w:ind w:left="1505" w:hanging="425"/>
    </w:pPr>
    <w:rPr>
      <w:rFonts w:cs="Calibri"/>
      <w:szCs w:val="20"/>
      <w:lang w:val="en-US" w:eastAsia="ja-JP"/>
    </w:rPr>
  </w:style>
  <w:style w:type="character" w:customStyle="1" w:styleId="BulletindentChar">
    <w:name w:val="Bullet indent Char"/>
    <w:link w:val="Bulletindent"/>
    <w:locked/>
    <w:rsid w:val="00806C70"/>
    <w:rPr>
      <w:rFonts w:ascii="Calibri" w:hAnsi="Calibri" w:cs="Calibri"/>
      <w:sz w:val="24"/>
      <w:lang w:val="en-US" w:eastAsia="ja-JP"/>
    </w:rPr>
  </w:style>
  <w:style w:type="paragraph" w:customStyle="1" w:styleId="Char4">
    <w:name w:val="Char4"/>
    <w:basedOn w:val="Normal"/>
    <w:rsid w:val="00806C70"/>
    <w:pPr>
      <w:spacing w:before="0" w:after="160" w:line="240" w:lineRule="exact"/>
      <w:jc w:val="left"/>
    </w:pPr>
    <w:rPr>
      <w:sz w:val="20"/>
      <w:szCs w:val="20"/>
      <w:lang w:val="en-US"/>
    </w:rPr>
  </w:style>
  <w:style w:type="character" w:customStyle="1" w:styleId="CharChar251">
    <w:name w:val="Char Char251"/>
    <w:semiHidden/>
    <w:rsid w:val="00806C70"/>
    <w:rPr>
      <w:rFonts w:ascii="Arial" w:hAnsi="Arial"/>
      <w:lang w:val="x-none" w:eastAsia="en-US"/>
    </w:rPr>
  </w:style>
  <w:style w:type="table" w:styleId="TableGrid6">
    <w:name w:val="Table Grid 6"/>
    <w:basedOn w:val="TableNormal"/>
    <w:rsid w:val="00806C70"/>
    <w:pPr>
      <w:spacing w:before="120" w:after="120"/>
      <w:jc w:val="both"/>
    </w:pPr>
    <w:rPr>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character" w:customStyle="1" w:styleId="CharChar62">
    <w:name w:val="Char Char62"/>
    <w:locked/>
    <w:rsid w:val="00806C70"/>
    <w:rPr>
      <w:rFonts w:ascii="Arial" w:hAnsi="Arial"/>
      <w:b/>
      <w:color w:val="008080"/>
      <w:sz w:val="32"/>
      <w:lang w:val="en-GB" w:eastAsia="en-US"/>
    </w:rPr>
  </w:style>
  <w:style w:type="character" w:customStyle="1" w:styleId="EKOSFootnoteTextCharChar">
    <w:name w:val="EKOS Footnote Text Char Char"/>
    <w:semiHidden/>
    <w:locked/>
    <w:rsid w:val="00806C70"/>
    <w:rPr>
      <w:rFonts w:ascii="Arial" w:hAnsi="Arial"/>
      <w:lang w:val="en-GB" w:eastAsia="en-US"/>
    </w:rPr>
  </w:style>
  <w:style w:type="paragraph" w:customStyle="1" w:styleId="Miain">
    <w:name w:val="Miain"/>
    <w:basedOn w:val="Normal"/>
    <w:rsid w:val="00806C70"/>
  </w:style>
  <w:style w:type="paragraph" w:customStyle="1" w:styleId="CharCharCharCharCharCharCharCharCharChar1">
    <w:name w:val="Char Char Char Char Char Char Char Char Char Char1"/>
    <w:basedOn w:val="Normal"/>
    <w:rsid w:val="00806C70"/>
    <w:pPr>
      <w:spacing w:before="0" w:line="240" w:lineRule="exact"/>
      <w:jc w:val="left"/>
    </w:pPr>
    <w:rPr>
      <w:rFonts w:ascii="Verdana" w:hAnsi="Verdana"/>
      <w:sz w:val="20"/>
      <w:szCs w:val="20"/>
      <w:lang w:val="en-US"/>
    </w:rPr>
  </w:style>
  <w:style w:type="paragraph" w:customStyle="1" w:styleId="Char3">
    <w:name w:val="Char3"/>
    <w:basedOn w:val="Normal"/>
    <w:rsid w:val="00806C70"/>
    <w:pPr>
      <w:spacing w:before="0" w:after="160" w:line="240" w:lineRule="exact"/>
      <w:jc w:val="left"/>
    </w:pPr>
    <w:rPr>
      <w:sz w:val="20"/>
      <w:szCs w:val="20"/>
      <w:lang w:val="en-US"/>
    </w:rPr>
  </w:style>
  <w:style w:type="character" w:customStyle="1" w:styleId="CharChar17">
    <w:name w:val="Char Char17"/>
    <w:rsid w:val="00806C70"/>
    <w:rPr>
      <w:rFonts w:ascii="Arial" w:hAnsi="Arial" w:cs="Arial"/>
      <w:b/>
      <w:bCs/>
      <w:iCs/>
      <w:color w:val="008080"/>
      <w:sz w:val="28"/>
      <w:szCs w:val="28"/>
      <w:lang w:eastAsia="en-US"/>
    </w:rPr>
  </w:style>
  <w:style w:type="character" w:customStyle="1" w:styleId="CharChar16">
    <w:name w:val="Char Char16"/>
    <w:rsid w:val="00806C70"/>
    <w:rPr>
      <w:rFonts w:ascii="Arial" w:hAnsi="Arial" w:cs="Arial"/>
      <w:color w:val="008080"/>
      <w:sz w:val="28"/>
      <w:szCs w:val="28"/>
      <w:lang w:eastAsia="en-US"/>
    </w:rPr>
  </w:style>
  <w:style w:type="character" w:customStyle="1" w:styleId="EKOSFootnoteTextCharChar1">
    <w:name w:val="EKOS Footnote Text Char Char1"/>
    <w:rsid w:val="00806C70"/>
    <w:rPr>
      <w:rFonts w:ascii="Arial" w:hAnsi="Arial"/>
      <w:lang w:eastAsia="en-US"/>
    </w:rPr>
  </w:style>
  <w:style w:type="paragraph" w:customStyle="1" w:styleId="CharCharCharCharCharCharCharCharCharChar3">
    <w:name w:val="Char Char Char Char Char Char Char Char Char Char3"/>
    <w:basedOn w:val="Normal"/>
    <w:rsid w:val="00806C70"/>
    <w:pPr>
      <w:spacing w:before="0" w:line="240" w:lineRule="exact"/>
      <w:jc w:val="left"/>
    </w:pPr>
    <w:rPr>
      <w:rFonts w:ascii="Verdana" w:hAnsi="Verdana" w:cs="Verdana"/>
      <w:sz w:val="20"/>
      <w:szCs w:val="20"/>
      <w:lang w:val="en-US"/>
    </w:rPr>
  </w:style>
  <w:style w:type="paragraph" w:customStyle="1" w:styleId="Tableheading1">
    <w:name w:val="Tableheading"/>
    <w:basedOn w:val="Maintext"/>
    <w:link w:val="TableheadingChar0"/>
    <w:qFormat/>
    <w:rsid w:val="00FE11C5"/>
    <w:pPr>
      <w:numPr>
        <w:ilvl w:val="0"/>
        <w:numId w:val="0"/>
      </w:numPr>
    </w:pPr>
    <w:rPr>
      <w:rFonts w:cs="Arial"/>
      <w:b/>
      <w:bCs/>
      <w:color w:val="FFFFFF" w:themeColor="background1"/>
      <w:sz w:val="22"/>
    </w:rPr>
  </w:style>
  <w:style w:type="character" w:customStyle="1" w:styleId="TableheadingChar0">
    <w:name w:val="Tableheading Char"/>
    <w:link w:val="Tableheading1"/>
    <w:locked/>
    <w:rsid w:val="00FE11C5"/>
    <w:rPr>
      <w:rFonts w:ascii="Calibri" w:hAnsi="Calibri" w:cs="Arial"/>
      <w:b/>
      <w:bCs/>
      <w:color w:val="FFFFFF" w:themeColor="background1"/>
      <w:sz w:val="22"/>
      <w:szCs w:val="24"/>
      <w:lang w:eastAsia="en-US"/>
    </w:rPr>
  </w:style>
  <w:style w:type="paragraph" w:customStyle="1" w:styleId="CharCharCharCharCharCharCharCharCharChar2">
    <w:name w:val="Char Char Char Char Char Char Char Char Char Char2"/>
    <w:basedOn w:val="Normal"/>
    <w:rsid w:val="00806C70"/>
    <w:pPr>
      <w:spacing w:before="0" w:line="240" w:lineRule="exact"/>
      <w:jc w:val="left"/>
    </w:pPr>
    <w:rPr>
      <w:rFonts w:ascii="Verdana" w:hAnsi="Verdana" w:cs="Verdana"/>
      <w:sz w:val="20"/>
      <w:szCs w:val="20"/>
      <w:lang w:val="en-US"/>
    </w:rPr>
  </w:style>
  <w:style w:type="paragraph" w:customStyle="1" w:styleId="CharCharCharCharCharCharCharCharCharChar4">
    <w:name w:val="Char Char Char Char Char Char Char Char Char Char4"/>
    <w:basedOn w:val="Normal"/>
    <w:rsid w:val="00806C70"/>
    <w:pPr>
      <w:spacing w:before="0" w:line="240" w:lineRule="exact"/>
      <w:jc w:val="left"/>
    </w:pPr>
    <w:rPr>
      <w:rFonts w:ascii="Verdana" w:hAnsi="Verdana" w:cs="Verdana"/>
      <w:sz w:val="20"/>
      <w:szCs w:val="20"/>
      <w:lang w:val="en-US"/>
    </w:rPr>
  </w:style>
  <w:style w:type="paragraph" w:customStyle="1" w:styleId="Bulletarc4">
    <w:name w:val="Bullet arc4"/>
    <w:basedOn w:val="Maintext"/>
    <w:link w:val="Bulletarc4Char"/>
    <w:rsid w:val="00806C70"/>
    <w:pPr>
      <w:numPr>
        <w:ilvl w:val="0"/>
        <w:numId w:val="25"/>
      </w:numPr>
      <w:tabs>
        <w:tab w:val="clear" w:pos="720"/>
        <w:tab w:val="num" w:pos="1418"/>
      </w:tabs>
      <w:ind w:left="1069"/>
    </w:pPr>
    <w:rPr>
      <w:rFonts w:cs="Arial"/>
    </w:rPr>
  </w:style>
  <w:style w:type="character" w:customStyle="1" w:styleId="Bulletarc4Char">
    <w:name w:val="Bullet arc4 Char"/>
    <w:link w:val="Bulletarc4"/>
    <w:locked/>
    <w:rsid w:val="00806C70"/>
    <w:rPr>
      <w:rFonts w:ascii="Calibri" w:hAnsi="Calibri" w:cs="Arial"/>
      <w:sz w:val="24"/>
      <w:szCs w:val="24"/>
      <w:lang w:eastAsia="en-US"/>
    </w:rPr>
  </w:style>
  <w:style w:type="paragraph" w:customStyle="1" w:styleId="Char5">
    <w:name w:val="Char5"/>
    <w:basedOn w:val="Normal"/>
    <w:rsid w:val="00806C70"/>
    <w:pPr>
      <w:spacing w:before="0" w:after="160" w:line="240" w:lineRule="exact"/>
      <w:jc w:val="left"/>
    </w:pPr>
    <w:rPr>
      <w:rFonts w:cs="Arial"/>
      <w:sz w:val="20"/>
      <w:szCs w:val="20"/>
      <w:lang w:val="en-US"/>
    </w:rPr>
  </w:style>
  <w:style w:type="paragraph" w:customStyle="1" w:styleId="Normal0">
    <w:name w:val="Normal#"/>
    <w:basedOn w:val="Heading3"/>
    <w:rsid w:val="00806C70"/>
    <w:pPr>
      <w:spacing w:before="240" w:after="60"/>
    </w:pPr>
    <w:rPr>
      <w:rFonts w:cs="Arial"/>
      <w:color w:val="008080"/>
    </w:rPr>
  </w:style>
  <w:style w:type="paragraph" w:customStyle="1" w:styleId="xl63">
    <w:name w:val="xl63"/>
    <w:basedOn w:val="Normal"/>
    <w:rsid w:val="00806C70"/>
    <w:pPr>
      <w:spacing w:before="100" w:beforeAutospacing="1" w:after="100" w:afterAutospacing="1"/>
      <w:jc w:val="left"/>
    </w:pPr>
    <w:rPr>
      <w:rFonts w:ascii="Verdana" w:hAnsi="Verdana"/>
      <w:color w:val="333333"/>
      <w:sz w:val="16"/>
      <w:szCs w:val="16"/>
      <w:lang w:eastAsia="en-GB"/>
    </w:rPr>
  </w:style>
  <w:style w:type="paragraph" w:customStyle="1" w:styleId="xl64">
    <w:name w:val="xl64"/>
    <w:basedOn w:val="Normal"/>
    <w:rsid w:val="00806C70"/>
    <w:pPr>
      <w:spacing w:before="100" w:beforeAutospacing="1" w:after="100" w:afterAutospacing="1"/>
      <w:jc w:val="center"/>
    </w:pPr>
    <w:rPr>
      <w:rFonts w:ascii="Times New Roman" w:hAnsi="Times New Roman"/>
      <w:lang w:eastAsia="en-GB"/>
    </w:rPr>
  </w:style>
  <w:style w:type="paragraph" w:customStyle="1" w:styleId="xl65">
    <w:name w:val="xl65"/>
    <w:basedOn w:val="Normal"/>
    <w:rsid w:val="00806C70"/>
    <w:pPr>
      <w:spacing w:before="100" w:beforeAutospacing="1" w:after="100" w:afterAutospacing="1"/>
      <w:jc w:val="center"/>
    </w:pPr>
    <w:rPr>
      <w:rFonts w:ascii="Times New Roman" w:hAnsi="Times New Roman"/>
      <w:lang w:eastAsia="en-GB"/>
    </w:rPr>
  </w:style>
  <w:style w:type="paragraph" w:customStyle="1" w:styleId="xl66">
    <w:name w:val="xl66"/>
    <w:basedOn w:val="Normal"/>
    <w:rsid w:val="00806C70"/>
    <w:pPr>
      <w:shd w:val="clear" w:color="000000" w:fill="009999"/>
      <w:spacing w:before="100" w:beforeAutospacing="1" w:after="100" w:afterAutospacing="1"/>
      <w:jc w:val="center"/>
    </w:pPr>
    <w:rPr>
      <w:rFonts w:ascii="Times New Roman" w:hAnsi="Times New Roman"/>
      <w:b/>
      <w:bCs/>
      <w:color w:val="FFFFFF"/>
      <w:lang w:eastAsia="en-GB"/>
    </w:rPr>
  </w:style>
  <w:style w:type="paragraph" w:customStyle="1" w:styleId="xl67">
    <w:name w:val="xl67"/>
    <w:basedOn w:val="Normal"/>
    <w:rsid w:val="00806C70"/>
    <w:pPr>
      <w:shd w:val="clear" w:color="000000" w:fill="009999"/>
      <w:spacing w:before="100" w:beforeAutospacing="1" w:after="100" w:afterAutospacing="1"/>
      <w:jc w:val="center"/>
    </w:pPr>
    <w:rPr>
      <w:rFonts w:ascii="Times New Roman" w:hAnsi="Times New Roman"/>
      <w:b/>
      <w:bCs/>
      <w:color w:val="FFFFFF"/>
      <w:lang w:eastAsia="en-GB"/>
    </w:rPr>
  </w:style>
  <w:style w:type="paragraph" w:customStyle="1" w:styleId="xl68">
    <w:name w:val="xl68"/>
    <w:basedOn w:val="Normal"/>
    <w:rsid w:val="00806C70"/>
    <w:pPr>
      <w:spacing w:before="100" w:beforeAutospacing="1" w:after="100" w:afterAutospacing="1"/>
      <w:jc w:val="left"/>
    </w:pPr>
    <w:rPr>
      <w:rFonts w:ascii="Times New Roman" w:hAnsi="Times New Roman"/>
      <w:b/>
      <w:bCs/>
      <w:i/>
      <w:iCs/>
      <w:lang w:eastAsia="en-GB"/>
    </w:rPr>
  </w:style>
  <w:style w:type="paragraph" w:customStyle="1" w:styleId="xl69">
    <w:name w:val="xl69"/>
    <w:basedOn w:val="Normal"/>
    <w:rsid w:val="00806C70"/>
    <w:pPr>
      <w:spacing w:before="100" w:beforeAutospacing="1" w:after="100" w:afterAutospacing="1"/>
      <w:jc w:val="center"/>
    </w:pPr>
    <w:rPr>
      <w:rFonts w:ascii="Times New Roman" w:hAnsi="Times New Roman"/>
      <w:b/>
      <w:bCs/>
      <w:i/>
      <w:iCs/>
      <w:lang w:eastAsia="en-GB"/>
    </w:rPr>
  </w:style>
  <w:style w:type="paragraph" w:customStyle="1" w:styleId="xl70">
    <w:name w:val="xl70"/>
    <w:basedOn w:val="Normal"/>
    <w:rsid w:val="00806C70"/>
    <w:pPr>
      <w:spacing w:before="100" w:beforeAutospacing="1" w:after="100" w:afterAutospacing="1"/>
      <w:jc w:val="center"/>
    </w:pPr>
    <w:rPr>
      <w:rFonts w:ascii="Times New Roman" w:hAnsi="Times New Roman"/>
      <w:b/>
      <w:bCs/>
      <w:i/>
      <w:iCs/>
      <w:lang w:eastAsia="en-GB"/>
    </w:rPr>
  </w:style>
  <w:style w:type="paragraph" w:customStyle="1" w:styleId="TableHeading2">
    <w:name w:val="Table Heading"/>
    <w:basedOn w:val="Normal"/>
    <w:rsid w:val="00976790"/>
    <w:pPr>
      <w:spacing w:before="0" w:after="0"/>
      <w:ind w:right="142"/>
      <w:jc w:val="left"/>
    </w:pPr>
    <w:rPr>
      <w:rFonts w:ascii="Garamond" w:hAnsi="Garamond"/>
      <w:b/>
      <w:bCs/>
      <w:kern w:val="28"/>
      <w:sz w:val="22"/>
    </w:rPr>
  </w:style>
  <w:style w:type="table" w:customStyle="1" w:styleId="GridTable1Light-Accent51">
    <w:name w:val="Grid Table 1 Light - Accent 51"/>
    <w:basedOn w:val="TableNormal"/>
    <w:uiPriority w:val="46"/>
    <w:rsid w:val="001E64F1"/>
    <w:rPr>
      <w:rFonts w:asciiTheme="minorHAnsi" w:eastAsiaTheme="minorHAnsi" w:hAnsiTheme="minorHAnsi" w:cstheme="minorBidi"/>
      <w:sz w:val="22"/>
      <w:szCs w:val="22"/>
      <w:lang w:eastAsia="en-U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il">
    <w:name w:val="il"/>
    <w:basedOn w:val="DefaultParagraphFont"/>
    <w:rsid w:val="001E64F1"/>
  </w:style>
  <w:style w:type="character" w:customStyle="1" w:styleId="st">
    <w:name w:val="st"/>
    <w:basedOn w:val="DefaultParagraphFont"/>
    <w:rsid w:val="001E64F1"/>
  </w:style>
  <w:style w:type="paragraph" w:customStyle="1" w:styleId="scheda">
    <w:name w:val="scheda"/>
    <w:basedOn w:val="Normal"/>
    <w:next w:val="Normal"/>
    <w:rsid w:val="001E64F1"/>
    <w:pPr>
      <w:numPr>
        <w:numId w:val="26"/>
      </w:numPr>
      <w:spacing w:before="0" w:after="240" w:line="360" w:lineRule="auto"/>
    </w:pPr>
    <w:rPr>
      <w:rFonts w:ascii="Arial" w:hAnsi="Arial"/>
      <w:szCs w:val="20"/>
      <w:lang w:eastAsia="en-GB"/>
    </w:rPr>
  </w:style>
  <w:style w:type="paragraph" w:customStyle="1" w:styleId="schedb">
    <w:name w:val="schedb"/>
    <w:basedOn w:val="Normal"/>
    <w:rsid w:val="001E64F1"/>
    <w:pPr>
      <w:numPr>
        <w:ilvl w:val="1"/>
        <w:numId w:val="26"/>
      </w:numPr>
      <w:spacing w:before="0" w:after="240" w:line="360" w:lineRule="auto"/>
    </w:pPr>
    <w:rPr>
      <w:rFonts w:ascii="Arial" w:hAnsi="Arial"/>
      <w:szCs w:val="20"/>
      <w:lang w:eastAsia="en-GB"/>
    </w:rPr>
  </w:style>
  <w:style w:type="paragraph" w:customStyle="1" w:styleId="schedc">
    <w:name w:val="schedc"/>
    <w:basedOn w:val="Normal"/>
    <w:rsid w:val="001E64F1"/>
    <w:pPr>
      <w:numPr>
        <w:ilvl w:val="2"/>
        <w:numId w:val="26"/>
      </w:numPr>
      <w:spacing w:before="0" w:after="240" w:line="360" w:lineRule="auto"/>
    </w:pPr>
    <w:rPr>
      <w:rFonts w:ascii="Arial" w:hAnsi="Arial"/>
      <w:szCs w:val="20"/>
      <w:lang w:eastAsia="en-GB"/>
    </w:rPr>
  </w:style>
  <w:style w:type="paragraph" w:customStyle="1" w:styleId="Bullet1">
    <w:name w:val="Bullet 1"/>
    <w:basedOn w:val="BodyText"/>
    <w:link w:val="Bullet1Char"/>
    <w:rsid w:val="00D918BB"/>
    <w:pPr>
      <w:tabs>
        <w:tab w:val="num" w:pos="927"/>
      </w:tabs>
      <w:spacing w:before="0" w:line="288" w:lineRule="auto"/>
      <w:ind w:left="907" w:right="-51" w:hanging="340"/>
    </w:pPr>
    <w:rPr>
      <w:rFonts w:ascii="Arial" w:hAnsi="Arial"/>
      <w:color w:val="000000"/>
      <w:sz w:val="22"/>
      <w:szCs w:val="18"/>
    </w:rPr>
  </w:style>
  <w:style w:type="character" w:customStyle="1" w:styleId="Bullet1Char">
    <w:name w:val="Bullet 1 Char"/>
    <w:basedOn w:val="DefaultParagraphFont"/>
    <w:link w:val="Bullet1"/>
    <w:rsid w:val="00D918BB"/>
    <w:rPr>
      <w:rFonts w:ascii="Arial" w:hAnsi="Arial"/>
      <w:color w:val="000000"/>
      <w:sz w:val="22"/>
      <w:szCs w:val="18"/>
      <w:lang w:eastAsia="en-US"/>
    </w:rPr>
  </w:style>
  <w:style w:type="paragraph" w:customStyle="1" w:styleId="text-align-center">
    <w:name w:val="text-align-center"/>
    <w:basedOn w:val="Normal"/>
    <w:rsid w:val="00AE6702"/>
    <w:pPr>
      <w:spacing w:before="100" w:beforeAutospacing="1" w:after="100" w:afterAutospacing="1"/>
      <w:jc w:val="left"/>
    </w:pPr>
    <w:rPr>
      <w:rFonts w:ascii="Times New Roman" w:hAnsi="Times New Roman"/>
      <w:lang w:eastAsia="en-GB"/>
    </w:rPr>
  </w:style>
  <w:style w:type="paragraph" w:customStyle="1" w:styleId="BulletList">
    <w:name w:val="Bullet List"/>
    <w:basedOn w:val="Normal"/>
    <w:link w:val="BulletListChar"/>
    <w:uiPriority w:val="99"/>
    <w:rsid w:val="002F0D71"/>
    <w:pPr>
      <w:spacing w:before="0" w:after="240" w:line="360" w:lineRule="auto"/>
      <w:ind w:left="709" w:right="227" w:hanging="284"/>
      <w:contextualSpacing/>
      <w:jc w:val="left"/>
      <w:outlineLvl w:val="2"/>
    </w:pPr>
    <w:rPr>
      <w:rFonts w:cstheme="minorHAnsi"/>
      <w:sz w:val="22"/>
      <w:lang w:eastAsia="en-GB"/>
    </w:rPr>
  </w:style>
  <w:style w:type="paragraph" w:customStyle="1" w:styleId="TableBullets">
    <w:name w:val="TableBullets"/>
    <w:basedOn w:val="BulletList"/>
    <w:rsid w:val="002F0D71"/>
    <w:pPr>
      <w:tabs>
        <w:tab w:val="num" w:pos="720"/>
      </w:tabs>
      <w:spacing w:after="0" w:line="240" w:lineRule="auto"/>
      <w:ind w:left="720" w:hanging="720"/>
    </w:pPr>
    <w:rPr>
      <w:lang w:val="en-US"/>
    </w:rPr>
  </w:style>
  <w:style w:type="paragraph" w:customStyle="1" w:styleId="TableNote">
    <w:name w:val="Table Note"/>
    <w:basedOn w:val="Normal"/>
    <w:link w:val="TableNoteChar"/>
    <w:rsid w:val="002F0D71"/>
    <w:pPr>
      <w:autoSpaceDE w:val="0"/>
      <w:autoSpaceDN w:val="0"/>
      <w:adjustRightInd w:val="0"/>
      <w:spacing w:before="80" w:after="0"/>
      <w:jc w:val="left"/>
    </w:pPr>
    <w:rPr>
      <w:rFonts w:asciiTheme="minorHAnsi" w:hAnsiTheme="minorHAnsi" w:cs="Calibri"/>
      <w:sz w:val="19"/>
      <w:szCs w:val="19"/>
      <w:lang w:eastAsia="en-GB"/>
    </w:rPr>
  </w:style>
  <w:style w:type="character" w:customStyle="1" w:styleId="TableNoteChar">
    <w:name w:val="Table Note Char"/>
    <w:basedOn w:val="DefaultParagraphFont"/>
    <w:link w:val="TableNote"/>
    <w:rsid w:val="002F0D71"/>
    <w:rPr>
      <w:rFonts w:asciiTheme="minorHAnsi" w:hAnsiTheme="minorHAnsi" w:cs="Calibri"/>
      <w:sz w:val="19"/>
      <w:szCs w:val="19"/>
    </w:rPr>
  </w:style>
  <w:style w:type="character" w:customStyle="1" w:styleId="BulletListChar">
    <w:name w:val="Bullet List Char"/>
    <w:link w:val="BulletList"/>
    <w:uiPriority w:val="99"/>
    <w:rsid w:val="002F0D71"/>
    <w:rPr>
      <w:rFonts w:ascii="Calibri" w:hAnsi="Calibri" w:cstheme="minorHAnsi"/>
      <w:sz w:val="22"/>
      <w:szCs w:val="24"/>
    </w:rPr>
  </w:style>
  <w:style w:type="paragraph" w:customStyle="1" w:styleId="Picture">
    <w:name w:val="Picture"/>
    <w:basedOn w:val="Normal"/>
    <w:link w:val="PictureChar"/>
    <w:rsid w:val="002F0D71"/>
    <w:pPr>
      <w:spacing w:before="0" w:after="80"/>
      <w:jc w:val="center"/>
    </w:pPr>
    <w:rPr>
      <w:rFonts w:cs="Calibri"/>
      <w:sz w:val="22"/>
      <w:lang w:eastAsia="en-GB"/>
    </w:rPr>
  </w:style>
  <w:style w:type="character" w:customStyle="1" w:styleId="PictureChar">
    <w:name w:val="Picture Char"/>
    <w:basedOn w:val="DefaultParagraphFont"/>
    <w:link w:val="Picture"/>
    <w:rsid w:val="002F0D71"/>
    <w:rPr>
      <w:rFonts w:ascii="Calibri" w:hAnsi="Calibri" w:cs="Calibri"/>
      <w:sz w:val="22"/>
      <w:szCs w:val="24"/>
    </w:rPr>
  </w:style>
  <w:style w:type="paragraph" w:customStyle="1" w:styleId="TableCaption">
    <w:name w:val="Table Caption"/>
    <w:basedOn w:val="Caption"/>
    <w:link w:val="TableCaptionChar"/>
    <w:rsid w:val="002F0D71"/>
    <w:pPr>
      <w:spacing w:before="240" w:after="80" w:line="240" w:lineRule="auto"/>
      <w:jc w:val="left"/>
    </w:pPr>
    <w:rPr>
      <w:rFonts w:asciiTheme="minorHAnsi" w:hAnsiTheme="minorHAnsi" w:cs="Calibri"/>
      <w:b w:val="0"/>
      <w:bCs w:val="0"/>
      <w:sz w:val="21"/>
      <w:lang w:eastAsia="en-GB"/>
    </w:rPr>
  </w:style>
  <w:style w:type="character" w:customStyle="1" w:styleId="TableCaptionChar">
    <w:name w:val="Table Caption Char"/>
    <w:basedOn w:val="DefaultParagraphFont"/>
    <w:link w:val="TableCaption"/>
    <w:rsid w:val="002F0D71"/>
    <w:rPr>
      <w:rFonts w:asciiTheme="minorHAnsi" w:hAnsiTheme="minorHAnsi" w:cs="Calibri"/>
      <w:sz w:val="21"/>
    </w:rPr>
  </w:style>
  <w:style w:type="paragraph" w:customStyle="1" w:styleId="PictureCaption">
    <w:name w:val="Picture Caption"/>
    <w:basedOn w:val="Caption"/>
    <w:link w:val="PictureCaptionChar"/>
    <w:uiPriority w:val="99"/>
    <w:locked/>
    <w:rsid w:val="002F0D71"/>
    <w:pPr>
      <w:spacing w:before="80" w:after="480" w:line="240" w:lineRule="auto"/>
      <w:jc w:val="center"/>
    </w:pPr>
    <w:rPr>
      <w:rFonts w:asciiTheme="minorHAnsi" w:hAnsiTheme="minorHAnsi" w:cs="Calibri"/>
      <w:b w:val="0"/>
      <w:bCs w:val="0"/>
      <w:sz w:val="21"/>
      <w:szCs w:val="21"/>
      <w:lang w:eastAsia="en-GB"/>
    </w:rPr>
  </w:style>
  <w:style w:type="character" w:customStyle="1" w:styleId="PictureCaptionChar">
    <w:name w:val="Picture Caption Char"/>
    <w:basedOn w:val="DefaultParagraphFont"/>
    <w:link w:val="PictureCaption"/>
    <w:uiPriority w:val="99"/>
    <w:locked/>
    <w:rsid w:val="002F0D71"/>
    <w:rPr>
      <w:rFonts w:asciiTheme="minorHAnsi" w:hAnsiTheme="minorHAnsi" w:cs="Calibri"/>
      <w:sz w:val="21"/>
      <w:szCs w:val="21"/>
    </w:rPr>
  </w:style>
  <w:style w:type="paragraph" w:customStyle="1" w:styleId="Heading50">
    <w:name w:val="Heading5"/>
    <w:basedOn w:val="Heading4"/>
    <w:link w:val="Heading5Char0"/>
    <w:rsid w:val="002F0D71"/>
    <w:pPr>
      <w:keepLines/>
      <w:spacing w:before="300" w:after="80" w:line="360" w:lineRule="auto"/>
      <w:ind w:left="0"/>
      <w:jc w:val="left"/>
    </w:pPr>
    <w:rPr>
      <w:rFonts w:ascii="Gill Sans MT" w:eastAsiaTheme="majorEastAsia" w:hAnsi="Gill Sans MT" w:cstheme="majorBidi"/>
      <w:iCs/>
      <w:color w:val="0B56B1"/>
      <w:sz w:val="28"/>
      <w:szCs w:val="28"/>
      <w:lang w:val="x-none"/>
    </w:rPr>
  </w:style>
  <w:style w:type="character" w:customStyle="1" w:styleId="Heading5Char0">
    <w:name w:val="Heading5 Char"/>
    <w:basedOn w:val="Heading4Char"/>
    <w:link w:val="Heading50"/>
    <w:rsid w:val="002F0D71"/>
    <w:rPr>
      <w:rFonts w:ascii="Gill Sans MT" w:eastAsiaTheme="majorEastAsia" w:hAnsi="Gill Sans MT" w:cstheme="majorBidi"/>
      <w:bCs/>
      <w:i/>
      <w:iCs/>
      <w:color w:val="0B56B1"/>
      <w:sz w:val="28"/>
      <w:szCs w:val="28"/>
      <w:lang w:val="x-none" w:eastAsia="en-US"/>
    </w:rPr>
  </w:style>
  <w:style w:type="paragraph" w:customStyle="1" w:styleId="Footnotes">
    <w:name w:val="Footnotes"/>
    <w:basedOn w:val="Normal"/>
    <w:link w:val="FootnotesChar"/>
    <w:rsid w:val="002F0D71"/>
    <w:pPr>
      <w:spacing w:before="0" w:after="60"/>
      <w:jc w:val="left"/>
    </w:pPr>
    <w:rPr>
      <w:rFonts w:asciiTheme="minorHAnsi" w:hAnsiTheme="minorHAnsi" w:cs="Calibri"/>
      <w:sz w:val="19"/>
      <w:szCs w:val="19"/>
      <w:lang w:eastAsia="en-GB"/>
    </w:rPr>
  </w:style>
  <w:style w:type="character" w:customStyle="1" w:styleId="FootnotesChar">
    <w:name w:val="Footnotes Char"/>
    <w:basedOn w:val="DefaultParagraphFont"/>
    <w:link w:val="Footnotes"/>
    <w:rsid w:val="002F0D71"/>
    <w:rPr>
      <w:rFonts w:asciiTheme="minorHAnsi" w:hAnsiTheme="minorHAnsi" w:cs="Calibri"/>
      <w:sz w:val="19"/>
      <w:szCs w:val="19"/>
    </w:rPr>
  </w:style>
  <w:style w:type="paragraph" w:customStyle="1" w:styleId="mapheadinf">
    <w:name w:val="mapheadinf"/>
    <w:basedOn w:val="mapheader"/>
    <w:rsid w:val="002F0D71"/>
    <w:pPr>
      <w:spacing w:before="0" w:after="0"/>
      <w:ind w:left="0" w:firstLine="0"/>
      <w:jc w:val="left"/>
    </w:pPr>
    <w:rPr>
      <w:rFonts w:ascii="Times New Roman" w:hAnsi="Times New Roman"/>
      <w:b w:val="0"/>
      <w:lang w:val="x-none"/>
    </w:rPr>
  </w:style>
  <w:style w:type="paragraph" w:customStyle="1" w:styleId="Normal1">
    <w:name w:val="Normal1"/>
    <w:rsid w:val="002F0D71"/>
    <w:pPr>
      <w:spacing w:before="120" w:after="120"/>
      <w:jc w:val="both"/>
    </w:pPr>
    <w:rPr>
      <w:rFonts w:ascii="Arial" w:eastAsia="Arial" w:hAnsi="Arial" w:cs="Arial"/>
      <w:color w:val="000000"/>
      <w:sz w:val="24"/>
      <w:lang w:eastAsia="en-US"/>
    </w:rPr>
  </w:style>
  <w:style w:type="paragraph" w:customStyle="1" w:styleId="Figureheader">
    <w:name w:val="Figureheader"/>
    <w:basedOn w:val="Figureheading0"/>
    <w:rsid w:val="002F0D71"/>
    <w:pPr>
      <w:keepNext w:val="0"/>
      <w:spacing w:before="0" w:after="0"/>
      <w:ind w:firstLine="709"/>
      <w:jc w:val="left"/>
    </w:pPr>
    <w:rPr>
      <w:rFonts w:asciiTheme="minorHAnsi" w:hAnsiTheme="minorHAnsi"/>
      <w:b w:val="0"/>
      <w:color w:val="auto"/>
      <w:sz w:val="24"/>
      <w:shd w:val="clear" w:color="auto" w:fill="FFFFFF"/>
      <w:lang w:eastAsia="en-GB"/>
    </w:rPr>
  </w:style>
  <w:style w:type="numbering" w:customStyle="1" w:styleId="Reportnumberingstyle3">
    <w:name w:val="Report numbering style3"/>
    <w:uiPriority w:val="99"/>
    <w:rsid w:val="002F0D71"/>
  </w:style>
  <w:style w:type="numbering" w:customStyle="1" w:styleId="Reportnumberingstyle4">
    <w:name w:val="Report numbering style4"/>
    <w:rsid w:val="002F0D71"/>
  </w:style>
  <w:style w:type="numbering" w:customStyle="1" w:styleId="Reportnumberingstyle5">
    <w:name w:val="Report numbering style5"/>
    <w:rsid w:val="002F0D71"/>
    <w:pPr>
      <w:numPr>
        <w:numId w:val="1"/>
      </w:numPr>
    </w:pPr>
  </w:style>
  <w:style w:type="numbering" w:customStyle="1" w:styleId="Reportnumberingstyle6">
    <w:name w:val="Report numbering style6"/>
    <w:rsid w:val="002F0D71"/>
  </w:style>
  <w:style w:type="numbering" w:customStyle="1" w:styleId="Reportnumberingstyle7">
    <w:name w:val="Report numbering style7"/>
    <w:rsid w:val="002F0D71"/>
  </w:style>
  <w:style w:type="paragraph" w:customStyle="1" w:styleId="TOCHeading10">
    <w:name w:val="TOC Heading 1"/>
    <w:basedOn w:val="Normal"/>
    <w:rsid w:val="002F0D71"/>
    <w:pPr>
      <w:spacing w:before="0" w:after="0"/>
      <w:jc w:val="left"/>
    </w:pPr>
    <w:rPr>
      <w:rFonts w:ascii="Times New Roman" w:hAnsi="Times New Roman"/>
    </w:rPr>
  </w:style>
  <w:style w:type="character" w:customStyle="1" w:styleId="section-info-text">
    <w:name w:val="section-info-text"/>
    <w:basedOn w:val="DefaultParagraphFont"/>
    <w:rsid w:val="002F0D71"/>
  </w:style>
  <w:style w:type="paragraph" w:customStyle="1" w:styleId="BLevel1">
    <w:name w:val="B Level 1"/>
    <w:basedOn w:val="Heading1"/>
    <w:rsid w:val="002F0D71"/>
    <w:pPr>
      <w:numPr>
        <w:numId w:val="0"/>
      </w:numPr>
      <w:tabs>
        <w:tab w:val="num" w:pos="720"/>
      </w:tabs>
      <w:spacing w:before="0" w:after="0"/>
      <w:ind w:left="720" w:hanging="720"/>
      <w:jc w:val="left"/>
    </w:pPr>
    <w:rPr>
      <w:rFonts w:ascii="Times New Roman" w:hAnsi="Times New Roman" w:cstheme="minorHAnsi"/>
      <w:b/>
      <w:bCs w:val="0"/>
      <w:color w:val="auto"/>
      <w:kern w:val="28"/>
      <w:sz w:val="24"/>
      <w:szCs w:val="24"/>
      <w:lang w:eastAsia="en-GB"/>
    </w:rPr>
  </w:style>
  <w:style w:type="paragraph" w:customStyle="1" w:styleId="BLevel2">
    <w:name w:val="B Level 2"/>
    <w:basedOn w:val="Heading2"/>
    <w:rsid w:val="002F0D71"/>
    <w:pPr>
      <w:keepNext w:val="0"/>
      <w:numPr>
        <w:ilvl w:val="1"/>
        <w:numId w:val="28"/>
      </w:numPr>
      <w:spacing w:before="0" w:after="0"/>
      <w:jc w:val="left"/>
    </w:pPr>
    <w:rPr>
      <w:rFonts w:ascii="Times New Roman" w:hAnsi="Times New Roman"/>
      <w:bCs w:val="0"/>
      <w:iCs w:val="0"/>
      <w:color w:val="auto"/>
      <w:sz w:val="24"/>
      <w:szCs w:val="24"/>
      <w:lang w:eastAsia="en-GB"/>
    </w:rPr>
  </w:style>
  <w:style w:type="paragraph" w:customStyle="1" w:styleId="BLevel3">
    <w:name w:val="B Level 3"/>
    <w:basedOn w:val="Heading3"/>
    <w:rsid w:val="002F0D71"/>
    <w:pPr>
      <w:keepNext w:val="0"/>
      <w:numPr>
        <w:ilvl w:val="2"/>
        <w:numId w:val="28"/>
      </w:numPr>
      <w:spacing w:before="0" w:after="0"/>
      <w:jc w:val="left"/>
      <w:outlineLvl w:val="9"/>
    </w:pPr>
    <w:rPr>
      <w:rFonts w:ascii="Times New Roman" w:hAnsi="Times New Roman"/>
      <w:color w:val="auto"/>
      <w:sz w:val="24"/>
      <w:szCs w:val="24"/>
      <w:lang w:eastAsia="en-GB"/>
    </w:rPr>
  </w:style>
  <w:style w:type="paragraph" w:customStyle="1" w:styleId="BLevel4">
    <w:name w:val="B Level 4"/>
    <w:basedOn w:val="Heading4"/>
    <w:rsid w:val="002F0D71"/>
    <w:pPr>
      <w:keepNext w:val="0"/>
      <w:numPr>
        <w:ilvl w:val="3"/>
        <w:numId w:val="28"/>
      </w:numPr>
      <w:spacing w:before="0" w:after="0"/>
      <w:jc w:val="left"/>
      <w:outlineLvl w:val="9"/>
    </w:pPr>
    <w:rPr>
      <w:rFonts w:ascii="Times New Roman" w:hAnsi="Times New Roman" w:cs="Arial"/>
      <w:bCs w:val="0"/>
      <w:i w:val="0"/>
      <w:color w:val="auto"/>
      <w:lang w:eastAsia="en-GB"/>
    </w:rPr>
  </w:style>
  <w:style w:type="paragraph" w:customStyle="1" w:styleId="BLevel5">
    <w:name w:val="B Level 5"/>
    <w:basedOn w:val="Heading5"/>
    <w:rsid w:val="002F0D71"/>
    <w:pPr>
      <w:numPr>
        <w:numId w:val="28"/>
      </w:numPr>
      <w:tabs>
        <w:tab w:val="clear" w:pos="3878"/>
        <w:tab w:val="left" w:pos="3544"/>
      </w:tabs>
      <w:spacing w:before="0" w:after="0"/>
      <w:ind w:left="3544" w:hanging="913"/>
      <w:jc w:val="left"/>
      <w:outlineLvl w:val="9"/>
    </w:pPr>
    <w:rPr>
      <w:rFonts w:ascii="Times New Roman" w:hAnsi="Times New Roman" w:cs="Arial"/>
      <w:b w:val="0"/>
      <w:bCs w:val="0"/>
      <w:i w:val="0"/>
      <w:iCs w:val="0"/>
      <w:sz w:val="24"/>
      <w:szCs w:val="24"/>
      <w:lang w:eastAsia="en-GB"/>
    </w:rPr>
  </w:style>
  <w:style w:type="character" w:customStyle="1" w:styleId="st1">
    <w:name w:val="st1"/>
    <w:rsid w:val="002F0D71"/>
  </w:style>
  <w:style w:type="character" w:customStyle="1" w:styleId="UnresolvedMention1">
    <w:name w:val="Unresolved Mention1"/>
    <w:basedOn w:val="DefaultParagraphFont"/>
    <w:uiPriority w:val="99"/>
    <w:unhideWhenUsed/>
    <w:rsid w:val="002F0D71"/>
    <w:rPr>
      <w:color w:val="808080"/>
      <w:shd w:val="clear" w:color="auto" w:fill="E6E6E6"/>
    </w:rPr>
  </w:style>
  <w:style w:type="table" w:styleId="LightGrid-Accent5">
    <w:name w:val="Light Grid Accent 5"/>
    <w:basedOn w:val="TableNormal"/>
    <w:uiPriority w:val="62"/>
    <w:rsid w:val="002F0D71"/>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character" w:customStyle="1" w:styleId="UnresolvedMention2">
    <w:name w:val="Unresolved Mention2"/>
    <w:basedOn w:val="DefaultParagraphFont"/>
    <w:uiPriority w:val="99"/>
    <w:unhideWhenUsed/>
    <w:rsid w:val="002F0D71"/>
    <w:rPr>
      <w:color w:val="808080"/>
      <w:shd w:val="clear" w:color="auto" w:fill="E6E6E6"/>
    </w:rPr>
  </w:style>
  <w:style w:type="character" w:customStyle="1" w:styleId="UnresolvedMention3">
    <w:name w:val="Unresolved Mention3"/>
    <w:basedOn w:val="DefaultParagraphFont"/>
    <w:uiPriority w:val="99"/>
    <w:unhideWhenUsed/>
    <w:rsid w:val="002F0D71"/>
    <w:rPr>
      <w:color w:val="808080"/>
      <w:shd w:val="clear" w:color="auto" w:fill="E6E6E6"/>
    </w:rPr>
  </w:style>
  <w:style w:type="paragraph" w:customStyle="1" w:styleId="NoSpacing2">
    <w:name w:val="No Spacing2"/>
    <w:basedOn w:val="Normal"/>
    <w:rsid w:val="002F0D71"/>
    <w:pPr>
      <w:spacing w:before="0" w:after="0"/>
      <w:jc w:val="left"/>
    </w:pPr>
    <w:rPr>
      <w:rFonts w:asciiTheme="minorHAnsi" w:hAnsiTheme="minorHAnsi"/>
      <w:lang w:eastAsia="en-GB"/>
    </w:rPr>
  </w:style>
  <w:style w:type="paragraph" w:customStyle="1" w:styleId="NoSpacing3">
    <w:name w:val="No Spacing3"/>
    <w:basedOn w:val="Normal"/>
    <w:rsid w:val="002F0D71"/>
    <w:pPr>
      <w:spacing w:before="0" w:after="0"/>
      <w:jc w:val="left"/>
    </w:pPr>
    <w:rPr>
      <w:rFonts w:asciiTheme="minorHAnsi" w:hAnsiTheme="minorHAnsi"/>
      <w:lang w:eastAsia="en-GB"/>
    </w:rPr>
  </w:style>
  <w:style w:type="paragraph" w:customStyle="1" w:styleId="Style2">
    <w:name w:val="Style2"/>
    <w:basedOn w:val="Normal"/>
    <w:link w:val="Style2Char"/>
    <w:rsid w:val="002F0D71"/>
    <w:pPr>
      <w:numPr>
        <w:numId w:val="29"/>
      </w:numPr>
      <w:spacing w:before="0" w:after="200" w:line="264" w:lineRule="auto"/>
      <w:ind w:left="680" w:hanging="680"/>
      <w:jc w:val="left"/>
    </w:pPr>
    <w:rPr>
      <w:rFonts w:asciiTheme="minorHAnsi" w:hAnsiTheme="minorHAnsi" w:cstheme="minorHAnsi"/>
      <w:sz w:val="22"/>
      <w:szCs w:val="22"/>
    </w:rPr>
  </w:style>
  <w:style w:type="character" w:customStyle="1" w:styleId="Style2Char">
    <w:name w:val="Style2 Char"/>
    <w:basedOn w:val="DefaultParagraphFont"/>
    <w:link w:val="Style2"/>
    <w:rsid w:val="002F0D71"/>
    <w:rPr>
      <w:rFonts w:asciiTheme="minorHAnsi" w:hAnsiTheme="minorHAnsi" w:cstheme="minorHAnsi"/>
      <w:sz w:val="22"/>
      <w:szCs w:val="22"/>
      <w:lang w:eastAsia="en-US"/>
    </w:rPr>
  </w:style>
  <w:style w:type="character" w:customStyle="1" w:styleId="UnresolvedMention4">
    <w:name w:val="Unresolved Mention4"/>
    <w:basedOn w:val="DefaultParagraphFont"/>
    <w:uiPriority w:val="99"/>
    <w:semiHidden/>
    <w:unhideWhenUsed/>
    <w:rsid w:val="001C02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6772">
      <w:bodyDiv w:val="1"/>
      <w:marLeft w:val="0"/>
      <w:marRight w:val="0"/>
      <w:marTop w:val="0"/>
      <w:marBottom w:val="0"/>
      <w:divBdr>
        <w:top w:val="none" w:sz="0" w:space="0" w:color="auto"/>
        <w:left w:val="none" w:sz="0" w:space="0" w:color="auto"/>
        <w:bottom w:val="none" w:sz="0" w:space="0" w:color="auto"/>
        <w:right w:val="none" w:sz="0" w:space="0" w:color="auto"/>
      </w:divBdr>
    </w:div>
    <w:div w:id="5255218">
      <w:bodyDiv w:val="1"/>
      <w:marLeft w:val="0"/>
      <w:marRight w:val="0"/>
      <w:marTop w:val="0"/>
      <w:marBottom w:val="0"/>
      <w:divBdr>
        <w:top w:val="none" w:sz="0" w:space="0" w:color="auto"/>
        <w:left w:val="none" w:sz="0" w:space="0" w:color="auto"/>
        <w:bottom w:val="none" w:sz="0" w:space="0" w:color="auto"/>
        <w:right w:val="none" w:sz="0" w:space="0" w:color="auto"/>
      </w:divBdr>
    </w:div>
    <w:div w:id="11490727">
      <w:bodyDiv w:val="1"/>
      <w:marLeft w:val="0"/>
      <w:marRight w:val="0"/>
      <w:marTop w:val="0"/>
      <w:marBottom w:val="0"/>
      <w:divBdr>
        <w:top w:val="none" w:sz="0" w:space="0" w:color="auto"/>
        <w:left w:val="none" w:sz="0" w:space="0" w:color="auto"/>
        <w:bottom w:val="none" w:sz="0" w:space="0" w:color="auto"/>
        <w:right w:val="none" w:sz="0" w:space="0" w:color="auto"/>
      </w:divBdr>
    </w:div>
    <w:div w:id="11805988">
      <w:bodyDiv w:val="1"/>
      <w:marLeft w:val="0"/>
      <w:marRight w:val="0"/>
      <w:marTop w:val="0"/>
      <w:marBottom w:val="0"/>
      <w:divBdr>
        <w:top w:val="none" w:sz="0" w:space="0" w:color="auto"/>
        <w:left w:val="none" w:sz="0" w:space="0" w:color="auto"/>
        <w:bottom w:val="none" w:sz="0" w:space="0" w:color="auto"/>
        <w:right w:val="none" w:sz="0" w:space="0" w:color="auto"/>
      </w:divBdr>
    </w:div>
    <w:div w:id="13306208">
      <w:bodyDiv w:val="1"/>
      <w:marLeft w:val="0"/>
      <w:marRight w:val="0"/>
      <w:marTop w:val="0"/>
      <w:marBottom w:val="0"/>
      <w:divBdr>
        <w:top w:val="none" w:sz="0" w:space="0" w:color="auto"/>
        <w:left w:val="none" w:sz="0" w:space="0" w:color="auto"/>
        <w:bottom w:val="none" w:sz="0" w:space="0" w:color="auto"/>
        <w:right w:val="none" w:sz="0" w:space="0" w:color="auto"/>
      </w:divBdr>
    </w:div>
    <w:div w:id="15086867">
      <w:bodyDiv w:val="1"/>
      <w:marLeft w:val="0"/>
      <w:marRight w:val="0"/>
      <w:marTop w:val="0"/>
      <w:marBottom w:val="0"/>
      <w:divBdr>
        <w:top w:val="none" w:sz="0" w:space="0" w:color="auto"/>
        <w:left w:val="none" w:sz="0" w:space="0" w:color="auto"/>
        <w:bottom w:val="none" w:sz="0" w:space="0" w:color="auto"/>
        <w:right w:val="none" w:sz="0" w:space="0" w:color="auto"/>
      </w:divBdr>
    </w:div>
    <w:div w:id="25369946">
      <w:bodyDiv w:val="1"/>
      <w:marLeft w:val="0"/>
      <w:marRight w:val="0"/>
      <w:marTop w:val="0"/>
      <w:marBottom w:val="0"/>
      <w:divBdr>
        <w:top w:val="none" w:sz="0" w:space="0" w:color="auto"/>
        <w:left w:val="none" w:sz="0" w:space="0" w:color="auto"/>
        <w:bottom w:val="none" w:sz="0" w:space="0" w:color="auto"/>
        <w:right w:val="none" w:sz="0" w:space="0" w:color="auto"/>
      </w:divBdr>
    </w:div>
    <w:div w:id="26487014">
      <w:bodyDiv w:val="1"/>
      <w:marLeft w:val="0"/>
      <w:marRight w:val="0"/>
      <w:marTop w:val="0"/>
      <w:marBottom w:val="0"/>
      <w:divBdr>
        <w:top w:val="none" w:sz="0" w:space="0" w:color="auto"/>
        <w:left w:val="none" w:sz="0" w:space="0" w:color="auto"/>
        <w:bottom w:val="none" w:sz="0" w:space="0" w:color="auto"/>
        <w:right w:val="none" w:sz="0" w:space="0" w:color="auto"/>
      </w:divBdr>
      <w:divsChild>
        <w:div w:id="1518620554">
          <w:marLeft w:val="0"/>
          <w:marRight w:val="0"/>
          <w:marTop w:val="0"/>
          <w:marBottom w:val="0"/>
          <w:divBdr>
            <w:top w:val="none" w:sz="0" w:space="0" w:color="auto"/>
            <w:left w:val="none" w:sz="0" w:space="0" w:color="auto"/>
            <w:bottom w:val="none" w:sz="0" w:space="0" w:color="auto"/>
            <w:right w:val="none" w:sz="0" w:space="0" w:color="auto"/>
          </w:divBdr>
          <w:divsChild>
            <w:div w:id="1208102073">
              <w:marLeft w:val="0"/>
              <w:marRight w:val="0"/>
              <w:marTop w:val="0"/>
              <w:marBottom w:val="0"/>
              <w:divBdr>
                <w:top w:val="none" w:sz="0" w:space="0" w:color="auto"/>
                <w:left w:val="none" w:sz="0" w:space="0" w:color="auto"/>
                <w:bottom w:val="none" w:sz="0" w:space="0" w:color="auto"/>
                <w:right w:val="none" w:sz="0" w:space="0" w:color="auto"/>
              </w:divBdr>
              <w:divsChild>
                <w:div w:id="910583573">
                  <w:marLeft w:val="0"/>
                  <w:marRight w:val="0"/>
                  <w:marTop w:val="0"/>
                  <w:marBottom w:val="0"/>
                  <w:divBdr>
                    <w:top w:val="none" w:sz="0" w:space="0" w:color="auto"/>
                    <w:left w:val="none" w:sz="0" w:space="0" w:color="auto"/>
                    <w:bottom w:val="none" w:sz="0" w:space="0" w:color="auto"/>
                    <w:right w:val="none" w:sz="0" w:space="0" w:color="auto"/>
                  </w:divBdr>
                  <w:divsChild>
                    <w:div w:id="300811379">
                      <w:marLeft w:val="0"/>
                      <w:marRight w:val="0"/>
                      <w:marTop w:val="0"/>
                      <w:marBottom w:val="0"/>
                      <w:divBdr>
                        <w:top w:val="none" w:sz="0" w:space="0" w:color="auto"/>
                        <w:left w:val="none" w:sz="0" w:space="0" w:color="auto"/>
                        <w:bottom w:val="none" w:sz="0" w:space="0" w:color="auto"/>
                        <w:right w:val="none" w:sz="0" w:space="0" w:color="auto"/>
                      </w:divBdr>
                      <w:divsChild>
                        <w:div w:id="1157722971">
                          <w:marLeft w:val="0"/>
                          <w:marRight w:val="0"/>
                          <w:marTop w:val="0"/>
                          <w:marBottom w:val="0"/>
                          <w:divBdr>
                            <w:top w:val="none" w:sz="0" w:space="0" w:color="auto"/>
                            <w:left w:val="none" w:sz="0" w:space="0" w:color="auto"/>
                            <w:bottom w:val="none" w:sz="0" w:space="0" w:color="auto"/>
                            <w:right w:val="none" w:sz="0" w:space="0" w:color="auto"/>
                          </w:divBdr>
                          <w:divsChild>
                            <w:div w:id="1146893888">
                              <w:marLeft w:val="0"/>
                              <w:marRight w:val="0"/>
                              <w:marTop w:val="0"/>
                              <w:marBottom w:val="0"/>
                              <w:divBdr>
                                <w:top w:val="none" w:sz="0" w:space="0" w:color="auto"/>
                                <w:left w:val="none" w:sz="0" w:space="0" w:color="auto"/>
                                <w:bottom w:val="none" w:sz="0" w:space="0" w:color="auto"/>
                                <w:right w:val="none" w:sz="0" w:space="0" w:color="auto"/>
                              </w:divBdr>
                              <w:divsChild>
                                <w:div w:id="1110197131">
                                  <w:marLeft w:val="0"/>
                                  <w:marRight w:val="0"/>
                                  <w:marTop w:val="0"/>
                                  <w:marBottom w:val="0"/>
                                  <w:divBdr>
                                    <w:top w:val="none" w:sz="0" w:space="0" w:color="auto"/>
                                    <w:left w:val="none" w:sz="0" w:space="0" w:color="auto"/>
                                    <w:bottom w:val="none" w:sz="0" w:space="0" w:color="auto"/>
                                    <w:right w:val="none" w:sz="0" w:space="0" w:color="auto"/>
                                  </w:divBdr>
                                  <w:divsChild>
                                    <w:div w:id="1972666268">
                                      <w:marLeft w:val="0"/>
                                      <w:marRight w:val="0"/>
                                      <w:marTop w:val="0"/>
                                      <w:marBottom w:val="0"/>
                                      <w:divBdr>
                                        <w:top w:val="none" w:sz="0" w:space="0" w:color="auto"/>
                                        <w:left w:val="none" w:sz="0" w:space="0" w:color="auto"/>
                                        <w:bottom w:val="none" w:sz="0" w:space="0" w:color="auto"/>
                                        <w:right w:val="none" w:sz="0" w:space="0" w:color="auto"/>
                                      </w:divBdr>
                                      <w:divsChild>
                                        <w:div w:id="1554582642">
                                          <w:marLeft w:val="0"/>
                                          <w:marRight w:val="0"/>
                                          <w:marTop w:val="0"/>
                                          <w:marBottom w:val="0"/>
                                          <w:divBdr>
                                            <w:top w:val="none" w:sz="0" w:space="0" w:color="auto"/>
                                            <w:left w:val="none" w:sz="0" w:space="0" w:color="auto"/>
                                            <w:bottom w:val="none" w:sz="0" w:space="0" w:color="auto"/>
                                            <w:right w:val="none" w:sz="0" w:space="0" w:color="auto"/>
                                          </w:divBdr>
                                          <w:divsChild>
                                            <w:div w:id="154301053">
                                              <w:marLeft w:val="0"/>
                                              <w:marRight w:val="0"/>
                                              <w:marTop w:val="0"/>
                                              <w:marBottom w:val="0"/>
                                              <w:divBdr>
                                                <w:top w:val="none" w:sz="0" w:space="0" w:color="auto"/>
                                                <w:left w:val="none" w:sz="0" w:space="0" w:color="auto"/>
                                                <w:bottom w:val="none" w:sz="0" w:space="0" w:color="auto"/>
                                                <w:right w:val="none" w:sz="0" w:space="0" w:color="auto"/>
                                              </w:divBdr>
                                              <w:divsChild>
                                                <w:div w:id="49502545">
                                                  <w:marLeft w:val="0"/>
                                                  <w:marRight w:val="0"/>
                                                  <w:marTop w:val="0"/>
                                                  <w:marBottom w:val="0"/>
                                                  <w:divBdr>
                                                    <w:top w:val="none" w:sz="0" w:space="0" w:color="auto"/>
                                                    <w:left w:val="none" w:sz="0" w:space="0" w:color="auto"/>
                                                    <w:bottom w:val="none" w:sz="0" w:space="0" w:color="auto"/>
                                                    <w:right w:val="none" w:sz="0" w:space="0" w:color="auto"/>
                                                  </w:divBdr>
                                                  <w:divsChild>
                                                    <w:div w:id="1133253079">
                                                      <w:marLeft w:val="0"/>
                                                      <w:marRight w:val="0"/>
                                                      <w:marTop w:val="0"/>
                                                      <w:marBottom w:val="0"/>
                                                      <w:divBdr>
                                                        <w:top w:val="none" w:sz="0" w:space="0" w:color="auto"/>
                                                        <w:left w:val="none" w:sz="0" w:space="0" w:color="auto"/>
                                                        <w:bottom w:val="none" w:sz="0" w:space="0" w:color="auto"/>
                                                        <w:right w:val="none" w:sz="0" w:space="0" w:color="auto"/>
                                                      </w:divBdr>
                                                      <w:divsChild>
                                                        <w:div w:id="1484541766">
                                                          <w:marLeft w:val="0"/>
                                                          <w:marRight w:val="0"/>
                                                          <w:marTop w:val="0"/>
                                                          <w:marBottom w:val="0"/>
                                                          <w:divBdr>
                                                            <w:top w:val="none" w:sz="0" w:space="0" w:color="auto"/>
                                                            <w:left w:val="none" w:sz="0" w:space="0" w:color="auto"/>
                                                            <w:bottom w:val="none" w:sz="0" w:space="0" w:color="auto"/>
                                                            <w:right w:val="none" w:sz="0" w:space="0" w:color="auto"/>
                                                          </w:divBdr>
                                                          <w:divsChild>
                                                            <w:div w:id="682784945">
                                                              <w:marLeft w:val="0"/>
                                                              <w:marRight w:val="0"/>
                                                              <w:marTop w:val="0"/>
                                                              <w:marBottom w:val="0"/>
                                                              <w:divBdr>
                                                                <w:top w:val="none" w:sz="0" w:space="0" w:color="auto"/>
                                                                <w:left w:val="none" w:sz="0" w:space="0" w:color="auto"/>
                                                                <w:bottom w:val="none" w:sz="0" w:space="0" w:color="auto"/>
                                                                <w:right w:val="none" w:sz="0" w:space="0" w:color="auto"/>
                                                              </w:divBdr>
                                                              <w:divsChild>
                                                                <w:div w:id="1245529014">
                                                                  <w:marLeft w:val="0"/>
                                                                  <w:marRight w:val="0"/>
                                                                  <w:marTop w:val="0"/>
                                                                  <w:marBottom w:val="0"/>
                                                                  <w:divBdr>
                                                                    <w:top w:val="none" w:sz="0" w:space="0" w:color="auto"/>
                                                                    <w:left w:val="none" w:sz="0" w:space="0" w:color="auto"/>
                                                                    <w:bottom w:val="none" w:sz="0" w:space="0" w:color="auto"/>
                                                                    <w:right w:val="none" w:sz="0" w:space="0" w:color="auto"/>
                                                                  </w:divBdr>
                                                                  <w:divsChild>
                                                                    <w:div w:id="144249946">
                                                                      <w:marLeft w:val="0"/>
                                                                      <w:marRight w:val="0"/>
                                                                      <w:marTop w:val="0"/>
                                                                      <w:marBottom w:val="0"/>
                                                                      <w:divBdr>
                                                                        <w:top w:val="none" w:sz="0" w:space="0" w:color="auto"/>
                                                                        <w:left w:val="none" w:sz="0" w:space="0" w:color="auto"/>
                                                                        <w:bottom w:val="none" w:sz="0" w:space="0" w:color="auto"/>
                                                                        <w:right w:val="none" w:sz="0" w:space="0" w:color="auto"/>
                                                                      </w:divBdr>
                                                                      <w:divsChild>
                                                                        <w:div w:id="73818808">
                                                                          <w:marLeft w:val="0"/>
                                                                          <w:marRight w:val="0"/>
                                                                          <w:marTop w:val="0"/>
                                                                          <w:marBottom w:val="0"/>
                                                                          <w:divBdr>
                                                                            <w:top w:val="none" w:sz="0" w:space="0" w:color="auto"/>
                                                                            <w:left w:val="none" w:sz="0" w:space="0" w:color="auto"/>
                                                                            <w:bottom w:val="none" w:sz="0" w:space="0" w:color="auto"/>
                                                                            <w:right w:val="none" w:sz="0" w:space="0" w:color="auto"/>
                                                                          </w:divBdr>
                                                                          <w:divsChild>
                                                                            <w:div w:id="1403016688">
                                                                              <w:marLeft w:val="0"/>
                                                                              <w:marRight w:val="0"/>
                                                                              <w:marTop w:val="0"/>
                                                                              <w:marBottom w:val="0"/>
                                                                              <w:divBdr>
                                                                                <w:top w:val="none" w:sz="0" w:space="0" w:color="auto"/>
                                                                                <w:left w:val="none" w:sz="0" w:space="0" w:color="auto"/>
                                                                                <w:bottom w:val="none" w:sz="0" w:space="0" w:color="auto"/>
                                                                                <w:right w:val="none" w:sz="0" w:space="0" w:color="auto"/>
                                                                              </w:divBdr>
                                                                              <w:divsChild>
                                                                                <w:div w:id="1789160000">
                                                                                  <w:marLeft w:val="0"/>
                                                                                  <w:marRight w:val="0"/>
                                                                                  <w:marTop w:val="0"/>
                                                                                  <w:marBottom w:val="0"/>
                                                                                  <w:divBdr>
                                                                                    <w:top w:val="none" w:sz="0" w:space="0" w:color="auto"/>
                                                                                    <w:left w:val="none" w:sz="0" w:space="0" w:color="auto"/>
                                                                                    <w:bottom w:val="none" w:sz="0" w:space="0" w:color="auto"/>
                                                                                    <w:right w:val="none" w:sz="0" w:space="0" w:color="auto"/>
                                                                                  </w:divBdr>
                                                                                  <w:divsChild>
                                                                                    <w:div w:id="1273056024">
                                                                                      <w:marLeft w:val="0"/>
                                                                                      <w:marRight w:val="0"/>
                                                                                      <w:marTop w:val="0"/>
                                                                                      <w:marBottom w:val="0"/>
                                                                                      <w:divBdr>
                                                                                        <w:top w:val="none" w:sz="0" w:space="0" w:color="auto"/>
                                                                                        <w:left w:val="none" w:sz="0" w:space="0" w:color="auto"/>
                                                                                        <w:bottom w:val="none" w:sz="0" w:space="0" w:color="auto"/>
                                                                                        <w:right w:val="none" w:sz="0" w:space="0" w:color="auto"/>
                                                                                      </w:divBdr>
                                                                                      <w:divsChild>
                                                                                        <w:div w:id="1888756243">
                                                                                          <w:marLeft w:val="0"/>
                                                                                          <w:marRight w:val="0"/>
                                                                                          <w:marTop w:val="0"/>
                                                                                          <w:marBottom w:val="0"/>
                                                                                          <w:divBdr>
                                                                                            <w:top w:val="none" w:sz="0" w:space="0" w:color="auto"/>
                                                                                            <w:left w:val="none" w:sz="0" w:space="0" w:color="auto"/>
                                                                                            <w:bottom w:val="none" w:sz="0" w:space="0" w:color="auto"/>
                                                                                            <w:right w:val="none" w:sz="0" w:space="0" w:color="auto"/>
                                                                                          </w:divBdr>
                                                                                          <w:divsChild>
                                                                                            <w:div w:id="470027404">
                                                                                              <w:marLeft w:val="0"/>
                                                                                              <w:marRight w:val="120"/>
                                                                                              <w:marTop w:val="0"/>
                                                                                              <w:marBottom w:val="150"/>
                                                                                              <w:divBdr>
                                                                                                <w:top w:val="single" w:sz="2" w:space="0" w:color="EFEFEF"/>
                                                                                                <w:left w:val="single" w:sz="6" w:space="0" w:color="EFEFEF"/>
                                                                                                <w:bottom w:val="single" w:sz="6" w:space="0" w:color="E2E2E2"/>
                                                                                                <w:right w:val="single" w:sz="6" w:space="0" w:color="EFEFEF"/>
                                                                                              </w:divBdr>
                                                                                              <w:divsChild>
                                                                                                <w:div w:id="78719403">
                                                                                                  <w:marLeft w:val="0"/>
                                                                                                  <w:marRight w:val="0"/>
                                                                                                  <w:marTop w:val="0"/>
                                                                                                  <w:marBottom w:val="0"/>
                                                                                                  <w:divBdr>
                                                                                                    <w:top w:val="none" w:sz="0" w:space="0" w:color="auto"/>
                                                                                                    <w:left w:val="none" w:sz="0" w:space="0" w:color="auto"/>
                                                                                                    <w:bottom w:val="none" w:sz="0" w:space="0" w:color="auto"/>
                                                                                                    <w:right w:val="none" w:sz="0" w:space="0" w:color="auto"/>
                                                                                                  </w:divBdr>
                                                                                                  <w:divsChild>
                                                                                                    <w:div w:id="600527951">
                                                                                                      <w:marLeft w:val="0"/>
                                                                                                      <w:marRight w:val="0"/>
                                                                                                      <w:marTop w:val="0"/>
                                                                                                      <w:marBottom w:val="0"/>
                                                                                                      <w:divBdr>
                                                                                                        <w:top w:val="none" w:sz="0" w:space="0" w:color="auto"/>
                                                                                                        <w:left w:val="none" w:sz="0" w:space="0" w:color="auto"/>
                                                                                                        <w:bottom w:val="none" w:sz="0" w:space="0" w:color="auto"/>
                                                                                                        <w:right w:val="none" w:sz="0" w:space="0" w:color="auto"/>
                                                                                                      </w:divBdr>
                                                                                                      <w:divsChild>
                                                                                                        <w:div w:id="991831707">
                                                                                                          <w:marLeft w:val="0"/>
                                                                                                          <w:marRight w:val="0"/>
                                                                                                          <w:marTop w:val="0"/>
                                                                                                          <w:marBottom w:val="0"/>
                                                                                                          <w:divBdr>
                                                                                                            <w:top w:val="none" w:sz="0" w:space="0" w:color="auto"/>
                                                                                                            <w:left w:val="none" w:sz="0" w:space="0" w:color="auto"/>
                                                                                                            <w:bottom w:val="none" w:sz="0" w:space="0" w:color="auto"/>
                                                                                                            <w:right w:val="none" w:sz="0" w:space="0" w:color="auto"/>
                                                                                                          </w:divBdr>
                                                                                                          <w:divsChild>
                                                                                                            <w:div w:id="1172992747">
                                                                                                              <w:marLeft w:val="0"/>
                                                                                                              <w:marRight w:val="0"/>
                                                                                                              <w:marTop w:val="0"/>
                                                                                                              <w:marBottom w:val="0"/>
                                                                                                              <w:divBdr>
                                                                                                                <w:top w:val="none" w:sz="0" w:space="0" w:color="auto"/>
                                                                                                                <w:left w:val="none" w:sz="0" w:space="0" w:color="auto"/>
                                                                                                                <w:bottom w:val="none" w:sz="0" w:space="0" w:color="auto"/>
                                                                                                                <w:right w:val="none" w:sz="0" w:space="0" w:color="auto"/>
                                                                                                              </w:divBdr>
                                                                                                              <w:divsChild>
                                                                                                                <w:div w:id="1895115584">
                                                                                                                  <w:marLeft w:val="-570"/>
                                                                                                                  <w:marRight w:val="0"/>
                                                                                                                  <w:marTop w:val="150"/>
                                                                                                                  <w:marBottom w:val="225"/>
                                                                                                                  <w:divBdr>
                                                                                                                    <w:top w:val="single" w:sz="6" w:space="2" w:color="AAAAAA"/>
                                                                                                                    <w:left w:val="single" w:sz="6" w:space="2" w:color="AAAAAA"/>
                                                                                                                    <w:bottom w:val="single" w:sz="6" w:space="2" w:color="AAAAAA"/>
                                                                                                                    <w:right w:val="single" w:sz="6" w:space="2" w:color="AAAAAA"/>
                                                                                                                  </w:divBdr>
                                                                                                                  <w:divsChild>
                                                                                                                    <w:div w:id="29114929">
                                                                                                                      <w:marLeft w:val="225"/>
                                                                                                                      <w:marRight w:val="225"/>
                                                                                                                      <w:marTop w:val="75"/>
                                                                                                                      <w:marBottom w:val="75"/>
                                                                                                                      <w:divBdr>
                                                                                                                        <w:top w:val="none" w:sz="0" w:space="0" w:color="auto"/>
                                                                                                                        <w:left w:val="none" w:sz="0" w:space="0" w:color="auto"/>
                                                                                                                        <w:bottom w:val="none" w:sz="0" w:space="0" w:color="auto"/>
                                                                                                                        <w:right w:val="none" w:sz="0" w:space="0" w:color="auto"/>
                                                                                                                      </w:divBdr>
                                                                                                                      <w:divsChild>
                                                                                                                        <w:div w:id="1692100332">
                                                                                                                          <w:marLeft w:val="0"/>
                                                                                                                          <w:marRight w:val="0"/>
                                                                                                                          <w:marTop w:val="0"/>
                                                                                                                          <w:marBottom w:val="0"/>
                                                                                                                          <w:divBdr>
                                                                                                                            <w:top w:val="single" w:sz="6" w:space="0" w:color="auto"/>
                                                                                                                            <w:left w:val="single" w:sz="6" w:space="0" w:color="auto"/>
                                                                                                                            <w:bottom w:val="single" w:sz="6" w:space="0" w:color="auto"/>
                                                                                                                            <w:right w:val="single" w:sz="6" w:space="0" w:color="auto"/>
                                                                                                                          </w:divBdr>
                                                                                                                          <w:divsChild>
                                                                                                                            <w:div w:id="220337696">
                                                                                                                              <w:marLeft w:val="0"/>
                                                                                                                              <w:marRight w:val="0"/>
                                                                                                                              <w:marTop w:val="0"/>
                                                                                                                              <w:marBottom w:val="0"/>
                                                                                                                              <w:divBdr>
                                                                                                                                <w:top w:val="none" w:sz="0" w:space="0" w:color="auto"/>
                                                                                                                                <w:left w:val="none" w:sz="0" w:space="0" w:color="auto"/>
                                                                                                                                <w:bottom w:val="none" w:sz="0" w:space="0" w:color="auto"/>
                                                                                                                                <w:right w:val="none" w:sz="0" w:space="0" w:color="auto"/>
                                                                                                                              </w:divBdr>
                                                                                                                              <w:divsChild>
                                                                                                                                <w:div w:id="151408007">
                                                                                                                                  <w:marLeft w:val="0"/>
                                                                                                                                  <w:marRight w:val="0"/>
                                                                                                                                  <w:marTop w:val="0"/>
                                                                                                                                  <w:marBottom w:val="0"/>
                                                                                                                                  <w:divBdr>
                                                                                                                                    <w:top w:val="none" w:sz="0" w:space="0" w:color="auto"/>
                                                                                                                                    <w:left w:val="none" w:sz="0" w:space="0" w:color="auto"/>
                                                                                                                                    <w:bottom w:val="none" w:sz="0" w:space="0" w:color="auto"/>
                                                                                                                                    <w:right w:val="none" w:sz="0" w:space="0" w:color="auto"/>
                                                                                                                                  </w:divBdr>
                                                                                                                                </w:div>
                                                                                                                                <w:div w:id="408114720">
                                                                                                                                  <w:marLeft w:val="0"/>
                                                                                                                                  <w:marRight w:val="0"/>
                                                                                                                                  <w:marTop w:val="0"/>
                                                                                                                                  <w:marBottom w:val="0"/>
                                                                                                                                  <w:divBdr>
                                                                                                                                    <w:top w:val="none" w:sz="0" w:space="0" w:color="auto"/>
                                                                                                                                    <w:left w:val="none" w:sz="0" w:space="0" w:color="auto"/>
                                                                                                                                    <w:bottom w:val="none" w:sz="0" w:space="0" w:color="auto"/>
                                                                                                                                    <w:right w:val="none" w:sz="0" w:space="0" w:color="auto"/>
                                                                                                                                  </w:divBdr>
                                                                                                                                </w:div>
                                                                                                                                <w:div w:id="479737043">
                                                                                                                                  <w:marLeft w:val="0"/>
                                                                                                                                  <w:marRight w:val="0"/>
                                                                                                                                  <w:marTop w:val="0"/>
                                                                                                                                  <w:marBottom w:val="0"/>
                                                                                                                                  <w:divBdr>
                                                                                                                                    <w:top w:val="none" w:sz="0" w:space="0" w:color="auto"/>
                                                                                                                                    <w:left w:val="none" w:sz="0" w:space="0" w:color="auto"/>
                                                                                                                                    <w:bottom w:val="none" w:sz="0" w:space="0" w:color="auto"/>
                                                                                                                                    <w:right w:val="none" w:sz="0" w:space="0" w:color="auto"/>
                                                                                                                                  </w:divBdr>
                                                                                                                                </w:div>
                                                                                                                                <w:div w:id="715547149">
                                                                                                                                  <w:marLeft w:val="0"/>
                                                                                                                                  <w:marRight w:val="0"/>
                                                                                                                                  <w:marTop w:val="0"/>
                                                                                                                                  <w:marBottom w:val="0"/>
                                                                                                                                  <w:divBdr>
                                                                                                                                    <w:top w:val="none" w:sz="0" w:space="0" w:color="auto"/>
                                                                                                                                    <w:left w:val="none" w:sz="0" w:space="0" w:color="auto"/>
                                                                                                                                    <w:bottom w:val="none" w:sz="0" w:space="0" w:color="auto"/>
                                                                                                                                    <w:right w:val="none" w:sz="0" w:space="0" w:color="auto"/>
                                                                                                                                  </w:divBdr>
                                                                                                                                </w:div>
                                                                                                                                <w:div w:id="754672715">
                                                                                                                                  <w:marLeft w:val="0"/>
                                                                                                                                  <w:marRight w:val="0"/>
                                                                                                                                  <w:marTop w:val="0"/>
                                                                                                                                  <w:marBottom w:val="0"/>
                                                                                                                                  <w:divBdr>
                                                                                                                                    <w:top w:val="none" w:sz="0" w:space="0" w:color="auto"/>
                                                                                                                                    <w:left w:val="none" w:sz="0" w:space="0" w:color="auto"/>
                                                                                                                                    <w:bottom w:val="none" w:sz="0" w:space="0" w:color="auto"/>
                                                                                                                                    <w:right w:val="none" w:sz="0" w:space="0" w:color="auto"/>
                                                                                                                                  </w:divBdr>
                                                                                                                                </w:div>
                                                                                                                                <w:div w:id="937257698">
                                                                                                                                  <w:marLeft w:val="0"/>
                                                                                                                                  <w:marRight w:val="0"/>
                                                                                                                                  <w:marTop w:val="0"/>
                                                                                                                                  <w:marBottom w:val="0"/>
                                                                                                                                  <w:divBdr>
                                                                                                                                    <w:top w:val="none" w:sz="0" w:space="0" w:color="auto"/>
                                                                                                                                    <w:left w:val="none" w:sz="0" w:space="0" w:color="auto"/>
                                                                                                                                    <w:bottom w:val="none" w:sz="0" w:space="0" w:color="auto"/>
                                                                                                                                    <w:right w:val="none" w:sz="0" w:space="0" w:color="auto"/>
                                                                                                                                  </w:divBdr>
                                                                                                                                </w:div>
                                                                                                                                <w:div w:id="1199858719">
                                                                                                                                  <w:marLeft w:val="0"/>
                                                                                                                                  <w:marRight w:val="0"/>
                                                                                                                                  <w:marTop w:val="0"/>
                                                                                                                                  <w:marBottom w:val="0"/>
                                                                                                                                  <w:divBdr>
                                                                                                                                    <w:top w:val="none" w:sz="0" w:space="0" w:color="auto"/>
                                                                                                                                    <w:left w:val="none" w:sz="0" w:space="0" w:color="auto"/>
                                                                                                                                    <w:bottom w:val="none" w:sz="0" w:space="0" w:color="auto"/>
                                                                                                                                    <w:right w:val="none" w:sz="0" w:space="0" w:color="auto"/>
                                                                                                                                  </w:divBdr>
                                                                                                                                </w:div>
                                                                                                                                <w:div w:id="1263105464">
                                                                                                                                  <w:marLeft w:val="0"/>
                                                                                                                                  <w:marRight w:val="0"/>
                                                                                                                                  <w:marTop w:val="0"/>
                                                                                                                                  <w:marBottom w:val="0"/>
                                                                                                                                  <w:divBdr>
                                                                                                                                    <w:top w:val="none" w:sz="0" w:space="0" w:color="auto"/>
                                                                                                                                    <w:left w:val="none" w:sz="0" w:space="0" w:color="auto"/>
                                                                                                                                    <w:bottom w:val="none" w:sz="0" w:space="0" w:color="auto"/>
                                                                                                                                    <w:right w:val="none" w:sz="0" w:space="0" w:color="auto"/>
                                                                                                                                  </w:divBdr>
                                                                                                                                </w:div>
                                                                                                                                <w:div w:id="1545560096">
                                                                                                                                  <w:marLeft w:val="0"/>
                                                                                                                                  <w:marRight w:val="0"/>
                                                                                                                                  <w:marTop w:val="0"/>
                                                                                                                                  <w:marBottom w:val="0"/>
                                                                                                                                  <w:divBdr>
                                                                                                                                    <w:top w:val="none" w:sz="0" w:space="0" w:color="auto"/>
                                                                                                                                    <w:left w:val="none" w:sz="0" w:space="0" w:color="auto"/>
                                                                                                                                    <w:bottom w:val="none" w:sz="0" w:space="0" w:color="auto"/>
                                                                                                                                    <w:right w:val="none" w:sz="0" w:space="0" w:color="auto"/>
                                                                                                                                  </w:divBdr>
                                                                                                                                </w:div>
                                                                                                                                <w:div w:id="1549217489">
                                                                                                                                  <w:marLeft w:val="0"/>
                                                                                                                                  <w:marRight w:val="0"/>
                                                                                                                                  <w:marTop w:val="0"/>
                                                                                                                                  <w:marBottom w:val="0"/>
                                                                                                                                  <w:divBdr>
                                                                                                                                    <w:top w:val="none" w:sz="0" w:space="0" w:color="auto"/>
                                                                                                                                    <w:left w:val="none" w:sz="0" w:space="0" w:color="auto"/>
                                                                                                                                    <w:bottom w:val="none" w:sz="0" w:space="0" w:color="auto"/>
                                                                                                                                    <w:right w:val="none" w:sz="0" w:space="0" w:color="auto"/>
                                                                                                                                  </w:divBdr>
                                                                                                                                </w:div>
                                                                                                                                <w:div w:id="173408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569121">
      <w:bodyDiv w:val="1"/>
      <w:marLeft w:val="0"/>
      <w:marRight w:val="0"/>
      <w:marTop w:val="0"/>
      <w:marBottom w:val="0"/>
      <w:divBdr>
        <w:top w:val="none" w:sz="0" w:space="0" w:color="auto"/>
        <w:left w:val="none" w:sz="0" w:space="0" w:color="auto"/>
        <w:bottom w:val="none" w:sz="0" w:space="0" w:color="auto"/>
        <w:right w:val="none" w:sz="0" w:space="0" w:color="auto"/>
      </w:divBdr>
    </w:div>
    <w:div w:id="31730497">
      <w:bodyDiv w:val="1"/>
      <w:marLeft w:val="0"/>
      <w:marRight w:val="0"/>
      <w:marTop w:val="0"/>
      <w:marBottom w:val="0"/>
      <w:divBdr>
        <w:top w:val="none" w:sz="0" w:space="0" w:color="auto"/>
        <w:left w:val="none" w:sz="0" w:space="0" w:color="auto"/>
        <w:bottom w:val="none" w:sz="0" w:space="0" w:color="auto"/>
        <w:right w:val="none" w:sz="0" w:space="0" w:color="auto"/>
      </w:divBdr>
    </w:div>
    <w:div w:id="34236693">
      <w:bodyDiv w:val="1"/>
      <w:marLeft w:val="0"/>
      <w:marRight w:val="0"/>
      <w:marTop w:val="0"/>
      <w:marBottom w:val="0"/>
      <w:divBdr>
        <w:top w:val="none" w:sz="0" w:space="0" w:color="auto"/>
        <w:left w:val="none" w:sz="0" w:space="0" w:color="auto"/>
        <w:bottom w:val="none" w:sz="0" w:space="0" w:color="auto"/>
        <w:right w:val="none" w:sz="0" w:space="0" w:color="auto"/>
      </w:divBdr>
    </w:div>
    <w:div w:id="34238915">
      <w:bodyDiv w:val="1"/>
      <w:marLeft w:val="0"/>
      <w:marRight w:val="0"/>
      <w:marTop w:val="0"/>
      <w:marBottom w:val="0"/>
      <w:divBdr>
        <w:top w:val="none" w:sz="0" w:space="0" w:color="auto"/>
        <w:left w:val="none" w:sz="0" w:space="0" w:color="auto"/>
        <w:bottom w:val="none" w:sz="0" w:space="0" w:color="auto"/>
        <w:right w:val="none" w:sz="0" w:space="0" w:color="auto"/>
      </w:divBdr>
    </w:div>
    <w:div w:id="35739839">
      <w:bodyDiv w:val="1"/>
      <w:marLeft w:val="0"/>
      <w:marRight w:val="0"/>
      <w:marTop w:val="0"/>
      <w:marBottom w:val="0"/>
      <w:divBdr>
        <w:top w:val="none" w:sz="0" w:space="0" w:color="auto"/>
        <w:left w:val="none" w:sz="0" w:space="0" w:color="auto"/>
        <w:bottom w:val="none" w:sz="0" w:space="0" w:color="auto"/>
        <w:right w:val="none" w:sz="0" w:space="0" w:color="auto"/>
      </w:divBdr>
    </w:div>
    <w:div w:id="40594058">
      <w:bodyDiv w:val="1"/>
      <w:marLeft w:val="0"/>
      <w:marRight w:val="0"/>
      <w:marTop w:val="0"/>
      <w:marBottom w:val="0"/>
      <w:divBdr>
        <w:top w:val="none" w:sz="0" w:space="0" w:color="auto"/>
        <w:left w:val="none" w:sz="0" w:space="0" w:color="auto"/>
        <w:bottom w:val="none" w:sz="0" w:space="0" w:color="auto"/>
        <w:right w:val="none" w:sz="0" w:space="0" w:color="auto"/>
      </w:divBdr>
    </w:div>
    <w:div w:id="42408082">
      <w:bodyDiv w:val="1"/>
      <w:marLeft w:val="0"/>
      <w:marRight w:val="0"/>
      <w:marTop w:val="0"/>
      <w:marBottom w:val="0"/>
      <w:divBdr>
        <w:top w:val="none" w:sz="0" w:space="0" w:color="auto"/>
        <w:left w:val="none" w:sz="0" w:space="0" w:color="auto"/>
        <w:bottom w:val="none" w:sz="0" w:space="0" w:color="auto"/>
        <w:right w:val="none" w:sz="0" w:space="0" w:color="auto"/>
      </w:divBdr>
    </w:div>
    <w:div w:id="43062439">
      <w:bodyDiv w:val="1"/>
      <w:marLeft w:val="0"/>
      <w:marRight w:val="0"/>
      <w:marTop w:val="0"/>
      <w:marBottom w:val="0"/>
      <w:divBdr>
        <w:top w:val="none" w:sz="0" w:space="0" w:color="auto"/>
        <w:left w:val="none" w:sz="0" w:space="0" w:color="auto"/>
        <w:bottom w:val="none" w:sz="0" w:space="0" w:color="auto"/>
        <w:right w:val="none" w:sz="0" w:space="0" w:color="auto"/>
      </w:divBdr>
    </w:div>
    <w:div w:id="45493715">
      <w:bodyDiv w:val="1"/>
      <w:marLeft w:val="0"/>
      <w:marRight w:val="0"/>
      <w:marTop w:val="0"/>
      <w:marBottom w:val="0"/>
      <w:divBdr>
        <w:top w:val="none" w:sz="0" w:space="0" w:color="auto"/>
        <w:left w:val="none" w:sz="0" w:space="0" w:color="auto"/>
        <w:bottom w:val="none" w:sz="0" w:space="0" w:color="auto"/>
        <w:right w:val="none" w:sz="0" w:space="0" w:color="auto"/>
      </w:divBdr>
    </w:div>
    <w:div w:id="47847868">
      <w:bodyDiv w:val="1"/>
      <w:marLeft w:val="0"/>
      <w:marRight w:val="0"/>
      <w:marTop w:val="0"/>
      <w:marBottom w:val="0"/>
      <w:divBdr>
        <w:top w:val="none" w:sz="0" w:space="0" w:color="auto"/>
        <w:left w:val="none" w:sz="0" w:space="0" w:color="auto"/>
        <w:bottom w:val="none" w:sz="0" w:space="0" w:color="auto"/>
        <w:right w:val="none" w:sz="0" w:space="0" w:color="auto"/>
      </w:divBdr>
    </w:div>
    <w:div w:id="50228116">
      <w:bodyDiv w:val="1"/>
      <w:marLeft w:val="0"/>
      <w:marRight w:val="0"/>
      <w:marTop w:val="0"/>
      <w:marBottom w:val="0"/>
      <w:divBdr>
        <w:top w:val="none" w:sz="0" w:space="0" w:color="auto"/>
        <w:left w:val="none" w:sz="0" w:space="0" w:color="auto"/>
        <w:bottom w:val="none" w:sz="0" w:space="0" w:color="auto"/>
        <w:right w:val="none" w:sz="0" w:space="0" w:color="auto"/>
      </w:divBdr>
    </w:div>
    <w:div w:id="50661718">
      <w:bodyDiv w:val="1"/>
      <w:marLeft w:val="0"/>
      <w:marRight w:val="0"/>
      <w:marTop w:val="0"/>
      <w:marBottom w:val="0"/>
      <w:divBdr>
        <w:top w:val="none" w:sz="0" w:space="0" w:color="auto"/>
        <w:left w:val="none" w:sz="0" w:space="0" w:color="auto"/>
        <w:bottom w:val="none" w:sz="0" w:space="0" w:color="auto"/>
        <w:right w:val="none" w:sz="0" w:space="0" w:color="auto"/>
      </w:divBdr>
    </w:div>
    <w:div w:id="52893263">
      <w:bodyDiv w:val="1"/>
      <w:marLeft w:val="0"/>
      <w:marRight w:val="0"/>
      <w:marTop w:val="0"/>
      <w:marBottom w:val="0"/>
      <w:divBdr>
        <w:top w:val="none" w:sz="0" w:space="0" w:color="auto"/>
        <w:left w:val="none" w:sz="0" w:space="0" w:color="auto"/>
        <w:bottom w:val="none" w:sz="0" w:space="0" w:color="auto"/>
        <w:right w:val="none" w:sz="0" w:space="0" w:color="auto"/>
      </w:divBdr>
    </w:div>
    <w:div w:id="53089903">
      <w:bodyDiv w:val="1"/>
      <w:marLeft w:val="0"/>
      <w:marRight w:val="0"/>
      <w:marTop w:val="0"/>
      <w:marBottom w:val="0"/>
      <w:divBdr>
        <w:top w:val="none" w:sz="0" w:space="0" w:color="auto"/>
        <w:left w:val="none" w:sz="0" w:space="0" w:color="auto"/>
        <w:bottom w:val="none" w:sz="0" w:space="0" w:color="auto"/>
        <w:right w:val="none" w:sz="0" w:space="0" w:color="auto"/>
      </w:divBdr>
    </w:div>
    <w:div w:id="61636475">
      <w:bodyDiv w:val="1"/>
      <w:marLeft w:val="0"/>
      <w:marRight w:val="0"/>
      <w:marTop w:val="0"/>
      <w:marBottom w:val="0"/>
      <w:divBdr>
        <w:top w:val="none" w:sz="0" w:space="0" w:color="auto"/>
        <w:left w:val="none" w:sz="0" w:space="0" w:color="auto"/>
        <w:bottom w:val="none" w:sz="0" w:space="0" w:color="auto"/>
        <w:right w:val="none" w:sz="0" w:space="0" w:color="auto"/>
      </w:divBdr>
    </w:div>
    <w:div w:id="61874622">
      <w:bodyDiv w:val="1"/>
      <w:marLeft w:val="0"/>
      <w:marRight w:val="0"/>
      <w:marTop w:val="0"/>
      <w:marBottom w:val="0"/>
      <w:divBdr>
        <w:top w:val="none" w:sz="0" w:space="0" w:color="auto"/>
        <w:left w:val="none" w:sz="0" w:space="0" w:color="auto"/>
        <w:bottom w:val="none" w:sz="0" w:space="0" w:color="auto"/>
        <w:right w:val="none" w:sz="0" w:space="0" w:color="auto"/>
      </w:divBdr>
    </w:div>
    <w:div w:id="66463285">
      <w:bodyDiv w:val="1"/>
      <w:marLeft w:val="0"/>
      <w:marRight w:val="0"/>
      <w:marTop w:val="0"/>
      <w:marBottom w:val="0"/>
      <w:divBdr>
        <w:top w:val="none" w:sz="0" w:space="0" w:color="auto"/>
        <w:left w:val="none" w:sz="0" w:space="0" w:color="auto"/>
        <w:bottom w:val="none" w:sz="0" w:space="0" w:color="auto"/>
        <w:right w:val="none" w:sz="0" w:space="0" w:color="auto"/>
      </w:divBdr>
    </w:div>
    <w:div w:id="66533679">
      <w:bodyDiv w:val="1"/>
      <w:marLeft w:val="0"/>
      <w:marRight w:val="0"/>
      <w:marTop w:val="0"/>
      <w:marBottom w:val="0"/>
      <w:divBdr>
        <w:top w:val="none" w:sz="0" w:space="0" w:color="auto"/>
        <w:left w:val="none" w:sz="0" w:space="0" w:color="auto"/>
        <w:bottom w:val="none" w:sz="0" w:space="0" w:color="auto"/>
        <w:right w:val="none" w:sz="0" w:space="0" w:color="auto"/>
      </w:divBdr>
    </w:div>
    <w:div w:id="69469311">
      <w:bodyDiv w:val="1"/>
      <w:marLeft w:val="0"/>
      <w:marRight w:val="0"/>
      <w:marTop w:val="0"/>
      <w:marBottom w:val="0"/>
      <w:divBdr>
        <w:top w:val="none" w:sz="0" w:space="0" w:color="auto"/>
        <w:left w:val="none" w:sz="0" w:space="0" w:color="auto"/>
        <w:bottom w:val="none" w:sz="0" w:space="0" w:color="auto"/>
        <w:right w:val="none" w:sz="0" w:space="0" w:color="auto"/>
      </w:divBdr>
    </w:div>
    <w:div w:id="73668023">
      <w:bodyDiv w:val="1"/>
      <w:marLeft w:val="0"/>
      <w:marRight w:val="0"/>
      <w:marTop w:val="0"/>
      <w:marBottom w:val="0"/>
      <w:divBdr>
        <w:top w:val="none" w:sz="0" w:space="0" w:color="auto"/>
        <w:left w:val="none" w:sz="0" w:space="0" w:color="auto"/>
        <w:bottom w:val="none" w:sz="0" w:space="0" w:color="auto"/>
        <w:right w:val="none" w:sz="0" w:space="0" w:color="auto"/>
      </w:divBdr>
    </w:div>
    <w:div w:id="76171138">
      <w:bodyDiv w:val="1"/>
      <w:marLeft w:val="0"/>
      <w:marRight w:val="0"/>
      <w:marTop w:val="0"/>
      <w:marBottom w:val="0"/>
      <w:divBdr>
        <w:top w:val="none" w:sz="0" w:space="0" w:color="auto"/>
        <w:left w:val="none" w:sz="0" w:space="0" w:color="auto"/>
        <w:bottom w:val="none" w:sz="0" w:space="0" w:color="auto"/>
        <w:right w:val="none" w:sz="0" w:space="0" w:color="auto"/>
      </w:divBdr>
    </w:div>
    <w:div w:id="88277277">
      <w:bodyDiv w:val="1"/>
      <w:marLeft w:val="0"/>
      <w:marRight w:val="0"/>
      <w:marTop w:val="0"/>
      <w:marBottom w:val="0"/>
      <w:divBdr>
        <w:top w:val="none" w:sz="0" w:space="0" w:color="auto"/>
        <w:left w:val="none" w:sz="0" w:space="0" w:color="auto"/>
        <w:bottom w:val="none" w:sz="0" w:space="0" w:color="auto"/>
        <w:right w:val="none" w:sz="0" w:space="0" w:color="auto"/>
      </w:divBdr>
    </w:div>
    <w:div w:id="89353516">
      <w:bodyDiv w:val="1"/>
      <w:marLeft w:val="0"/>
      <w:marRight w:val="0"/>
      <w:marTop w:val="0"/>
      <w:marBottom w:val="0"/>
      <w:divBdr>
        <w:top w:val="none" w:sz="0" w:space="0" w:color="auto"/>
        <w:left w:val="none" w:sz="0" w:space="0" w:color="auto"/>
        <w:bottom w:val="none" w:sz="0" w:space="0" w:color="auto"/>
        <w:right w:val="none" w:sz="0" w:space="0" w:color="auto"/>
      </w:divBdr>
    </w:div>
    <w:div w:id="90052996">
      <w:bodyDiv w:val="1"/>
      <w:marLeft w:val="0"/>
      <w:marRight w:val="0"/>
      <w:marTop w:val="0"/>
      <w:marBottom w:val="0"/>
      <w:divBdr>
        <w:top w:val="none" w:sz="0" w:space="0" w:color="auto"/>
        <w:left w:val="none" w:sz="0" w:space="0" w:color="auto"/>
        <w:bottom w:val="none" w:sz="0" w:space="0" w:color="auto"/>
        <w:right w:val="none" w:sz="0" w:space="0" w:color="auto"/>
      </w:divBdr>
    </w:div>
    <w:div w:id="93333550">
      <w:bodyDiv w:val="1"/>
      <w:marLeft w:val="0"/>
      <w:marRight w:val="0"/>
      <w:marTop w:val="0"/>
      <w:marBottom w:val="0"/>
      <w:divBdr>
        <w:top w:val="none" w:sz="0" w:space="0" w:color="auto"/>
        <w:left w:val="none" w:sz="0" w:space="0" w:color="auto"/>
        <w:bottom w:val="none" w:sz="0" w:space="0" w:color="auto"/>
        <w:right w:val="none" w:sz="0" w:space="0" w:color="auto"/>
      </w:divBdr>
    </w:div>
    <w:div w:id="94907583">
      <w:bodyDiv w:val="1"/>
      <w:marLeft w:val="0"/>
      <w:marRight w:val="0"/>
      <w:marTop w:val="0"/>
      <w:marBottom w:val="0"/>
      <w:divBdr>
        <w:top w:val="none" w:sz="0" w:space="0" w:color="auto"/>
        <w:left w:val="none" w:sz="0" w:space="0" w:color="auto"/>
        <w:bottom w:val="none" w:sz="0" w:space="0" w:color="auto"/>
        <w:right w:val="none" w:sz="0" w:space="0" w:color="auto"/>
      </w:divBdr>
    </w:div>
    <w:div w:id="99303328">
      <w:bodyDiv w:val="1"/>
      <w:marLeft w:val="0"/>
      <w:marRight w:val="0"/>
      <w:marTop w:val="0"/>
      <w:marBottom w:val="0"/>
      <w:divBdr>
        <w:top w:val="none" w:sz="0" w:space="0" w:color="auto"/>
        <w:left w:val="none" w:sz="0" w:space="0" w:color="auto"/>
        <w:bottom w:val="none" w:sz="0" w:space="0" w:color="auto"/>
        <w:right w:val="none" w:sz="0" w:space="0" w:color="auto"/>
      </w:divBdr>
    </w:div>
    <w:div w:id="105934231">
      <w:bodyDiv w:val="1"/>
      <w:marLeft w:val="0"/>
      <w:marRight w:val="0"/>
      <w:marTop w:val="0"/>
      <w:marBottom w:val="0"/>
      <w:divBdr>
        <w:top w:val="none" w:sz="0" w:space="0" w:color="auto"/>
        <w:left w:val="none" w:sz="0" w:space="0" w:color="auto"/>
        <w:bottom w:val="none" w:sz="0" w:space="0" w:color="auto"/>
        <w:right w:val="none" w:sz="0" w:space="0" w:color="auto"/>
      </w:divBdr>
    </w:div>
    <w:div w:id="106043987">
      <w:bodyDiv w:val="1"/>
      <w:marLeft w:val="0"/>
      <w:marRight w:val="0"/>
      <w:marTop w:val="0"/>
      <w:marBottom w:val="0"/>
      <w:divBdr>
        <w:top w:val="none" w:sz="0" w:space="0" w:color="auto"/>
        <w:left w:val="none" w:sz="0" w:space="0" w:color="auto"/>
        <w:bottom w:val="none" w:sz="0" w:space="0" w:color="auto"/>
        <w:right w:val="none" w:sz="0" w:space="0" w:color="auto"/>
      </w:divBdr>
    </w:div>
    <w:div w:id="108596953">
      <w:bodyDiv w:val="1"/>
      <w:marLeft w:val="0"/>
      <w:marRight w:val="0"/>
      <w:marTop w:val="0"/>
      <w:marBottom w:val="0"/>
      <w:divBdr>
        <w:top w:val="none" w:sz="0" w:space="0" w:color="auto"/>
        <w:left w:val="none" w:sz="0" w:space="0" w:color="auto"/>
        <w:bottom w:val="none" w:sz="0" w:space="0" w:color="auto"/>
        <w:right w:val="none" w:sz="0" w:space="0" w:color="auto"/>
      </w:divBdr>
    </w:div>
    <w:div w:id="111479256">
      <w:bodyDiv w:val="1"/>
      <w:marLeft w:val="0"/>
      <w:marRight w:val="0"/>
      <w:marTop w:val="0"/>
      <w:marBottom w:val="0"/>
      <w:divBdr>
        <w:top w:val="none" w:sz="0" w:space="0" w:color="auto"/>
        <w:left w:val="none" w:sz="0" w:space="0" w:color="auto"/>
        <w:bottom w:val="none" w:sz="0" w:space="0" w:color="auto"/>
        <w:right w:val="none" w:sz="0" w:space="0" w:color="auto"/>
      </w:divBdr>
    </w:div>
    <w:div w:id="111822318">
      <w:bodyDiv w:val="1"/>
      <w:marLeft w:val="0"/>
      <w:marRight w:val="0"/>
      <w:marTop w:val="0"/>
      <w:marBottom w:val="0"/>
      <w:divBdr>
        <w:top w:val="none" w:sz="0" w:space="0" w:color="auto"/>
        <w:left w:val="none" w:sz="0" w:space="0" w:color="auto"/>
        <w:bottom w:val="none" w:sz="0" w:space="0" w:color="auto"/>
        <w:right w:val="none" w:sz="0" w:space="0" w:color="auto"/>
      </w:divBdr>
    </w:div>
    <w:div w:id="112098749">
      <w:bodyDiv w:val="1"/>
      <w:marLeft w:val="0"/>
      <w:marRight w:val="0"/>
      <w:marTop w:val="0"/>
      <w:marBottom w:val="0"/>
      <w:divBdr>
        <w:top w:val="none" w:sz="0" w:space="0" w:color="auto"/>
        <w:left w:val="none" w:sz="0" w:space="0" w:color="auto"/>
        <w:bottom w:val="none" w:sz="0" w:space="0" w:color="auto"/>
        <w:right w:val="none" w:sz="0" w:space="0" w:color="auto"/>
      </w:divBdr>
    </w:div>
    <w:div w:id="112137185">
      <w:bodyDiv w:val="1"/>
      <w:marLeft w:val="0"/>
      <w:marRight w:val="0"/>
      <w:marTop w:val="0"/>
      <w:marBottom w:val="0"/>
      <w:divBdr>
        <w:top w:val="none" w:sz="0" w:space="0" w:color="auto"/>
        <w:left w:val="none" w:sz="0" w:space="0" w:color="auto"/>
        <w:bottom w:val="none" w:sz="0" w:space="0" w:color="auto"/>
        <w:right w:val="none" w:sz="0" w:space="0" w:color="auto"/>
      </w:divBdr>
    </w:div>
    <w:div w:id="114254217">
      <w:bodyDiv w:val="1"/>
      <w:marLeft w:val="0"/>
      <w:marRight w:val="0"/>
      <w:marTop w:val="0"/>
      <w:marBottom w:val="0"/>
      <w:divBdr>
        <w:top w:val="none" w:sz="0" w:space="0" w:color="auto"/>
        <w:left w:val="none" w:sz="0" w:space="0" w:color="auto"/>
        <w:bottom w:val="none" w:sz="0" w:space="0" w:color="auto"/>
        <w:right w:val="none" w:sz="0" w:space="0" w:color="auto"/>
      </w:divBdr>
    </w:div>
    <w:div w:id="115411921">
      <w:bodyDiv w:val="1"/>
      <w:marLeft w:val="0"/>
      <w:marRight w:val="0"/>
      <w:marTop w:val="0"/>
      <w:marBottom w:val="0"/>
      <w:divBdr>
        <w:top w:val="none" w:sz="0" w:space="0" w:color="auto"/>
        <w:left w:val="none" w:sz="0" w:space="0" w:color="auto"/>
        <w:bottom w:val="none" w:sz="0" w:space="0" w:color="auto"/>
        <w:right w:val="none" w:sz="0" w:space="0" w:color="auto"/>
      </w:divBdr>
    </w:div>
    <w:div w:id="119611684">
      <w:bodyDiv w:val="1"/>
      <w:marLeft w:val="0"/>
      <w:marRight w:val="0"/>
      <w:marTop w:val="0"/>
      <w:marBottom w:val="0"/>
      <w:divBdr>
        <w:top w:val="none" w:sz="0" w:space="0" w:color="auto"/>
        <w:left w:val="none" w:sz="0" w:space="0" w:color="auto"/>
        <w:bottom w:val="none" w:sz="0" w:space="0" w:color="auto"/>
        <w:right w:val="none" w:sz="0" w:space="0" w:color="auto"/>
      </w:divBdr>
    </w:div>
    <w:div w:id="122619963">
      <w:bodyDiv w:val="1"/>
      <w:marLeft w:val="0"/>
      <w:marRight w:val="0"/>
      <w:marTop w:val="0"/>
      <w:marBottom w:val="0"/>
      <w:divBdr>
        <w:top w:val="none" w:sz="0" w:space="0" w:color="auto"/>
        <w:left w:val="none" w:sz="0" w:space="0" w:color="auto"/>
        <w:bottom w:val="none" w:sz="0" w:space="0" w:color="auto"/>
        <w:right w:val="none" w:sz="0" w:space="0" w:color="auto"/>
      </w:divBdr>
    </w:div>
    <w:div w:id="123928617">
      <w:bodyDiv w:val="1"/>
      <w:marLeft w:val="0"/>
      <w:marRight w:val="0"/>
      <w:marTop w:val="0"/>
      <w:marBottom w:val="0"/>
      <w:divBdr>
        <w:top w:val="none" w:sz="0" w:space="0" w:color="auto"/>
        <w:left w:val="none" w:sz="0" w:space="0" w:color="auto"/>
        <w:bottom w:val="none" w:sz="0" w:space="0" w:color="auto"/>
        <w:right w:val="none" w:sz="0" w:space="0" w:color="auto"/>
      </w:divBdr>
    </w:div>
    <w:div w:id="125127489">
      <w:bodyDiv w:val="1"/>
      <w:marLeft w:val="0"/>
      <w:marRight w:val="0"/>
      <w:marTop w:val="0"/>
      <w:marBottom w:val="0"/>
      <w:divBdr>
        <w:top w:val="none" w:sz="0" w:space="0" w:color="auto"/>
        <w:left w:val="none" w:sz="0" w:space="0" w:color="auto"/>
        <w:bottom w:val="none" w:sz="0" w:space="0" w:color="auto"/>
        <w:right w:val="none" w:sz="0" w:space="0" w:color="auto"/>
      </w:divBdr>
    </w:div>
    <w:div w:id="125203444">
      <w:bodyDiv w:val="1"/>
      <w:marLeft w:val="0"/>
      <w:marRight w:val="0"/>
      <w:marTop w:val="0"/>
      <w:marBottom w:val="0"/>
      <w:divBdr>
        <w:top w:val="none" w:sz="0" w:space="0" w:color="auto"/>
        <w:left w:val="none" w:sz="0" w:space="0" w:color="auto"/>
        <w:bottom w:val="none" w:sz="0" w:space="0" w:color="auto"/>
        <w:right w:val="none" w:sz="0" w:space="0" w:color="auto"/>
      </w:divBdr>
    </w:div>
    <w:div w:id="125854145">
      <w:bodyDiv w:val="1"/>
      <w:marLeft w:val="0"/>
      <w:marRight w:val="0"/>
      <w:marTop w:val="0"/>
      <w:marBottom w:val="0"/>
      <w:divBdr>
        <w:top w:val="none" w:sz="0" w:space="0" w:color="auto"/>
        <w:left w:val="none" w:sz="0" w:space="0" w:color="auto"/>
        <w:bottom w:val="none" w:sz="0" w:space="0" w:color="auto"/>
        <w:right w:val="none" w:sz="0" w:space="0" w:color="auto"/>
      </w:divBdr>
    </w:div>
    <w:div w:id="127171180">
      <w:bodyDiv w:val="1"/>
      <w:marLeft w:val="0"/>
      <w:marRight w:val="0"/>
      <w:marTop w:val="0"/>
      <w:marBottom w:val="0"/>
      <w:divBdr>
        <w:top w:val="none" w:sz="0" w:space="0" w:color="auto"/>
        <w:left w:val="none" w:sz="0" w:space="0" w:color="auto"/>
        <w:bottom w:val="none" w:sz="0" w:space="0" w:color="auto"/>
        <w:right w:val="none" w:sz="0" w:space="0" w:color="auto"/>
      </w:divBdr>
    </w:div>
    <w:div w:id="128404612">
      <w:bodyDiv w:val="1"/>
      <w:marLeft w:val="0"/>
      <w:marRight w:val="0"/>
      <w:marTop w:val="0"/>
      <w:marBottom w:val="0"/>
      <w:divBdr>
        <w:top w:val="none" w:sz="0" w:space="0" w:color="auto"/>
        <w:left w:val="none" w:sz="0" w:space="0" w:color="auto"/>
        <w:bottom w:val="none" w:sz="0" w:space="0" w:color="auto"/>
        <w:right w:val="none" w:sz="0" w:space="0" w:color="auto"/>
      </w:divBdr>
    </w:div>
    <w:div w:id="129396907">
      <w:bodyDiv w:val="1"/>
      <w:marLeft w:val="0"/>
      <w:marRight w:val="0"/>
      <w:marTop w:val="0"/>
      <w:marBottom w:val="0"/>
      <w:divBdr>
        <w:top w:val="none" w:sz="0" w:space="0" w:color="auto"/>
        <w:left w:val="none" w:sz="0" w:space="0" w:color="auto"/>
        <w:bottom w:val="none" w:sz="0" w:space="0" w:color="auto"/>
        <w:right w:val="none" w:sz="0" w:space="0" w:color="auto"/>
      </w:divBdr>
    </w:div>
    <w:div w:id="129981436">
      <w:bodyDiv w:val="1"/>
      <w:marLeft w:val="0"/>
      <w:marRight w:val="0"/>
      <w:marTop w:val="0"/>
      <w:marBottom w:val="0"/>
      <w:divBdr>
        <w:top w:val="none" w:sz="0" w:space="0" w:color="auto"/>
        <w:left w:val="none" w:sz="0" w:space="0" w:color="auto"/>
        <w:bottom w:val="none" w:sz="0" w:space="0" w:color="auto"/>
        <w:right w:val="none" w:sz="0" w:space="0" w:color="auto"/>
      </w:divBdr>
    </w:div>
    <w:div w:id="138614934">
      <w:bodyDiv w:val="1"/>
      <w:marLeft w:val="0"/>
      <w:marRight w:val="0"/>
      <w:marTop w:val="0"/>
      <w:marBottom w:val="0"/>
      <w:divBdr>
        <w:top w:val="none" w:sz="0" w:space="0" w:color="auto"/>
        <w:left w:val="none" w:sz="0" w:space="0" w:color="auto"/>
        <w:bottom w:val="none" w:sz="0" w:space="0" w:color="auto"/>
        <w:right w:val="none" w:sz="0" w:space="0" w:color="auto"/>
      </w:divBdr>
    </w:div>
    <w:div w:id="147212200">
      <w:bodyDiv w:val="1"/>
      <w:marLeft w:val="0"/>
      <w:marRight w:val="0"/>
      <w:marTop w:val="0"/>
      <w:marBottom w:val="0"/>
      <w:divBdr>
        <w:top w:val="none" w:sz="0" w:space="0" w:color="auto"/>
        <w:left w:val="none" w:sz="0" w:space="0" w:color="auto"/>
        <w:bottom w:val="none" w:sz="0" w:space="0" w:color="auto"/>
        <w:right w:val="none" w:sz="0" w:space="0" w:color="auto"/>
      </w:divBdr>
    </w:div>
    <w:div w:id="148983435">
      <w:bodyDiv w:val="1"/>
      <w:marLeft w:val="0"/>
      <w:marRight w:val="0"/>
      <w:marTop w:val="0"/>
      <w:marBottom w:val="0"/>
      <w:divBdr>
        <w:top w:val="none" w:sz="0" w:space="0" w:color="auto"/>
        <w:left w:val="none" w:sz="0" w:space="0" w:color="auto"/>
        <w:bottom w:val="none" w:sz="0" w:space="0" w:color="auto"/>
        <w:right w:val="none" w:sz="0" w:space="0" w:color="auto"/>
      </w:divBdr>
    </w:div>
    <w:div w:id="157888940">
      <w:bodyDiv w:val="1"/>
      <w:marLeft w:val="0"/>
      <w:marRight w:val="0"/>
      <w:marTop w:val="0"/>
      <w:marBottom w:val="0"/>
      <w:divBdr>
        <w:top w:val="none" w:sz="0" w:space="0" w:color="auto"/>
        <w:left w:val="none" w:sz="0" w:space="0" w:color="auto"/>
        <w:bottom w:val="none" w:sz="0" w:space="0" w:color="auto"/>
        <w:right w:val="none" w:sz="0" w:space="0" w:color="auto"/>
      </w:divBdr>
    </w:div>
    <w:div w:id="159081898">
      <w:bodyDiv w:val="1"/>
      <w:marLeft w:val="0"/>
      <w:marRight w:val="0"/>
      <w:marTop w:val="0"/>
      <w:marBottom w:val="0"/>
      <w:divBdr>
        <w:top w:val="none" w:sz="0" w:space="0" w:color="auto"/>
        <w:left w:val="none" w:sz="0" w:space="0" w:color="auto"/>
        <w:bottom w:val="none" w:sz="0" w:space="0" w:color="auto"/>
        <w:right w:val="none" w:sz="0" w:space="0" w:color="auto"/>
      </w:divBdr>
    </w:div>
    <w:div w:id="169877918">
      <w:bodyDiv w:val="1"/>
      <w:marLeft w:val="0"/>
      <w:marRight w:val="0"/>
      <w:marTop w:val="0"/>
      <w:marBottom w:val="0"/>
      <w:divBdr>
        <w:top w:val="none" w:sz="0" w:space="0" w:color="auto"/>
        <w:left w:val="none" w:sz="0" w:space="0" w:color="auto"/>
        <w:bottom w:val="none" w:sz="0" w:space="0" w:color="auto"/>
        <w:right w:val="none" w:sz="0" w:space="0" w:color="auto"/>
      </w:divBdr>
    </w:div>
    <w:div w:id="170221505">
      <w:bodyDiv w:val="1"/>
      <w:marLeft w:val="0"/>
      <w:marRight w:val="0"/>
      <w:marTop w:val="0"/>
      <w:marBottom w:val="0"/>
      <w:divBdr>
        <w:top w:val="none" w:sz="0" w:space="0" w:color="auto"/>
        <w:left w:val="none" w:sz="0" w:space="0" w:color="auto"/>
        <w:bottom w:val="none" w:sz="0" w:space="0" w:color="auto"/>
        <w:right w:val="none" w:sz="0" w:space="0" w:color="auto"/>
      </w:divBdr>
    </w:div>
    <w:div w:id="175971179">
      <w:bodyDiv w:val="1"/>
      <w:marLeft w:val="0"/>
      <w:marRight w:val="0"/>
      <w:marTop w:val="0"/>
      <w:marBottom w:val="0"/>
      <w:divBdr>
        <w:top w:val="none" w:sz="0" w:space="0" w:color="auto"/>
        <w:left w:val="none" w:sz="0" w:space="0" w:color="auto"/>
        <w:bottom w:val="none" w:sz="0" w:space="0" w:color="auto"/>
        <w:right w:val="none" w:sz="0" w:space="0" w:color="auto"/>
      </w:divBdr>
    </w:div>
    <w:div w:id="179927572">
      <w:bodyDiv w:val="1"/>
      <w:marLeft w:val="0"/>
      <w:marRight w:val="0"/>
      <w:marTop w:val="0"/>
      <w:marBottom w:val="0"/>
      <w:divBdr>
        <w:top w:val="none" w:sz="0" w:space="0" w:color="auto"/>
        <w:left w:val="none" w:sz="0" w:space="0" w:color="auto"/>
        <w:bottom w:val="none" w:sz="0" w:space="0" w:color="auto"/>
        <w:right w:val="none" w:sz="0" w:space="0" w:color="auto"/>
      </w:divBdr>
    </w:div>
    <w:div w:id="182548601">
      <w:bodyDiv w:val="1"/>
      <w:marLeft w:val="0"/>
      <w:marRight w:val="0"/>
      <w:marTop w:val="0"/>
      <w:marBottom w:val="0"/>
      <w:divBdr>
        <w:top w:val="none" w:sz="0" w:space="0" w:color="auto"/>
        <w:left w:val="none" w:sz="0" w:space="0" w:color="auto"/>
        <w:bottom w:val="none" w:sz="0" w:space="0" w:color="auto"/>
        <w:right w:val="none" w:sz="0" w:space="0" w:color="auto"/>
      </w:divBdr>
    </w:div>
    <w:div w:id="183445947">
      <w:bodyDiv w:val="1"/>
      <w:marLeft w:val="0"/>
      <w:marRight w:val="0"/>
      <w:marTop w:val="0"/>
      <w:marBottom w:val="0"/>
      <w:divBdr>
        <w:top w:val="none" w:sz="0" w:space="0" w:color="auto"/>
        <w:left w:val="none" w:sz="0" w:space="0" w:color="auto"/>
        <w:bottom w:val="none" w:sz="0" w:space="0" w:color="auto"/>
        <w:right w:val="none" w:sz="0" w:space="0" w:color="auto"/>
      </w:divBdr>
    </w:div>
    <w:div w:id="187331179">
      <w:bodyDiv w:val="1"/>
      <w:marLeft w:val="0"/>
      <w:marRight w:val="0"/>
      <w:marTop w:val="0"/>
      <w:marBottom w:val="0"/>
      <w:divBdr>
        <w:top w:val="none" w:sz="0" w:space="0" w:color="auto"/>
        <w:left w:val="none" w:sz="0" w:space="0" w:color="auto"/>
        <w:bottom w:val="none" w:sz="0" w:space="0" w:color="auto"/>
        <w:right w:val="none" w:sz="0" w:space="0" w:color="auto"/>
      </w:divBdr>
    </w:div>
    <w:div w:id="187717201">
      <w:bodyDiv w:val="1"/>
      <w:marLeft w:val="0"/>
      <w:marRight w:val="0"/>
      <w:marTop w:val="0"/>
      <w:marBottom w:val="0"/>
      <w:divBdr>
        <w:top w:val="none" w:sz="0" w:space="0" w:color="auto"/>
        <w:left w:val="none" w:sz="0" w:space="0" w:color="auto"/>
        <w:bottom w:val="none" w:sz="0" w:space="0" w:color="auto"/>
        <w:right w:val="none" w:sz="0" w:space="0" w:color="auto"/>
      </w:divBdr>
    </w:div>
    <w:div w:id="189729278">
      <w:bodyDiv w:val="1"/>
      <w:marLeft w:val="0"/>
      <w:marRight w:val="0"/>
      <w:marTop w:val="0"/>
      <w:marBottom w:val="0"/>
      <w:divBdr>
        <w:top w:val="none" w:sz="0" w:space="0" w:color="auto"/>
        <w:left w:val="none" w:sz="0" w:space="0" w:color="auto"/>
        <w:bottom w:val="none" w:sz="0" w:space="0" w:color="auto"/>
        <w:right w:val="none" w:sz="0" w:space="0" w:color="auto"/>
      </w:divBdr>
    </w:div>
    <w:div w:id="190925388">
      <w:bodyDiv w:val="1"/>
      <w:marLeft w:val="0"/>
      <w:marRight w:val="0"/>
      <w:marTop w:val="0"/>
      <w:marBottom w:val="0"/>
      <w:divBdr>
        <w:top w:val="none" w:sz="0" w:space="0" w:color="auto"/>
        <w:left w:val="none" w:sz="0" w:space="0" w:color="auto"/>
        <w:bottom w:val="none" w:sz="0" w:space="0" w:color="auto"/>
        <w:right w:val="none" w:sz="0" w:space="0" w:color="auto"/>
      </w:divBdr>
    </w:div>
    <w:div w:id="191462854">
      <w:bodyDiv w:val="1"/>
      <w:marLeft w:val="0"/>
      <w:marRight w:val="0"/>
      <w:marTop w:val="0"/>
      <w:marBottom w:val="0"/>
      <w:divBdr>
        <w:top w:val="none" w:sz="0" w:space="0" w:color="auto"/>
        <w:left w:val="none" w:sz="0" w:space="0" w:color="auto"/>
        <w:bottom w:val="none" w:sz="0" w:space="0" w:color="auto"/>
        <w:right w:val="none" w:sz="0" w:space="0" w:color="auto"/>
      </w:divBdr>
    </w:div>
    <w:div w:id="192109860">
      <w:bodyDiv w:val="1"/>
      <w:marLeft w:val="0"/>
      <w:marRight w:val="0"/>
      <w:marTop w:val="0"/>
      <w:marBottom w:val="0"/>
      <w:divBdr>
        <w:top w:val="none" w:sz="0" w:space="0" w:color="auto"/>
        <w:left w:val="none" w:sz="0" w:space="0" w:color="auto"/>
        <w:bottom w:val="none" w:sz="0" w:space="0" w:color="auto"/>
        <w:right w:val="none" w:sz="0" w:space="0" w:color="auto"/>
      </w:divBdr>
    </w:div>
    <w:div w:id="193929672">
      <w:bodyDiv w:val="1"/>
      <w:marLeft w:val="0"/>
      <w:marRight w:val="0"/>
      <w:marTop w:val="0"/>
      <w:marBottom w:val="0"/>
      <w:divBdr>
        <w:top w:val="none" w:sz="0" w:space="0" w:color="auto"/>
        <w:left w:val="none" w:sz="0" w:space="0" w:color="auto"/>
        <w:bottom w:val="none" w:sz="0" w:space="0" w:color="auto"/>
        <w:right w:val="none" w:sz="0" w:space="0" w:color="auto"/>
      </w:divBdr>
    </w:div>
    <w:div w:id="195192938">
      <w:bodyDiv w:val="1"/>
      <w:marLeft w:val="0"/>
      <w:marRight w:val="0"/>
      <w:marTop w:val="0"/>
      <w:marBottom w:val="0"/>
      <w:divBdr>
        <w:top w:val="none" w:sz="0" w:space="0" w:color="auto"/>
        <w:left w:val="none" w:sz="0" w:space="0" w:color="auto"/>
        <w:bottom w:val="none" w:sz="0" w:space="0" w:color="auto"/>
        <w:right w:val="none" w:sz="0" w:space="0" w:color="auto"/>
      </w:divBdr>
    </w:div>
    <w:div w:id="197205756">
      <w:bodyDiv w:val="1"/>
      <w:marLeft w:val="0"/>
      <w:marRight w:val="0"/>
      <w:marTop w:val="0"/>
      <w:marBottom w:val="0"/>
      <w:divBdr>
        <w:top w:val="none" w:sz="0" w:space="0" w:color="auto"/>
        <w:left w:val="none" w:sz="0" w:space="0" w:color="auto"/>
        <w:bottom w:val="none" w:sz="0" w:space="0" w:color="auto"/>
        <w:right w:val="none" w:sz="0" w:space="0" w:color="auto"/>
      </w:divBdr>
    </w:div>
    <w:div w:id="211426500">
      <w:bodyDiv w:val="1"/>
      <w:marLeft w:val="0"/>
      <w:marRight w:val="0"/>
      <w:marTop w:val="0"/>
      <w:marBottom w:val="0"/>
      <w:divBdr>
        <w:top w:val="none" w:sz="0" w:space="0" w:color="auto"/>
        <w:left w:val="none" w:sz="0" w:space="0" w:color="auto"/>
        <w:bottom w:val="none" w:sz="0" w:space="0" w:color="auto"/>
        <w:right w:val="none" w:sz="0" w:space="0" w:color="auto"/>
      </w:divBdr>
    </w:div>
    <w:div w:id="213737121">
      <w:bodyDiv w:val="1"/>
      <w:marLeft w:val="0"/>
      <w:marRight w:val="0"/>
      <w:marTop w:val="0"/>
      <w:marBottom w:val="0"/>
      <w:divBdr>
        <w:top w:val="none" w:sz="0" w:space="0" w:color="auto"/>
        <w:left w:val="none" w:sz="0" w:space="0" w:color="auto"/>
        <w:bottom w:val="none" w:sz="0" w:space="0" w:color="auto"/>
        <w:right w:val="none" w:sz="0" w:space="0" w:color="auto"/>
      </w:divBdr>
    </w:div>
    <w:div w:id="214198537">
      <w:bodyDiv w:val="1"/>
      <w:marLeft w:val="0"/>
      <w:marRight w:val="0"/>
      <w:marTop w:val="0"/>
      <w:marBottom w:val="0"/>
      <w:divBdr>
        <w:top w:val="none" w:sz="0" w:space="0" w:color="auto"/>
        <w:left w:val="none" w:sz="0" w:space="0" w:color="auto"/>
        <w:bottom w:val="none" w:sz="0" w:space="0" w:color="auto"/>
        <w:right w:val="none" w:sz="0" w:space="0" w:color="auto"/>
      </w:divBdr>
    </w:div>
    <w:div w:id="220211525">
      <w:bodyDiv w:val="1"/>
      <w:marLeft w:val="0"/>
      <w:marRight w:val="0"/>
      <w:marTop w:val="0"/>
      <w:marBottom w:val="0"/>
      <w:divBdr>
        <w:top w:val="none" w:sz="0" w:space="0" w:color="auto"/>
        <w:left w:val="none" w:sz="0" w:space="0" w:color="auto"/>
        <w:bottom w:val="none" w:sz="0" w:space="0" w:color="auto"/>
        <w:right w:val="none" w:sz="0" w:space="0" w:color="auto"/>
      </w:divBdr>
    </w:div>
    <w:div w:id="222372833">
      <w:bodyDiv w:val="1"/>
      <w:marLeft w:val="0"/>
      <w:marRight w:val="0"/>
      <w:marTop w:val="0"/>
      <w:marBottom w:val="0"/>
      <w:divBdr>
        <w:top w:val="none" w:sz="0" w:space="0" w:color="auto"/>
        <w:left w:val="none" w:sz="0" w:space="0" w:color="auto"/>
        <w:bottom w:val="none" w:sz="0" w:space="0" w:color="auto"/>
        <w:right w:val="none" w:sz="0" w:space="0" w:color="auto"/>
      </w:divBdr>
    </w:div>
    <w:div w:id="229853049">
      <w:bodyDiv w:val="1"/>
      <w:marLeft w:val="0"/>
      <w:marRight w:val="0"/>
      <w:marTop w:val="0"/>
      <w:marBottom w:val="0"/>
      <w:divBdr>
        <w:top w:val="none" w:sz="0" w:space="0" w:color="auto"/>
        <w:left w:val="none" w:sz="0" w:space="0" w:color="auto"/>
        <w:bottom w:val="none" w:sz="0" w:space="0" w:color="auto"/>
        <w:right w:val="none" w:sz="0" w:space="0" w:color="auto"/>
      </w:divBdr>
    </w:div>
    <w:div w:id="231239684">
      <w:bodyDiv w:val="1"/>
      <w:marLeft w:val="0"/>
      <w:marRight w:val="0"/>
      <w:marTop w:val="0"/>
      <w:marBottom w:val="0"/>
      <w:divBdr>
        <w:top w:val="none" w:sz="0" w:space="0" w:color="auto"/>
        <w:left w:val="none" w:sz="0" w:space="0" w:color="auto"/>
        <w:bottom w:val="none" w:sz="0" w:space="0" w:color="auto"/>
        <w:right w:val="none" w:sz="0" w:space="0" w:color="auto"/>
      </w:divBdr>
    </w:div>
    <w:div w:id="231816320">
      <w:bodyDiv w:val="1"/>
      <w:marLeft w:val="0"/>
      <w:marRight w:val="0"/>
      <w:marTop w:val="0"/>
      <w:marBottom w:val="0"/>
      <w:divBdr>
        <w:top w:val="none" w:sz="0" w:space="0" w:color="auto"/>
        <w:left w:val="none" w:sz="0" w:space="0" w:color="auto"/>
        <w:bottom w:val="none" w:sz="0" w:space="0" w:color="auto"/>
        <w:right w:val="none" w:sz="0" w:space="0" w:color="auto"/>
      </w:divBdr>
    </w:div>
    <w:div w:id="233053611">
      <w:bodyDiv w:val="1"/>
      <w:marLeft w:val="0"/>
      <w:marRight w:val="0"/>
      <w:marTop w:val="0"/>
      <w:marBottom w:val="0"/>
      <w:divBdr>
        <w:top w:val="none" w:sz="0" w:space="0" w:color="auto"/>
        <w:left w:val="none" w:sz="0" w:space="0" w:color="auto"/>
        <w:bottom w:val="none" w:sz="0" w:space="0" w:color="auto"/>
        <w:right w:val="none" w:sz="0" w:space="0" w:color="auto"/>
      </w:divBdr>
    </w:div>
    <w:div w:id="233122958">
      <w:bodyDiv w:val="1"/>
      <w:marLeft w:val="0"/>
      <w:marRight w:val="0"/>
      <w:marTop w:val="0"/>
      <w:marBottom w:val="0"/>
      <w:divBdr>
        <w:top w:val="none" w:sz="0" w:space="0" w:color="auto"/>
        <w:left w:val="none" w:sz="0" w:space="0" w:color="auto"/>
        <w:bottom w:val="none" w:sz="0" w:space="0" w:color="auto"/>
        <w:right w:val="none" w:sz="0" w:space="0" w:color="auto"/>
      </w:divBdr>
    </w:div>
    <w:div w:id="233246372">
      <w:bodyDiv w:val="1"/>
      <w:marLeft w:val="0"/>
      <w:marRight w:val="0"/>
      <w:marTop w:val="0"/>
      <w:marBottom w:val="0"/>
      <w:divBdr>
        <w:top w:val="none" w:sz="0" w:space="0" w:color="auto"/>
        <w:left w:val="none" w:sz="0" w:space="0" w:color="auto"/>
        <w:bottom w:val="none" w:sz="0" w:space="0" w:color="auto"/>
        <w:right w:val="none" w:sz="0" w:space="0" w:color="auto"/>
      </w:divBdr>
    </w:div>
    <w:div w:id="239486090">
      <w:bodyDiv w:val="1"/>
      <w:marLeft w:val="0"/>
      <w:marRight w:val="0"/>
      <w:marTop w:val="0"/>
      <w:marBottom w:val="0"/>
      <w:divBdr>
        <w:top w:val="none" w:sz="0" w:space="0" w:color="auto"/>
        <w:left w:val="none" w:sz="0" w:space="0" w:color="auto"/>
        <w:bottom w:val="none" w:sz="0" w:space="0" w:color="auto"/>
        <w:right w:val="none" w:sz="0" w:space="0" w:color="auto"/>
      </w:divBdr>
    </w:div>
    <w:div w:id="240409920">
      <w:bodyDiv w:val="1"/>
      <w:marLeft w:val="0"/>
      <w:marRight w:val="0"/>
      <w:marTop w:val="0"/>
      <w:marBottom w:val="0"/>
      <w:divBdr>
        <w:top w:val="none" w:sz="0" w:space="0" w:color="auto"/>
        <w:left w:val="none" w:sz="0" w:space="0" w:color="auto"/>
        <w:bottom w:val="none" w:sz="0" w:space="0" w:color="auto"/>
        <w:right w:val="none" w:sz="0" w:space="0" w:color="auto"/>
      </w:divBdr>
    </w:div>
    <w:div w:id="248078940">
      <w:bodyDiv w:val="1"/>
      <w:marLeft w:val="0"/>
      <w:marRight w:val="0"/>
      <w:marTop w:val="0"/>
      <w:marBottom w:val="0"/>
      <w:divBdr>
        <w:top w:val="none" w:sz="0" w:space="0" w:color="auto"/>
        <w:left w:val="none" w:sz="0" w:space="0" w:color="auto"/>
        <w:bottom w:val="none" w:sz="0" w:space="0" w:color="auto"/>
        <w:right w:val="none" w:sz="0" w:space="0" w:color="auto"/>
      </w:divBdr>
    </w:div>
    <w:div w:id="253978846">
      <w:bodyDiv w:val="1"/>
      <w:marLeft w:val="0"/>
      <w:marRight w:val="0"/>
      <w:marTop w:val="0"/>
      <w:marBottom w:val="0"/>
      <w:divBdr>
        <w:top w:val="none" w:sz="0" w:space="0" w:color="auto"/>
        <w:left w:val="none" w:sz="0" w:space="0" w:color="auto"/>
        <w:bottom w:val="none" w:sz="0" w:space="0" w:color="auto"/>
        <w:right w:val="none" w:sz="0" w:space="0" w:color="auto"/>
      </w:divBdr>
    </w:div>
    <w:div w:id="257639764">
      <w:bodyDiv w:val="1"/>
      <w:marLeft w:val="0"/>
      <w:marRight w:val="0"/>
      <w:marTop w:val="0"/>
      <w:marBottom w:val="0"/>
      <w:divBdr>
        <w:top w:val="none" w:sz="0" w:space="0" w:color="auto"/>
        <w:left w:val="none" w:sz="0" w:space="0" w:color="auto"/>
        <w:bottom w:val="none" w:sz="0" w:space="0" w:color="auto"/>
        <w:right w:val="none" w:sz="0" w:space="0" w:color="auto"/>
      </w:divBdr>
    </w:div>
    <w:div w:id="257643474">
      <w:bodyDiv w:val="1"/>
      <w:marLeft w:val="0"/>
      <w:marRight w:val="0"/>
      <w:marTop w:val="0"/>
      <w:marBottom w:val="0"/>
      <w:divBdr>
        <w:top w:val="none" w:sz="0" w:space="0" w:color="auto"/>
        <w:left w:val="none" w:sz="0" w:space="0" w:color="auto"/>
        <w:bottom w:val="none" w:sz="0" w:space="0" w:color="auto"/>
        <w:right w:val="none" w:sz="0" w:space="0" w:color="auto"/>
      </w:divBdr>
    </w:div>
    <w:div w:id="260456029">
      <w:bodyDiv w:val="1"/>
      <w:marLeft w:val="0"/>
      <w:marRight w:val="0"/>
      <w:marTop w:val="0"/>
      <w:marBottom w:val="0"/>
      <w:divBdr>
        <w:top w:val="none" w:sz="0" w:space="0" w:color="auto"/>
        <w:left w:val="none" w:sz="0" w:space="0" w:color="auto"/>
        <w:bottom w:val="none" w:sz="0" w:space="0" w:color="auto"/>
        <w:right w:val="none" w:sz="0" w:space="0" w:color="auto"/>
      </w:divBdr>
    </w:div>
    <w:div w:id="262303182">
      <w:bodyDiv w:val="1"/>
      <w:marLeft w:val="0"/>
      <w:marRight w:val="0"/>
      <w:marTop w:val="0"/>
      <w:marBottom w:val="0"/>
      <w:divBdr>
        <w:top w:val="none" w:sz="0" w:space="0" w:color="auto"/>
        <w:left w:val="none" w:sz="0" w:space="0" w:color="auto"/>
        <w:bottom w:val="none" w:sz="0" w:space="0" w:color="auto"/>
        <w:right w:val="none" w:sz="0" w:space="0" w:color="auto"/>
      </w:divBdr>
    </w:div>
    <w:div w:id="270480914">
      <w:bodyDiv w:val="1"/>
      <w:marLeft w:val="0"/>
      <w:marRight w:val="0"/>
      <w:marTop w:val="0"/>
      <w:marBottom w:val="0"/>
      <w:divBdr>
        <w:top w:val="none" w:sz="0" w:space="0" w:color="auto"/>
        <w:left w:val="none" w:sz="0" w:space="0" w:color="auto"/>
        <w:bottom w:val="none" w:sz="0" w:space="0" w:color="auto"/>
        <w:right w:val="none" w:sz="0" w:space="0" w:color="auto"/>
      </w:divBdr>
    </w:div>
    <w:div w:id="275021692">
      <w:bodyDiv w:val="1"/>
      <w:marLeft w:val="0"/>
      <w:marRight w:val="0"/>
      <w:marTop w:val="0"/>
      <w:marBottom w:val="0"/>
      <w:divBdr>
        <w:top w:val="none" w:sz="0" w:space="0" w:color="auto"/>
        <w:left w:val="none" w:sz="0" w:space="0" w:color="auto"/>
        <w:bottom w:val="none" w:sz="0" w:space="0" w:color="auto"/>
        <w:right w:val="none" w:sz="0" w:space="0" w:color="auto"/>
      </w:divBdr>
    </w:div>
    <w:div w:id="275451324">
      <w:bodyDiv w:val="1"/>
      <w:marLeft w:val="0"/>
      <w:marRight w:val="0"/>
      <w:marTop w:val="0"/>
      <w:marBottom w:val="0"/>
      <w:divBdr>
        <w:top w:val="none" w:sz="0" w:space="0" w:color="auto"/>
        <w:left w:val="none" w:sz="0" w:space="0" w:color="auto"/>
        <w:bottom w:val="none" w:sz="0" w:space="0" w:color="auto"/>
        <w:right w:val="none" w:sz="0" w:space="0" w:color="auto"/>
      </w:divBdr>
    </w:div>
    <w:div w:id="278414674">
      <w:bodyDiv w:val="1"/>
      <w:marLeft w:val="0"/>
      <w:marRight w:val="0"/>
      <w:marTop w:val="0"/>
      <w:marBottom w:val="0"/>
      <w:divBdr>
        <w:top w:val="none" w:sz="0" w:space="0" w:color="auto"/>
        <w:left w:val="none" w:sz="0" w:space="0" w:color="auto"/>
        <w:bottom w:val="none" w:sz="0" w:space="0" w:color="auto"/>
        <w:right w:val="none" w:sz="0" w:space="0" w:color="auto"/>
      </w:divBdr>
    </w:div>
    <w:div w:id="279386544">
      <w:bodyDiv w:val="1"/>
      <w:marLeft w:val="0"/>
      <w:marRight w:val="0"/>
      <w:marTop w:val="0"/>
      <w:marBottom w:val="0"/>
      <w:divBdr>
        <w:top w:val="none" w:sz="0" w:space="0" w:color="auto"/>
        <w:left w:val="none" w:sz="0" w:space="0" w:color="auto"/>
        <w:bottom w:val="none" w:sz="0" w:space="0" w:color="auto"/>
        <w:right w:val="none" w:sz="0" w:space="0" w:color="auto"/>
      </w:divBdr>
    </w:div>
    <w:div w:id="280309552">
      <w:bodyDiv w:val="1"/>
      <w:marLeft w:val="0"/>
      <w:marRight w:val="0"/>
      <w:marTop w:val="0"/>
      <w:marBottom w:val="0"/>
      <w:divBdr>
        <w:top w:val="none" w:sz="0" w:space="0" w:color="auto"/>
        <w:left w:val="none" w:sz="0" w:space="0" w:color="auto"/>
        <w:bottom w:val="none" w:sz="0" w:space="0" w:color="auto"/>
        <w:right w:val="none" w:sz="0" w:space="0" w:color="auto"/>
      </w:divBdr>
    </w:div>
    <w:div w:id="286739957">
      <w:bodyDiv w:val="1"/>
      <w:marLeft w:val="0"/>
      <w:marRight w:val="0"/>
      <w:marTop w:val="0"/>
      <w:marBottom w:val="0"/>
      <w:divBdr>
        <w:top w:val="none" w:sz="0" w:space="0" w:color="auto"/>
        <w:left w:val="none" w:sz="0" w:space="0" w:color="auto"/>
        <w:bottom w:val="none" w:sz="0" w:space="0" w:color="auto"/>
        <w:right w:val="none" w:sz="0" w:space="0" w:color="auto"/>
      </w:divBdr>
    </w:div>
    <w:div w:id="288558056">
      <w:bodyDiv w:val="1"/>
      <w:marLeft w:val="0"/>
      <w:marRight w:val="0"/>
      <w:marTop w:val="0"/>
      <w:marBottom w:val="0"/>
      <w:divBdr>
        <w:top w:val="none" w:sz="0" w:space="0" w:color="auto"/>
        <w:left w:val="none" w:sz="0" w:space="0" w:color="auto"/>
        <w:bottom w:val="none" w:sz="0" w:space="0" w:color="auto"/>
        <w:right w:val="none" w:sz="0" w:space="0" w:color="auto"/>
      </w:divBdr>
    </w:div>
    <w:div w:id="293146432">
      <w:bodyDiv w:val="1"/>
      <w:marLeft w:val="0"/>
      <w:marRight w:val="0"/>
      <w:marTop w:val="0"/>
      <w:marBottom w:val="0"/>
      <w:divBdr>
        <w:top w:val="none" w:sz="0" w:space="0" w:color="auto"/>
        <w:left w:val="none" w:sz="0" w:space="0" w:color="auto"/>
        <w:bottom w:val="none" w:sz="0" w:space="0" w:color="auto"/>
        <w:right w:val="none" w:sz="0" w:space="0" w:color="auto"/>
      </w:divBdr>
    </w:div>
    <w:div w:id="294995357">
      <w:bodyDiv w:val="1"/>
      <w:marLeft w:val="0"/>
      <w:marRight w:val="0"/>
      <w:marTop w:val="0"/>
      <w:marBottom w:val="0"/>
      <w:divBdr>
        <w:top w:val="none" w:sz="0" w:space="0" w:color="auto"/>
        <w:left w:val="none" w:sz="0" w:space="0" w:color="auto"/>
        <w:bottom w:val="none" w:sz="0" w:space="0" w:color="auto"/>
        <w:right w:val="none" w:sz="0" w:space="0" w:color="auto"/>
      </w:divBdr>
    </w:div>
    <w:div w:id="296958008">
      <w:bodyDiv w:val="1"/>
      <w:marLeft w:val="0"/>
      <w:marRight w:val="0"/>
      <w:marTop w:val="0"/>
      <w:marBottom w:val="0"/>
      <w:divBdr>
        <w:top w:val="none" w:sz="0" w:space="0" w:color="auto"/>
        <w:left w:val="none" w:sz="0" w:space="0" w:color="auto"/>
        <w:bottom w:val="none" w:sz="0" w:space="0" w:color="auto"/>
        <w:right w:val="none" w:sz="0" w:space="0" w:color="auto"/>
      </w:divBdr>
    </w:div>
    <w:div w:id="307590637">
      <w:bodyDiv w:val="1"/>
      <w:marLeft w:val="0"/>
      <w:marRight w:val="0"/>
      <w:marTop w:val="0"/>
      <w:marBottom w:val="0"/>
      <w:divBdr>
        <w:top w:val="none" w:sz="0" w:space="0" w:color="auto"/>
        <w:left w:val="none" w:sz="0" w:space="0" w:color="auto"/>
        <w:bottom w:val="none" w:sz="0" w:space="0" w:color="auto"/>
        <w:right w:val="none" w:sz="0" w:space="0" w:color="auto"/>
      </w:divBdr>
    </w:div>
    <w:div w:id="313803897">
      <w:bodyDiv w:val="1"/>
      <w:marLeft w:val="0"/>
      <w:marRight w:val="0"/>
      <w:marTop w:val="0"/>
      <w:marBottom w:val="0"/>
      <w:divBdr>
        <w:top w:val="none" w:sz="0" w:space="0" w:color="auto"/>
        <w:left w:val="none" w:sz="0" w:space="0" w:color="auto"/>
        <w:bottom w:val="none" w:sz="0" w:space="0" w:color="auto"/>
        <w:right w:val="none" w:sz="0" w:space="0" w:color="auto"/>
      </w:divBdr>
    </w:div>
    <w:div w:id="315453383">
      <w:bodyDiv w:val="1"/>
      <w:marLeft w:val="0"/>
      <w:marRight w:val="0"/>
      <w:marTop w:val="0"/>
      <w:marBottom w:val="0"/>
      <w:divBdr>
        <w:top w:val="none" w:sz="0" w:space="0" w:color="auto"/>
        <w:left w:val="none" w:sz="0" w:space="0" w:color="auto"/>
        <w:bottom w:val="none" w:sz="0" w:space="0" w:color="auto"/>
        <w:right w:val="none" w:sz="0" w:space="0" w:color="auto"/>
      </w:divBdr>
    </w:div>
    <w:div w:id="315456121">
      <w:bodyDiv w:val="1"/>
      <w:marLeft w:val="0"/>
      <w:marRight w:val="0"/>
      <w:marTop w:val="0"/>
      <w:marBottom w:val="0"/>
      <w:divBdr>
        <w:top w:val="none" w:sz="0" w:space="0" w:color="auto"/>
        <w:left w:val="none" w:sz="0" w:space="0" w:color="auto"/>
        <w:bottom w:val="none" w:sz="0" w:space="0" w:color="auto"/>
        <w:right w:val="none" w:sz="0" w:space="0" w:color="auto"/>
      </w:divBdr>
    </w:div>
    <w:div w:id="320349281">
      <w:bodyDiv w:val="1"/>
      <w:marLeft w:val="0"/>
      <w:marRight w:val="0"/>
      <w:marTop w:val="0"/>
      <w:marBottom w:val="0"/>
      <w:divBdr>
        <w:top w:val="none" w:sz="0" w:space="0" w:color="auto"/>
        <w:left w:val="none" w:sz="0" w:space="0" w:color="auto"/>
        <w:bottom w:val="none" w:sz="0" w:space="0" w:color="auto"/>
        <w:right w:val="none" w:sz="0" w:space="0" w:color="auto"/>
      </w:divBdr>
    </w:div>
    <w:div w:id="323123254">
      <w:bodyDiv w:val="1"/>
      <w:marLeft w:val="0"/>
      <w:marRight w:val="0"/>
      <w:marTop w:val="0"/>
      <w:marBottom w:val="0"/>
      <w:divBdr>
        <w:top w:val="none" w:sz="0" w:space="0" w:color="auto"/>
        <w:left w:val="none" w:sz="0" w:space="0" w:color="auto"/>
        <w:bottom w:val="none" w:sz="0" w:space="0" w:color="auto"/>
        <w:right w:val="none" w:sz="0" w:space="0" w:color="auto"/>
      </w:divBdr>
    </w:div>
    <w:div w:id="325132600">
      <w:bodyDiv w:val="1"/>
      <w:marLeft w:val="0"/>
      <w:marRight w:val="0"/>
      <w:marTop w:val="0"/>
      <w:marBottom w:val="0"/>
      <w:divBdr>
        <w:top w:val="none" w:sz="0" w:space="0" w:color="auto"/>
        <w:left w:val="none" w:sz="0" w:space="0" w:color="auto"/>
        <w:bottom w:val="none" w:sz="0" w:space="0" w:color="auto"/>
        <w:right w:val="none" w:sz="0" w:space="0" w:color="auto"/>
      </w:divBdr>
    </w:div>
    <w:div w:id="326129254">
      <w:bodyDiv w:val="1"/>
      <w:marLeft w:val="0"/>
      <w:marRight w:val="0"/>
      <w:marTop w:val="0"/>
      <w:marBottom w:val="0"/>
      <w:divBdr>
        <w:top w:val="none" w:sz="0" w:space="0" w:color="auto"/>
        <w:left w:val="none" w:sz="0" w:space="0" w:color="auto"/>
        <w:bottom w:val="none" w:sz="0" w:space="0" w:color="auto"/>
        <w:right w:val="none" w:sz="0" w:space="0" w:color="auto"/>
      </w:divBdr>
    </w:div>
    <w:div w:id="332221179">
      <w:bodyDiv w:val="1"/>
      <w:marLeft w:val="0"/>
      <w:marRight w:val="0"/>
      <w:marTop w:val="0"/>
      <w:marBottom w:val="0"/>
      <w:divBdr>
        <w:top w:val="none" w:sz="0" w:space="0" w:color="auto"/>
        <w:left w:val="none" w:sz="0" w:space="0" w:color="auto"/>
        <w:bottom w:val="none" w:sz="0" w:space="0" w:color="auto"/>
        <w:right w:val="none" w:sz="0" w:space="0" w:color="auto"/>
      </w:divBdr>
    </w:div>
    <w:div w:id="334235017">
      <w:bodyDiv w:val="1"/>
      <w:marLeft w:val="0"/>
      <w:marRight w:val="0"/>
      <w:marTop w:val="0"/>
      <w:marBottom w:val="0"/>
      <w:divBdr>
        <w:top w:val="none" w:sz="0" w:space="0" w:color="auto"/>
        <w:left w:val="none" w:sz="0" w:space="0" w:color="auto"/>
        <w:bottom w:val="none" w:sz="0" w:space="0" w:color="auto"/>
        <w:right w:val="none" w:sz="0" w:space="0" w:color="auto"/>
      </w:divBdr>
    </w:div>
    <w:div w:id="334844492">
      <w:bodyDiv w:val="1"/>
      <w:marLeft w:val="0"/>
      <w:marRight w:val="0"/>
      <w:marTop w:val="0"/>
      <w:marBottom w:val="0"/>
      <w:divBdr>
        <w:top w:val="none" w:sz="0" w:space="0" w:color="auto"/>
        <w:left w:val="none" w:sz="0" w:space="0" w:color="auto"/>
        <w:bottom w:val="none" w:sz="0" w:space="0" w:color="auto"/>
        <w:right w:val="none" w:sz="0" w:space="0" w:color="auto"/>
      </w:divBdr>
    </w:div>
    <w:div w:id="335689994">
      <w:bodyDiv w:val="1"/>
      <w:marLeft w:val="0"/>
      <w:marRight w:val="0"/>
      <w:marTop w:val="0"/>
      <w:marBottom w:val="0"/>
      <w:divBdr>
        <w:top w:val="none" w:sz="0" w:space="0" w:color="auto"/>
        <w:left w:val="none" w:sz="0" w:space="0" w:color="auto"/>
        <w:bottom w:val="none" w:sz="0" w:space="0" w:color="auto"/>
        <w:right w:val="none" w:sz="0" w:space="0" w:color="auto"/>
      </w:divBdr>
    </w:div>
    <w:div w:id="337199891">
      <w:bodyDiv w:val="1"/>
      <w:marLeft w:val="0"/>
      <w:marRight w:val="0"/>
      <w:marTop w:val="0"/>
      <w:marBottom w:val="0"/>
      <w:divBdr>
        <w:top w:val="none" w:sz="0" w:space="0" w:color="auto"/>
        <w:left w:val="none" w:sz="0" w:space="0" w:color="auto"/>
        <w:bottom w:val="none" w:sz="0" w:space="0" w:color="auto"/>
        <w:right w:val="none" w:sz="0" w:space="0" w:color="auto"/>
      </w:divBdr>
    </w:div>
    <w:div w:id="341780252">
      <w:bodyDiv w:val="1"/>
      <w:marLeft w:val="0"/>
      <w:marRight w:val="0"/>
      <w:marTop w:val="0"/>
      <w:marBottom w:val="0"/>
      <w:divBdr>
        <w:top w:val="none" w:sz="0" w:space="0" w:color="auto"/>
        <w:left w:val="none" w:sz="0" w:space="0" w:color="auto"/>
        <w:bottom w:val="none" w:sz="0" w:space="0" w:color="auto"/>
        <w:right w:val="none" w:sz="0" w:space="0" w:color="auto"/>
      </w:divBdr>
    </w:div>
    <w:div w:id="343481178">
      <w:bodyDiv w:val="1"/>
      <w:marLeft w:val="0"/>
      <w:marRight w:val="0"/>
      <w:marTop w:val="0"/>
      <w:marBottom w:val="0"/>
      <w:divBdr>
        <w:top w:val="none" w:sz="0" w:space="0" w:color="auto"/>
        <w:left w:val="none" w:sz="0" w:space="0" w:color="auto"/>
        <w:bottom w:val="none" w:sz="0" w:space="0" w:color="auto"/>
        <w:right w:val="none" w:sz="0" w:space="0" w:color="auto"/>
      </w:divBdr>
    </w:div>
    <w:div w:id="343823650">
      <w:bodyDiv w:val="1"/>
      <w:marLeft w:val="0"/>
      <w:marRight w:val="0"/>
      <w:marTop w:val="0"/>
      <w:marBottom w:val="0"/>
      <w:divBdr>
        <w:top w:val="none" w:sz="0" w:space="0" w:color="auto"/>
        <w:left w:val="none" w:sz="0" w:space="0" w:color="auto"/>
        <w:bottom w:val="none" w:sz="0" w:space="0" w:color="auto"/>
        <w:right w:val="none" w:sz="0" w:space="0" w:color="auto"/>
      </w:divBdr>
    </w:div>
    <w:div w:id="345788891">
      <w:bodyDiv w:val="1"/>
      <w:marLeft w:val="0"/>
      <w:marRight w:val="0"/>
      <w:marTop w:val="0"/>
      <w:marBottom w:val="0"/>
      <w:divBdr>
        <w:top w:val="none" w:sz="0" w:space="0" w:color="auto"/>
        <w:left w:val="none" w:sz="0" w:space="0" w:color="auto"/>
        <w:bottom w:val="none" w:sz="0" w:space="0" w:color="auto"/>
        <w:right w:val="none" w:sz="0" w:space="0" w:color="auto"/>
      </w:divBdr>
    </w:div>
    <w:div w:id="347801658">
      <w:bodyDiv w:val="1"/>
      <w:marLeft w:val="0"/>
      <w:marRight w:val="0"/>
      <w:marTop w:val="0"/>
      <w:marBottom w:val="0"/>
      <w:divBdr>
        <w:top w:val="none" w:sz="0" w:space="0" w:color="auto"/>
        <w:left w:val="none" w:sz="0" w:space="0" w:color="auto"/>
        <w:bottom w:val="none" w:sz="0" w:space="0" w:color="auto"/>
        <w:right w:val="none" w:sz="0" w:space="0" w:color="auto"/>
      </w:divBdr>
    </w:div>
    <w:div w:id="352387773">
      <w:bodyDiv w:val="1"/>
      <w:marLeft w:val="0"/>
      <w:marRight w:val="0"/>
      <w:marTop w:val="0"/>
      <w:marBottom w:val="0"/>
      <w:divBdr>
        <w:top w:val="none" w:sz="0" w:space="0" w:color="auto"/>
        <w:left w:val="none" w:sz="0" w:space="0" w:color="auto"/>
        <w:bottom w:val="none" w:sz="0" w:space="0" w:color="auto"/>
        <w:right w:val="none" w:sz="0" w:space="0" w:color="auto"/>
      </w:divBdr>
    </w:div>
    <w:div w:id="355929546">
      <w:bodyDiv w:val="1"/>
      <w:marLeft w:val="0"/>
      <w:marRight w:val="0"/>
      <w:marTop w:val="0"/>
      <w:marBottom w:val="0"/>
      <w:divBdr>
        <w:top w:val="none" w:sz="0" w:space="0" w:color="auto"/>
        <w:left w:val="none" w:sz="0" w:space="0" w:color="auto"/>
        <w:bottom w:val="none" w:sz="0" w:space="0" w:color="auto"/>
        <w:right w:val="none" w:sz="0" w:space="0" w:color="auto"/>
      </w:divBdr>
    </w:div>
    <w:div w:id="357045559">
      <w:bodyDiv w:val="1"/>
      <w:marLeft w:val="0"/>
      <w:marRight w:val="0"/>
      <w:marTop w:val="0"/>
      <w:marBottom w:val="0"/>
      <w:divBdr>
        <w:top w:val="none" w:sz="0" w:space="0" w:color="auto"/>
        <w:left w:val="none" w:sz="0" w:space="0" w:color="auto"/>
        <w:bottom w:val="none" w:sz="0" w:space="0" w:color="auto"/>
        <w:right w:val="none" w:sz="0" w:space="0" w:color="auto"/>
      </w:divBdr>
    </w:div>
    <w:div w:id="360327643">
      <w:bodyDiv w:val="1"/>
      <w:marLeft w:val="0"/>
      <w:marRight w:val="0"/>
      <w:marTop w:val="0"/>
      <w:marBottom w:val="0"/>
      <w:divBdr>
        <w:top w:val="none" w:sz="0" w:space="0" w:color="auto"/>
        <w:left w:val="none" w:sz="0" w:space="0" w:color="auto"/>
        <w:bottom w:val="none" w:sz="0" w:space="0" w:color="auto"/>
        <w:right w:val="none" w:sz="0" w:space="0" w:color="auto"/>
      </w:divBdr>
    </w:div>
    <w:div w:id="361244806">
      <w:bodyDiv w:val="1"/>
      <w:marLeft w:val="0"/>
      <w:marRight w:val="0"/>
      <w:marTop w:val="0"/>
      <w:marBottom w:val="0"/>
      <w:divBdr>
        <w:top w:val="none" w:sz="0" w:space="0" w:color="auto"/>
        <w:left w:val="none" w:sz="0" w:space="0" w:color="auto"/>
        <w:bottom w:val="none" w:sz="0" w:space="0" w:color="auto"/>
        <w:right w:val="none" w:sz="0" w:space="0" w:color="auto"/>
      </w:divBdr>
    </w:div>
    <w:div w:id="362440954">
      <w:bodyDiv w:val="1"/>
      <w:marLeft w:val="0"/>
      <w:marRight w:val="0"/>
      <w:marTop w:val="0"/>
      <w:marBottom w:val="0"/>
      <w:divBdr>
        <w:top w:val="none" w:sz="0" w:space="0" w:color="auto"/>
        <w:left w:val="none" w:sz="0" w:space="0" w:color="auto"/>
        <w:bottom w:val="none" w:sz="0" w:space="0" w:color="auto"/>
        <w:right w:val="none" w:sz="0" w:space="0" w:color="auto"/>
      </w:divBdr>
    </w:div>
    <w:div w:id="373890449">
      <w:bodyDiv w:val="1"/>
      <w:marLeft w:val="0"/>
      <w:marRight w:val="0"/>
      <w:marTop w:val="0"/>
      <w:marBottom w:val="0"/>
      <w:divBdr>
        <w:top w:val="none" w:sz="0" w:space="0" w:color="auto"/>
        <w:left w:val="none" w:sz="0" w:space="0" w:color="auto"/>
        <w:bottom w:val="none" w:sz="0" w:space="0" w:color="auto"/>
        <w:right w:val="none" w:sz="0" w:space="0" w:color="auto"/>
      </w:divBdr>
    </w:div>
    <w:div w:id="374424850">
      <w:bodyDiv w:val="1"/>
      <w:marLeft w:val="0"/>
      <w:marRight w:val="0"/>
      <w:marTop w:val="0"/>
      <w:marBottom w:val="0"/>
      <w:divBdr>
        <w:top w:val="none" w:sz="0" w:space="0" w:color="auto"/>
        <w:left w:val="none" w:sz="0" w:space="0" w:color="auto"/>
        <w:bottom w:val="none" w:sz="0" w:space="0" w:color="auto"/>
        <w:right w:val="none" w:sz="0" w:space="0" w:color="auto"/>
      </w:divBdr>
    </w:div>
    <w:div w:id="374696215">
      <w:bodyDiv w:val="1"/>
      <w:marLeft w:val="0"/>
      <w:marRight w:val="0"/>
      <w:marTop w:val="0"/>
      <w:marBottom w:val="0"/>
      <w:divBdr>
        <w:top w:val="none" w:sz="0" w:space="0" w:color="auto"/>
        <w:left w:val="none" w:sz="0" w:space="0" w:color="auto"/>
        <w:bottom w:val="none" w:sz="0" w:space="0" w:color="auto"/>
        <w:right w:val="none" w:sz="0" w:space="0" w:color="auto"/>
      </w:divBdr>
    </w:div>
    <w:div w:id="380136441">
      <w:bodyDiv w:val="1"/>
      <w:marLeft w:val="0"/>
      <w:marRight w:val="0"/>
      <w:marTop w:val="0"/>
      <w:marBottom w:val="0"/>
      <w:divBdr>
        <w:top w:val="none" w:sz="0" w:space="0" w:color="auto"/>
        <w:left w:val="none" w:sz="0" w:space="0" w:color="auto"/>
        <w:bottom w:val="none" w:sz="0" w:space="0" w:color="auto"/>
        <w:right w:val="none" w:sz="0" w:space="0" w:color="auto"/>
      </w:divBdr>
    </w:div>
    <w:div w:id="384449456">
      <w:bodyDiv w:val="1"/>
      <w:marLeft w:val="0"/>
      <w:marRight w:val="0"/>
      <w:marTop w:val="0"/>
      <w:marBottom w:val="0"/>
      <w:divBdr>
        <w:top w:val="none" w:sz="0" w:space="0" w:color="auto"/>
        <w:left w:val="none" w:sz="0" w:space="0" w:color="auto"/>
        <w:bottom w:val="none" w:sz="0" w:space="0" w:color="auto"/>
        <w:right w:val="none" w:sz="0" w:space="0" w:color="auto"/>
      </w:divBdr>
    </w:div>
    <w:div w:id="391851906">
      <w:bodyDiv w:val="1"/>
      <w:marLeft w:val="0"/>
      <w:marRight w:val="0"/>
      <w:marTop w:val="0"/>
      <w:marBottom w:val="0"/>
      <w:divBdr>
        <w:top w:val="none" w:sz="0" w:space="0" w:color="auto"/>
        <w:left w:val="none" w:sz="0" w:space="0" w:color="auto"/>
        <w:bottom w:val="none" w:sz="0" w:space="0" w:color="auto"/>
        <w:right w:val="none" w:sz="0" w:space="0" w:color="auto"/>
      </w:divBdr>
    </w:div>
    <w:div w:id="392967586">
      <w:bodyDiv w:val="1"/>
      <w:marLeft w:val="0"/>
      <w:marRight w:val="0"/>
      <w:marTop w:val="0"/>
      <w:marBottom w:val="0"/>
      <w:divBdr>
        <w:top w:val="none" w:sz="0" w:space="0" w:color="auto"/>
        <w:left w:val="none" w:sz="0" w:space="0" w:color="auto"/>
        <w:bottom w:val="none" w:sz="0" w:space="0" w:color="auto"/>
        <w:right w:val="none" w:sz="0" w:space="0" w:color="auto"/>
      </w:divBdr>
    </w:div>
    <w:div w:id="406458466">
      <w:bodyDiv w:val="1"/>
      <w:marLeft w:val="0"/>
      <w:marRight w:val="0"/>
      <w:marTop w:val="0"/>
      <w:marBottom w:val="0"/>
      <w:divBdr>
        <w:top w:val="none" w:sz="0" w:space="0" w:color="auto"/>
        <w:left w:val="none" w:sz="0" w:space="0" w:color="auto"/>
        <w:bottom w:val="none" w:sz="0" w:space="0" w:color="auto"/>
        <w:right w:val="none" w:sz="0" w:space="0" w:color="auto"/>
      </w:divBdr>
    </w:div>
    <w:div w:id="407306591">
      <w:bodyDiv w:val="1"/>
      <w:marLeft w:val="0"/>
      <w:marRight w:val="0"/>
      <w:marTop w:val="0"/>
      <w:marBottom w:val="0"/>
      <w:divBdr>
        <w:top w:val="none" w:sz="0" w:space="0" w:color="auto"/>
        <w:left w:val="none" w:sz="0" w:space="0" w:color="auto"/>
        <w:bottom w:val="none" w:sz="0" w:space="0" w:color="auto"/>
        <w:right w:val="none" w:sz="0" w:space="0" w:color="auto"/>
      </w:divBdr>
    </w:div>
    <w:div w:id="407654363">
      <w:bodyDiv w:val="1"/>
      <w:marLeft w:val="0"/>
      <w:marRight w:val="0"/>
      <w:marTop w:val="0"/>
      <w:marBottom w:val="0"/>
      <w:divBdr>
        <w:top w:val="none" w:sz="0" w:space="0" w:color="auto"/>
        <w:left w:val="none" w:sz="0" w:space="0" w:color="auto"/>
        <w:bottom w:val="none" w:sz="0" w:space="0" w:color="auto"/>
        <w:right w:val="none" w:sz="0" w:space="0" w:color="auto"/>
      </w:divBdr>
    </w:div>
    <w:div w:id="411510974">
      <w:bodyDiv w:val="1"/>
      <w:marLeft w:val="0"/>
      <w:marRight w:val="0"/>
      <w:marTop w:val="0"/>
      <w:marBottom w:val="0"/>
      <w:divBdr>
        <w:top w:val="none" w:sz="0" w:space="0" w:color="auto"/>
        <w:left w:val="none" w:sz="0" w:space="0" w:color="auto"/>
        <w:bottom w:val="none" w:sz="0" w:space="0" w:color="auto"/>
        <w:right w:val="none" w:sz="0" w:space="0" w:color="auto"/>
      </w:divBdr>
    </w:div>
    <w:div w:id="411589481">
      <w:bodyDiv w:val="1"/>
      <w:marLeft w:val="0"/>
      <w:marRight w:val="0"/>
      <w:marTop w:val="0"/>
      <w:marBottom w:val="0"/>
      <w:divBdr>
        <w:top w:val="none" w:sz="0" w:space="0" w:color="auto"/>
        <w:left w:val="none" w:sz="0" w:space="0" w:color="auto"/>
        <w:bottom w:val="none" w:sz="0" w:space="0" w:color="auto"/>
        <w:right w:val="none" w:sz="0" w:space="0" w:color="auto"/>
      </w:divBdr>
    </w:div>
    <w:div w:id="415827511">
      <w:bodyDiv w:val="1"/>
      <w:marLeft w:val="0"/>
      <w:marRight w:val="0"/>
      <w:marTop w:val="0"/>
      <w:marBottom w:val="0"/>
      <w:divBdr>
        <w:top w:val="none" w:sz="0" w:space="0" w:color="auto"/>
        <w:left w:val="none" w:sz="0" w:space="0" w:color="auto"/>
        <w:bottom w:val="none" w:sz="0" w:space="0" w:color="auto"/>
        <w:right w:val="none" w:sz="0" w:space="0" w:color="auto"/>
      </w:divBdr>
    </w:div>
    <w:div w:id="418992172">
      <w:bodyDiv w:val="1"/>
      <w:marLeft w:val="0"/>
      <w:marRight w:val="0"/>
      <w:marTop w:val="0"/>
      <w:marBottom w:val="0"/>
      <w:divBdr>
        <w:top w:val="none" w:sz="0" w:space="0" w:color="auto"/>
        <w:left w:val="none" w:sz="0" w:space="0" w:color="auto"/>
        <w:bottom w:val="none" w:sz="0" w:space="0" w:color="auto"/>
        <w:right w:val="none" w:sz="0" w:space="0" w:color="auto"/>
      </w:divBdr>
    </w:div>
    <w:div w:id="423454725">
      <w:bodyDiv w:val="1"/>
      <w:marLeft w:val="0"/>
      <w:marRight w:val="0"/>
      <w:marTop w:val="0"/>
      <w:marBottom w:val="0"/>
      <w:divBdr>
        <w:top w:val="none" w:sz="0" w:space="0" w:color="auto"/>
        <w:left w:val="none" w:sz="0" w:space="0" w:color="auto"/>
        <w:bottom w:val="none" w:sz="0" w:space="0" w:color="auto"/>
        <w:right w:val="none" w:sz="0" w:space="0" w:color="auto"/>
      </w:divBdr>
    </w:div>
    <w:div w:id="426849730">
      <w:bodyDiv w:val="1"/>
      <w:marLeft w:val="0"/>
      <w:marRight w:val="0"/>
      <w:marTop w:val="0"/>
      <w:marBottom w:val="0"/>
      <w:divBdr>
        <w:top w:val="none" w:sz="0" w:space="0" w:color="auto"/>
        <w:left w:val="none" w:sz="0" w:space="0" w:color="auto"/>
        <w:bottom w:val="none" w:sz="0" w:space="0" w:color="auto"/>
        <w:right w:val="none" w:sz="0" w:space="0" w:color="auto"/>
      </w:divBdr>
    </w:div>
    <w:div w:id="427115382">
      <w:bodyDiv w:val="1"/>
      <w:marLeft w:val="0"/>
      <w:marRight w:val="0"/>
      <w:marTop w:val="0"/>
      <w:marBottom w:val="0"/>
      <w:divBdr>
        <w:top w:val="none" w:sz="0" w:space="0" w:color="auto"/>
        <w:left w:val="none" w:sz="0" w:space="0" w:color="auto"/>
        <w:bottom w:val="none" w:sz="0" w:space="0" w:color="auto"/>
        <w:right w:val="none" w:sz="0" w:space="0" w:color="auto"/>
      </w:divBdr>
    </w:div>
    <w:div w:id="427430050">
      <w:bodyDiv w:val="1"/>
      <w:marLeft w:val="0"/>
      <w:marRight w:val="0"/>
      <w:marTop w:val="0"/>
      <w:marBottom w:val="0"/>
      <w:divBdr>
        <w:top w:val="none" w:sz="0" w:space="0" w:color="auto"/>
        <w:left w:val="none" w:sz="0" w:space="0" w:color="auto"/>
        <w:bottom w:val="none" w:sz="0" w:space="0" w:color="auto"/>
        <w:right w:val="none" w:sz="0" w:space="0" w:color="auto"/>
      </w:divBdr>
    </w:div>
    <w:div w:id="428701948">
      <w:bodyDiv w:val="1"/>
      <w:marLeft w:val="0"/>
      <w:marRight w:val="0"/>
      <w:marTop w:val="0"/>
      <w:marBottom w:val="0"/>
      <w:divBdr>
        <w:top w:val="none" w:sz="0" w:space="0" w:color="auto"/>
        <w:left w:val="none" w:sz="0" w:space="0" w:color="auto"/>
        <w:bottom w:val="none" w:sz="0" w:space="0" w:color="auto"/>
        <w:right w:val="none" w:sz="0" w:space="0" w:color="auto"/>
      </w:divBdr>
    </w:div>
    <w:div w:id="431320502">
      <w:bodyDiv w:val="1"/>
      <w:marLeft w:val="0"/>
      <w:marRight w:val="0"/>
      <w:marTop w:val="0"/>
      <w:marBottom w:val="0"/>
      <w:divBdr>
        <w:top w:val="none" w:sz="0" w:space="0" w:color="auto"/>
        <w:left w:val="none" w:sz="0" w:space="0" w:color="auto"/>
        <w:bottom w:val="none" w:sz="0" w:space="0" w:color="auto"/>
        <w:right w:val="none" w:sz="0" w:space="0" w:color="auto"/>
      </w:divBdr>
    </w:div>
    <w:div w:id="432946232">
      <w:bodyDiv w:val="1"/>
      <w:marLeft w:val="0"/>
      <w:marRight w:val="0"/>
      <w:marTop w:val="0"/>
      <w:marBottom w:val="0"/>
      <w:divBdr>
        <w:top w:val="none" w:sz="0" w:space="0" w:color="auto"/>
        <w:left w:val="none" w:sz="0" w:space="0" w:color="auto"/>
        <w:bottom w:val="none" w:sz="0" w:space="0" w:color="auto"/>
        <w:right w:val="none" w:sz="0" w:space="0" w:color="auto"/>
      </w:divBdr>
    </w:div>
    <w:div w:id="437678190">
      <w:bodyDiv w:val="1"/>
      <w:marLeft w:val="0"/>
      <w:marRight w:val="0"/>
      <w:marTop w:val="0"/>
      <w:marBottom w:val="0"/>
      <w:divBdr>
        <w:top w:val="none" w:sz="0" w:space="0" w:color="auto"/>
        <w:left w:val="none" w:sz="0" w:space="0" w:color="auto"/>
        <w:bottom w:val="none" w:sz="0" w:space="0" w:color="auto"/>
        <w:right w:val="none" w:sz="0" w:space="0" w:color="auto"/>
      </w:divBdr>
    </w:div>
    <w:div w:id="438108575">
      <w:bodyDiv w:val="1"/>
      <w:marLeft w:val="0"/>
      <w:marRight w:val="0"/>
      <w:marTop w:val="0"/>
      <w:marBottom w:val="0"/>
      <w:divBdr>
        <w:top w:val="none" w:sz="0" w:space="0" w:color="auto"/>
        <w:left w:val="none" w:sz="0" w:space="0" w:color="auto"/>
        <w:bottom w:val="none" w:sz="0" w:space="0" w:color="auto"/>
        <w:right w:val="none" w:sz="0" w:space="0" w:color="auto"/>
      </w:divBdr>
    </w:div>
    <w:div w:id="439182845">
      <w:bodyDiv w:val="1"/>
      <w:marLeft w:val="0"/>
      <w:marRight w:val="0"/>
      <w:marTop w:val="0"/>
      <w:marBottom w:val="0"/>
      <w:divBdr>
        <w:top w:val="none" w:sz="0" w:space="0" w:color="auto"/>
        <w:left w:val="none" w:sz="0" w:space="0" w:color="auto"/>
        <w:bottom w:val="none" w:sz="0" w:space="0" w:color="auto"/>
        <w:right w:val="none" w:sz="0" w:space="0" w:color="auto"/>
      </w:divBdr>
    </w:div>
    <w:div w:id="441654707">
      <w:bodyDiv w:val="1"/>
      <w:marLeft w:val="0"/>
      <w:marRight w:val="0"/>
      <w:marTop w:val="0"/>
      <w:marBottom w:val="0"/>
      <w:divBdr>
        <w:top w:val="none" w:sz="0" w:space="0" w:color="auto"/>
        <w:left w:val="none" w:sz="0" w:space="0" w:color="auto"/>
        <w:bottom w:val="none" w:sz="0" w:space="0" w:color="auto"/>
        <w:right w:val="none" w:sz="0" w:space="0" w:color="auto"/>
      </w:divBdr>
    </w:div>
    <w:div w:id="444622894">
      <w:bodyDiv w:val="1"/>
      <w:marLeft w:val="0"/>
      <w:marRight w:val="0"/>
      <w:marTop w:val="0"/>
      <w:marBottom w:val="0"/>
      <w:divBdr>
        <w:top w:val="none" w:sz="0" w:space="0" w:color="auto"/>
        <w:left w:val="none" w:sz="0" w:space="0" w:color="auto"/>
        <w:bottom w:val="none" w:sz="0" w:space="0" w:color="auto"/>
        <w:right w:val="none" w:sz="0" w:space="0" w:color="auto"/>
      </w:divBdr>
    </w:div>
    <w:div w:id="445003197">
      <w:bodyDiv w:val="1"/>
      <w:marLeft w:val="0"/>
      <w:marRight w:val="0"/>
      <w:marTop w:val="0"/>
      <w:marBottom w:val="0"/>
      <w:divBdr>
        <w:top w:val="none" w:sz="0" w:space="0" w:color="auto"/>
        <w:left w:val="none" w:sz="0" w:space="0" w:color="auto"/>
        <w:bottom w:val="none" w:sz="0" w:space="0" w:color="auto"/>
        <w:right w:val="none" w:sz="0" w:space="0" w:color="auto"/>
      </w:divBdr>
    </w:div>
    <w:div w:id="447505693">
      <w:bodyDiv w:val="1"/>
      <w:marLeft w:val="0"/>
      <w:marRight w:val="0"/>
      <w:marTop w:val="0"/>
      <w:marBottom w:val="0"/>
      <w:divBdr>
        <w:top w:val="none" w:sz="0" w:space="0" w:color="auto"/>
        <w:left w:val="none" w:sz="0" w:space="0" w:color="auto"/>
        <w:bottom w:val="none" w:sz="0" w:space="0" w:color="auto"/>
        <w:right w:val="none" w:sz="0" w:space="0" w:color="auto"/>
      </w:divBdr>
    </w:div>
    <w:div w:id="447890537">
      <w:bodyDiv w:val="1"/>
      <w:marLeft w:val="0"/>
      <w:marRight w:val="0"/>
      <w:marTop w:val="0"/>
      <w:marBottom w:val="0"/>
      <w:divBdr>
        <w:top w:val="none" w:sz="0" w:space="0" w:color="auto"/>
        <w:left w:val="none" w:sz="0" w:space="0" w:color="auto"/>
        <w:bottom w:val="none" w:sz="0" w:space="0" w:color="auto"/>
        <w:right w:val="none" w:sz="0" w:space="0" w:color="auto"/>
      </w:divBdr>
    </w:div>
    <w:div w:id="449520290">
      <w:bodyDiv w:val="1"/>
      <w:marLeft w:val="0"/>
      <w:marRight w:val="0"/>
      <w:marTop w:val="0"/>
      <w:marBottom w:val="0"/>
      <w:divBdr>
        <w:top w:val="none" w:sz="0" w:space="0" w:color="auto"/>
        <w:left w:val="none" w:sz="0" w:space="0" w:color="auto"/>
        <w:bottom w:val="none" w:sz="0" w:space="0" w:color="auto"/>
        <w:right w:val="none" w:sz="0" w:space="0" w:color="auto"/>
      </w:divBdr>
    </w:div>
    <w:div w:id="451293828">
      <w:bodyDiv w:val="1"/>
      <w:marLeft w:val="0"/>
      <w:marRight w:val="0"/>
      <w:marTop w:val="0"/>
      <w:marBottom w:val="0"/>
      <w:divBdr>
        <w:top w:val="none" w:sz="0" w:space="0" w:color="auto"/>
        <w:left w:val="none" w:sz="0" w:space="0" w:color="auto"/>
        <w:bottom w:val="none" w:sz="0" w:space="0" w:color="auto"/>
        <w:right w:val="none" w:sz="0" w:space="0" w:color="auto"/>
      </w:divBdr>
    </w:div>
    <w:div w:id="452670261">
      <w:bodyDiv w:val="1"/>
      <w:marLeft w:val="0"/>
      <w:marRight w:val="0"/>
      <w:marTop w:val="0"/>
      <w:marBottom w:val="0"/>
      <w:divBdr>
        <w:top w:val="none" w:sz="0" w:space="0" w:color="auto"/>
        <w:left w:val="none" w:sz="0" w:space="0" w:color="auto"/>
        <w:bottom w:val="none" w:sz="0" w:space="0" w:color="auto"/>
        <w:right w:val="none" w:sz="0" w:space="0" w:color="auto"/>
      </w:divBdr>
    </w:div>
    <w:div w:id="461004916">
      <w:bodyDiv w:val="1"/>
      <w:marLeft w:val="0"/>
      <w:marRight w:val="0"/>
      <w:marTop w:val="0"/>
      <w:marBottom w:val="0"/>
      <w:divBdr>
        <w:top w:val="none" w:sz="0" w:space="0" w:color="auto"/>
        <w:left w:val="none" w:sz="0" w:space="0" w:color="auto"/>
        <w:bottom w:val="none" w:sz="0" w:space="0" w:color="auto"/>
        <w:right w:val="none" w:sz="0" w:space="0" w:color="auto"/>
      </w:divBdr>
    </w:div>
    <w:div w:id="470490045">
      <w:bodyDiv w:val="1"/>
      <w:marLeft w:val="0"/>
      <w:marRight w:val="0"/>
      <w:marTop w:val="0"/>
      <w:marBottom w:val="0"/>
      <w:divBdr>
        <w:top w:val="none" w:sz="0" w:space="0" w:color="auto"/>
        <w:left w:val="none" w:sz="0" w:space="0" w:color="auto"/>
        <w:bottom w:val="none" w:sz="0" w:space="0" w:color="auto"/>
        <w:right w:val="none" w:sz="0" w:space="0" w:color="auto"/>
      </w:divBdr>
    </w:div>
    <w:div w:id="471866774">
      <w:bodyDiv w:val="1"/>
      <w:marLeft w:val="0"/>
      <w:marRight w:val="0"/>
      <w:marTop w:val="0"/>
      <w:marBottom w:val="0"/>
      <w:divBdr>
        <w:top w:val="none" w:sz="0" w:space="0" w:color="auto"/>
        <w:left w:val="none" w:sz="0" w:space="0" w:color="auto"/>
        <w:bottom w:val="none" w:sz="0" w:space="0" w:color="auto"/>
        <w:right w:val="none" w:sz="0" w:space="0" w:color="auto"/>
      </w:divBdr>
    </w:div>
    <w:div w:id="471873419">
      <w:bodyDiv w:val="1"/>
      <w:marLeft w:val="0"/>
      <w:marRight w:val="0"/>
      <w:marTop w:val="0"/>
      <w:marBottom w:val="0"/>
      <w:divBdr>
        <w:top w:val="none" w:sz="0" w:space="0" w:color="auto"/>
        <w:left w:val="none" w:sz="0" w:space="0" w:color="auto"/>
        <w:bottom w:val="none" w:sz="0" w:space="0" w:color="auto"/>
        <w:right w:val="none" w:sz="0" w:space="0" w:color="auto"/>
      </w:divBdr>
    </w:div>
    <w:div w:id="475924425">
      <w:bodyDiv w:val="1"/>
      <w:marLeft w:val="0"/>
      <w:marRight w:val="0"/>
      <w:marTop w:val="0"/>
      <w:marBottom w:val="0"/>
      <w:divBdr>
        <w:top w:val="none" w:sz="0" w:space="0" w:color="auto"/>
        <w:left w:val="none" w:sz="0" w:space="0" w:color="auto"/>
        <w:bottom w:val="none" w:sz="0" w:space="0" w:color="auto"/>
        <w:right w:val="none" w:sz="0" w:space="0" w:color="auto"/>
      </w:divBdr>
    </w:div>
    <w:div w:id="477963873">
      <w:bodyDiv w:val="1"/>
      <w:marLeft w:val="0"/>
      <w:marRight w:val="0"/>
      <w:marTop w:val="0"/>
      <w:marBottom w:val="0"/>
      <w:divBdr>
        <w:top w:val="none" w:sz="0" w:space="0" w:color="auto"/>
        <w:left w:val="none" w:sz="0" w:space="0" w:color="auto"/>
        <w:bottom w:val="none" w:sz="0" w:space="0" w:color="auto"/>
        <w:right w:val="none" w:sz="0" w:space="0" w:color="auto"/>
      </w:divBdr>
    </w:div>
    <w:div w:id="480003685">
      <w:bodyDiv w:val="1"/>
      <w:marLeft w:val="0"/>
      <w:marRight w:val="0"/>
      <w:marTop w:val="0"/>
      <w:marBottom w:val="0"/>
      <w:divBdr>
        <w:top w:val="none" w:sz="0" w:space="0" w:color="auto"/>
        <w:left w:val="none" w:sz="0" w:space="0" w:color="auto"/>
        <w:bottom w:val="none" w:sz="0" w:space="0" w:color="auto"/>
        <w:right w:val="none" w:sz="0" w:space="0" w:color="auto"/>
      </w:divBdr>
    </w:div>
    <w:div w:id="480778137">
      <w:bodyDiv w:val="1"/>
      <w:marLeft w:val="0"/>
      <w:marRight w:val="0"/>
      <w:marTop w:val="0"/>
      <w:marBottom w:val="0"/>
      <w:divBdr>
        <w:top w:val="none" w:sz="0" w:space="0" w:color="auto"/>
        <w:left w:val="none" w:sz="0" w:space="0" w:color="auto"/>
        <w:bottom w:val="none" w:sz="0" w:space="0" w:color="auto"/>
        <w:right w:val="none" w:sz="0" w:space="0" w:color="auto"/>
      </w:divBdr>
    </w:div>
    <w:div w:id="484130422">
      <w:bodyDiv w:val="1"/>
      <w:marLeft w:val="0"/>
      <w:marRight w:val="0"/>
      <w:marTop w:val="0"/>
      <w:marBottom w:val="0"/>
      <w:divBdr>
        <w:top w:val="none" w:sz="0" w:space="0" w:color="auto"/>
        <w:left w:val="none" w:sz="0" w:space="0" w:color="auto"/>
        <w:bottom w:val="none" w:sz="0" w:space="0" w:color="auto"/>
        <w:right w:val="none" w:sz="0" w:space="0" w:color="auto"/>
      </w:divBdr>
    </w:div>
    <w:div w:id="485707268">
      <w:bodyDiv w:val="1"/>
      <w:marLeft w:val="0"/>
      <w:marRight w:val="0"/>
      <w:marTop w:val="0"/>
      <w:marBottom w:val="0"/>
      <w:divBdr>
        <w:top w:val="none" w:sz="0" w:space="0" w:color="auto"/>
        <w:left w:val="none" w:sz="0" w:space="0" w:color="auto"/>
        <w:bottom w:val="none" w:sz="0" w:space="0" w:color="auto"/>
        <w:right w:val="none" w:sz="0" w:space="0" w:color="auto"/>
      </w:divBdr>
    </w:div>
    <w:div w:id="487981908">
      <w:bodyDiv w:val="1"/>
      <w:marLeft w:val="0"/>
      <w:marRight w:val="0"/>
      <w:marTop w:val="0"/>
      <w:marBottom w:val="0"/>
      <w:divBdr>
        <w:top w:val="none" w:sz="0" w:space="0" w:color="auto"/>
        <w:left w:val="none" w:sz="0" w:space="0" w:color="auto"/>
        <w:bottom w:val="none" w:sz="0" w:space="0" w:color="auto"/>
        <w:right w:val="none" w:sz="0" w:space="0" w:color="auto"/>
      </w:divBdr>
    </w:div>
    <w:div w:id="488132880">
      <w:bodyDiv w:val="1"/>
      <w:marLeft w:val="0"/>
      <w:marRight w:val="0"/>
      <w:marTop w:val="0"/>
      <w:marBottom w:val="0"/>
      <w:divBdr>
        <w:top w:val="none" w:sz="0" w:space="0" w:color="auto"/>
        <w:left w:val="none" w:sz="0" w:space="0" w:color="auto"/>
        <w:bottom w:val="none" w:sz="0" w:space="0" w:color="auto"/>
        <w:right w:val="none" w:sz="0" w:space="0" w:color="auto"/>
      </w:divBdr>
    </w:div>
    <w:div w:id="490754581">
      <w:bodyDiv w:val="1"/>
      <w:marLeft w:val="0"/>
      <w:marRight w:val="0"/>
      <w:marTop w:val="0"/>
      <w:marBottom w:val="0"/>
      <w:divBdr>
        <w:top w:val="none" w:sz="0" w:space="0" w:color="auto"/>
        <w:left w:val="none" w:sz="0" w:space="0" w:color="auto"/>
        <w:bottom w:val="none" w:sz="0" w:space="0" w:color="auto"/>
        <w:right w:val="none" w:sz="0" w:space="0" w:color="auto"/>
      </w:divBdr>
    </w:div>
    <w:div w:id="495610307">
      <w:bodyDiv w:val="1"/>
      <w:marLeft w:val="0"/>
      <w:marRight w:val="0"/>
      <w:marTop w:val="0"/>
      <w:marBottom w:val="0"/>
      <w:divBdr>
        <w:top w:val="none" w:sz="0" w:space="0" w:color="auto"/>
        <w:left w:val="none" w:sz="0" w:space="0" w:color="auto"/>
        <w:bottom w:val="none" w:sz="0" w:space="0" w:color="auto"/>
        <w:right w:val="none" w:sz="0" w:space="0" w:color="auto"/>
      </w:divBdr>
    </w:div>
    <w:div w:id="497883765">
      <w:bodyDiv w:val="1"/>
      <w:marLeft w:val="0"/>
      <w:marRight w:val="0"/>
      <w:marTop w:val="0"/>
      <w:marBottom w:val="0"/>
      <w:divBdr>
        <w:top w:val="none" w:sz="0" w:space="0" w:color="auto"/>
        <w:left w:val="none" w:sz="0" w:space="0" w:color="auto"/>
        <w:bottom w:val="none" w:sz="0" w:space="0" w:color="auto"/>
        <w:right w:val="none" w:sz="0" w:space="0" w:color="auto"/>
      </w:divBdr>
    </w:div>
    <w:div w:id="500125766">
      <w:bodyDiv w:val="1"/>
      <w:marLeft w:val="0"/>
      <w:marRight w:val="0"/>
      <w:marTop w:val="0"/>
      <w:marBottom w:val="0"/>
      <w:divBdr>
        <w:top w:val="none" w:sz="0" w:space="0" w:color="auto"/>
        <w:left w:val="none" w:sz="0" w:space="0" w:color="auto"/>
        <w:bottom w:val="none" w:sz="0" w:space="0" w:color="auto"/>
        <w:right w:val="none" w:sz="0" w:space="0" w:color="auto"/>
      </w:divBdr>
    </w:div>
    <w:div w:id="512767601">
      <w:bodyDiv w:val="1"/>
      <w:marLeft w:val="0"/>
      <w:marRight w:val="0"/>
      <w:marTop w:val="0"/>
      <w:marBottom w:val="0"/>
      <w:divBdr>
        <w:top w:val="none" w:sz="0" w:space="0" w:color="auto"/>
        <w:left w:val="none" w:sz="0" w:space="0" w:color="auto"/>
        <w:bottom w:val="none" w:sz="0" w:space="0" w:color="auto"/>
        <w:right w:val="none" w:sz="0" w:space="0" w:color="auto"/>
      </w:divBdr>
    </w:div>
    <w:div w:id="514223883">
      <w:bodyDiv w:val="1"/>
      <w:marLeft w:val="0"/>
      <w:marRight w:val="0"/>
      <w:marTop w:val="0"/>
      <w:marBottom w:val="0"/>
      <w:divBdr>
        <w:top w:val="none" w:sz="0" w:space="0" w:color="auto"/>
        <w:left w:val="none" w:sz="0" w:space="0" w:color="auto"/>
        <w:bottom w:val="none" w:sz="0" w:space="0" w:color="auto"/>
        <w:right w:val="none" w:sz="0" w:space="0" w:color="auto"/>
      </w:divBdr>
    </w:div>
    <w:div w:id="516583893">
      <w:bodyDiv w:val="1"/>
      <w:marLeft w:val="0"/>
      <w:marRight w:val="0"/>
      <w:marTop w:val="0"/>
      <w:marBottom w:val="0"/>
      <w:divBdr>
        <w:top w:val="none" w:sz="0" w:space="0" w:color="auto"/>
        <w:left w:val="none" w:sz="0" w:space="0" w:color="auto"/>
        <w:bottom w:val="none" w:sz="0" w:space="0" w:color="auto"/>
        <w:right w:val="none" w:sz="0" w:space="0" w:color="auto"/>
      </w:divBdr>
    </w:div>
    <w:div w:id="519703440">
      <w:bodyDiv w:val="1"/>
      <w:marLeft w:val="0"/>
      <w:marRight w:val="0"/>
      <w:marTop w:val="0"/>
      <w:marBottom w:val="0"/>
      <w:divBdr>
        <w:top w:val="none" w:sz="0" w:space="0" w:color="auto"/>
        <w:left w:val="none" w:sz="0" w:space="0" w:color="auto"/>
        <w:bottom w:val="none" w:sz="0" w:space="0" w:color="auto"/>
        <w:right w:val="none" w:sz="0" w:space="0" w:color="auto"/>
      </w:divBdr>
    </w:div>
    <w:div w:id="523978747">
      <w:bodyDiv w:val="1"/>
      <w:marLeft w:val="0"/>
      <w:marRight w:val="0"/>
      <w:marTop w:val="0"/>
      <w:marBottom w:val="0"/>
      <w:divBdr>
        <w:top w:val="none" w:sz="0" w:space="0" w:color="auto"/>
        <w:left w:val="none" w:sz="0" w:space="0" w:color="auto"/>
        <w:bottom w:val="none" w:sz="0" w:space="0" w:color="auto"/>
        <w:right w:val="none" w:sz="0" w:space="0" w:color="auto"/>
      </w:divBdr>
    </w:div>
    <w:div w:id="524753518">
      <w:bodyDiv w:val="1"/>
      <w:marLeft w:val="0"/>
      <w:marRight w:val="0"/>
      <w:marTop w:val="0"/>
      <w:marBottom w:val="0"/>
      <w:divBdr>
        <w:top w:val="none" w:sz="0" w:space="0" w:color="auto"/>
        <w:left w:val="none" w:sz="0" w:space="0" w:color="auto"/>
        <w:bottom w:val="none" w:sz="0" w:space="0" w:color="auto"/>
        <w:right w:val="none" w:sz="0" w:space="0" w:color="auto"/>
      </w:divBdr>
    </w:div>
    <w:div w:id="527597335">
      <w:bodyDiv w:val="1"/>
      <w:marLeft w:val="0"/>
      <w:marRight w:val="0"/>
      <w:marTop w:val="0"/>
      <w:marBottom w:val="0"/>
      <w:divBdr>
        <w:top w:val="none" w:sz="0" w:space="0" w:color="auto"/>
        <w:left w:val="none" w:sz="0" w:space="0" w:color="auto"/>
        <w:bottom w:val="none" w:sz="0" w:space="0" w:color="auto"/>
        <w:right w:val="none" w:sz="0" w:space="0" w:color="auto"/>
      </w:divBdr>
    </w:div>
    <w:div w:id="528765983">
      <w:bodyDiv w:val="1"/>
      <w:marLeft w:val="0"/>
      <w:marRight w:val="0"/>
      <w:marTop w:val="0"/>
      <w:marBottom w:val="0"/>
      <w:divBdr>
        <w:top w:val="none" w:sz="0" w:space="0" w:color="auto"/>
        <w:left w:val="none" w:sz="0" w:space="0" w:color="auto"/>
        <w:bottom w:val="none" w:sz="0" w:space="0" w:color="auto"/>
        <w:right w:val="none" w:sz="0" w:space="0" w:color="auto"/>
      </w:divBdr>
    </w:div>
    <w:div w:id="538515712">
      <w:bodyDiv w:val="1"/>
      <w:marLeft w:val="0"/>
      <w:marRight w:val="0"/>
      <w:marTop w:val="0"/>
      <w:marBottom w:val="0"/>
      <w:divBdr>
        <w:top w:val="none" w:sz="0" w:space="0" w:color="auto"/>
        <w:left w:val="none" w:sz="0" w:space="0" w:color="auto"/>
        <w:bottom w:val="none" w:sz="0" w:space="0" w:color="auto"/>
        <w:right w:val="none" w:sz="0" w:space="0" w:color="auto"/>
      </w:divBdr>
    </w:div>
    <w:div w:id="543520011">
      <w:bodyDiv w:val="1"/>
      <w:marLeft w:val="0"/>
      <w:marRight w:val="0"/>
      <w:marTop w:val="0"/>
      <w:marBottom w:val="0"/>
      <w:divBdr>
        <w:top w:val="none" w:sz="0" w:space="0" w:color="auto"/>
        <w:left w:val="none" w:sz="0" w:space="0" w:color="auto"/>
        <w:bottom w:val="none" w:sz="0" w:space="0" w:color="auto"/>
        <w:right w:val="none" w:sz="0" w:space="0" w:color="auto"/>
      </w:divBdr>
    </w:div>
    <w:div w:id="547495904">
      <w:bodyDiv w:val="1"/>
      <w:marLeft w:val="0"/>
      <w:marRight w:val="0"/>
      <w:marTop w:val="0"/>
      <w:marBottom w:val="0"/>
      <w:divBdr>
        <w:top w:val="none" w:sz="0" w:space="0" w:color="auto"/>
        <w:left w:val="none" w:sz="0" w:space="0" w:color="auto"/>
        <w:bottom w:val="none" w:sz="0" w:space="0" w:color="auto"/>
        <w:right w:val="none" w:sz="0" w:space="0" w:color="auto"/>
      </w:divBdr>
    </w:div>
    <w:div w:id="550533633">
      <w:bodyDiv w:val="1"/>
      <w:marLeft w:val="0"/>
      <w:marRight w:val="0"/>
      <w:marTop w:val="0"/>
      <w:marBottom w:val="0"/>
      <w:divBdr>
        <w:top w:val="none" w:sz="0" w:space="0" w:color="auto"/>
        <w:left w:val="none" w:sz="0" w:space="0" w:color="auto"/>
        <w:bottom w:val="none" w:sz="0" w:space="0" w:color="auto"/>
        <w:right w:val="none" w:sz="0" w:space="0" w:color="auto"/>
      </w:divBdr>
    </w:div>
    <w:div w:id="551186991">
      <w:bodyDiv w:val="1"/>
      <w:marLeft w:val="0"/>
      <w:marRight w:val="0"/>
      <w:marTop w:val="0"/>
      <w:marBottom w:val="0"/>
      <w:divBdr>
        <w:top w:val="none" w:sz="0" w:space="0" w:color="auto"/>
        <w:left w:val="none" w:sz="0" w:space="0" w:color="auto"/>
        <w:bottom w:val="none" w:sz="0" w:space="0" w:color="auto"/>
        <w:right w:val="none" w:sz="0" w:space="0" w:color="auto"/>
      </w:divBdr>
    </w:div>
    <w:div w:id="555434259">
      <w:bodyDiv w:val="1"/>
      <w:marLeft w:val="0"/>
      <w:marRight w:val="0"/>
      <w:marTop w:val="0"/>
      <w:marBottom w:val="0"/>
      <w:divBdr>
        <w:top w:val="none" w:sz="0" w:space="0" w:color="auto"/>
        <w:left w:val="none" w:sz="0" w:space="0" w:color="auto"/>
        <w:bottom w:val="none" w:sz="0" w:space="0" w:color="auto"/>
        <w:right w:val="none" w:sz="0" w:space="0" w:color="auto"/>
      </w:divBdr>
    </w:div>
    <w:div w:id="560168019">
      <w:bodyDiv w:val="1"/>
      <w:marLeft w:val="0"/>
      <w:marRight w:val="0"/>
      <w:marTop w:val="0"/>
      <w:marBottom w:val="0"/>
      <w:divBdr>
        <w:top w:val="none" w:sz="0" w:space="0" w:color="auto"/>
        <w:left w:val="none" w:sz="0" w:space="0" w:color="auto"/>
        <w:bottom w:val="none" w:sz="0" w:space="0" w:color="auto"/>
        <w:right w:val="none" w:sz="0" w:space="0" w:color="auto"/>
      </w:divBdr>
    </w:div>
    <w:div w:id="562182813">
      <w:bodyDiv w:val="1"/>
      <w:marLeft w:val="0"/>
      <w:marRight w:val="0"/>
      <w:marTop w:val="0"/>
      <w:marBottom w:val="0"/>
      <w:divBdr>
        <w:top w:val="none" w:sz="0" w:space="0" w:color="auto"/>
        <w:left w:val="none" w:sz="0" w:space="0" w:color="auto"/>
        <w:bottom w:val="none" w:sz="0" w:space="0" w:color="auto"/>
        <w:right w:val="none" w:sz="0" w:space="0" w:color="auto"/>
      </w:divBdr>
    </w:div>
    <w:div w:id="563104235">
      <w:bodyDiv w:val="1"/>
      <w:marLeft w:val="0"/>
      <w:marRight w:val="0"/>
      <w:marTop w:val="0"/>
      <w:marBottom w:val="0"/>
      <w:divBdr>
        <w:top w:val="none" w:sz="0" w:space="0" w:color="auto"/>
        <w:left w:val="none" w:sz="0" w:space="0" w:color="auto"/>
        <w:bottom w:val="none" w:sz="0" w:space="0" w:color="auto"/>
        <w:right w:val="none" w:sz="0" w:space="0" w:color="auto"/>
      </w:divBdr>
    </w:div>
    <w:div w:id="564293266">
      <w:bodyDiv w:val="1"/>
      <w:marLeft w:val="0"/>
      <w:marRight w:val="0"/>
      <w:marTop w:val="0"/>
      <w:marBottom w:val="0"/>
      <w:divBdr>
        <w:top w:val="none" w:sz="0" w:space="0" w:color="auto"/>
        <w:left w:val="none" w:sz="0" w:space="0" w:color="auto"/>
        <w:bottom w:val="none" w:sz="0" w:space="0" w:color="auto"/>
        <w:right w:val="none" w:sz="0" w:space="0" w:color="auto"/>
      </w:divBdr>
    </w:div>
    <w:div w:id="566500515">
      <w:bodyDiv w:val="1"/>
      <w:marLeft w:val="0"/>
      <w:marRight w:val="0"/>
      <w:marTop w:val="0"/>
      <w:marBottom w:val="0"/>
      <w:divBdr>
        <w:top w:val="none" w:sz="0" w:space="0" w:color="auto"/>
        <w:left w:val="none" w:sz="0" w:space="0" w:color="auto"/>
        <w:bottom w:val="none" w:sz="0" w:space="0" w:color="auto"/>
        <w:right w:val="none" w:sz="0" w:space="0" w:color="auto"/>
      </w:divBdr>
    </w:div>
    <w:div w:id="570702562">
      <w:bodyDiv w:val="1"/>
      <w:marLeft w:val="0"/>
      <w:marRight w:val="0"/>
      <w:marTop w:val="0"/>
      <w:marBottom w:val="0"/>
      <w:divBdr>
        <w:top w:val="none" w:sz="0" w:space="0" w:color="auto"/>
        <w:left w:val="none" w:sz="0" w:space="0" w:color="auto"/>
        <w:bottom w:val="none" w:sz="0" w:space="0" w:color="auto"/>
        <w:right w:val="none" w:sz="0" w:space="0" w:color="auto"/>
      </w:divBdr>
    </w:div>
    <w:div w:id="574972261">
      <w:bodyDiv w:val="1"/>
      <w:marLeft w:val="0"/>
      <w:marRight w:val="0"/>
      <w:marTop w:val="0"/>
      <w:marBottom w:val="0"/>
      <w:divBdr>
        <w:top w:val="none" w:sz="0" w:space="0" w:color="auto"/>
        <w:left w:val="none" w:sz="0" w:space="0" w:color="auto"/>
        <w:bottom w:val="none" w:sz="0" w:space="0" w:color="auto"/>
        <w:right w:val="none" w:sz="0" w:space="0" w:color="auto"/>
      </w:divBdr>
    </w:div>
    <w:div w:id="575210656">
      <w:bodyDiv w:val="1"/>
      <w:marLeft w:val="0"/>
      <w:marRight w:val="0"/>
      <w:marTop w:val="0"/>
      <w:marBottom w:val="0"/>
      <w:divBdr>
        <w:top w:val="none" w:sz="0" w:space="0" w:color="auto"/>
        <w:left w:val="none" w:sz="0" w:space="0" w:color="auto"/>
        <w:bottom w:val="none" w:sz="0" w:space="0" w:color="auto"/>
        <w:right w:val="none" w:sz="0" w:space="0" w:color="auto"/>
      </w:divBdr>
    </w:div>
    <w:div w:id="576475470">
      <w:bodyDiv w:val="1"/>
      <w:marLeft w:val="0"/>
      <w:marRight w:val="0"/>
      <w:marTop w:val="0"/>
      <w:marBottom w:val="0"/>
      <w:divBdr>
        <w:top w:val="none" w:sz="0" w:space="0" w:color="auto"/>
        <w:left w:val="none" w:sz="0" w:space="0" w:color="auto"/>
        <w:bottom w:val="none" w:sz="0" w:space="0" w:color="auto"/>
        <w:right w:val="none" w:sz="0" w:space="0" w:color="auto"/>
      </w:divBdr>
    </w:div>
    <w:div w:id="580724762">
      <w:bodyDiv w:val="1"/>
      <w:marLeft w:val="0"/>
      <w:marRight w:val="0"/>
      <w:marTop w:val="0"/>
      <w:marBottom w:val="0"/>
      <w:divBdr>
        <w:top w:val="none" w:sz="0" w:space="0" w:color="auto"/>
        <w:left w:val="none" w:sz="0" w:space="0" w:color="auto"/>
        <w:bottom w:val="none" w:sz="0" w:space="0" w:color="auto"/>
        <w:right w:val="none" w:sz="0" w:space="0" w:color="auto"/>
      </w:divBdr>
    </w:div>
    <w:div w:id="587033168">
      <w:bodyDiv w:val="1"/>
      <w:marLeft w:val="0"/>
      <w:marRight w:val="0"/>
      <w:marTop w:val="0"/>
      <w:marBottom w:val="0"/>
      <w:divBdr>
        <w:top w:val="none" w:sz="0" w:space="0" w:color="auto"/>
        <w:left w:val="none" w:sz="0" w:space="0" w:color="auto"/>
        <w:bottom w:val="none" w:sz="0" w:space="0" w:color="auto"/>
        <w:right w:val="none" w:sz="0" w:space="0" w:color="auto"/>
      </w:divBdr>
    </w:div>
    <w:div w:id="588198704">
      <w:bodyDiv w:val="1"/>
      <w:marLeft w:val="0"/>
      <w:marRight w:val="0"/>
      <w:marTop w:val="0"/>
      <w:marBottom w:val="0"/>
      <w:divBdr>
        <w:top w:val="none" w:sz="0" w:space="0" w:color="auto"/>
        <w:left w:val="none" w:sz="0" w:space="0" w:color="auto"/>
        <w:bottom w:val="none" w:sz="0" w:space="0" w:color="auto"/>
        <w:right w:val="none" w:sz="0" w:space="0" w:color="auto"/>
      </w:divBdr>
    </w:div>
    <w:div w:id="590045056">
      <w:bodyDiv w:val="1"/>
      <w:marLeft w:val="0"/>
      <w:marRight w:val="0"/>
      <w:marTop w:val="0"/>
      <w:marBottom w:val="0"/>
      <w:divBdr>
        <w:top w:val="none" w:sz="0" w:space="0" w:color="auto"/>
        <w:left w:val="none" w:sz="0" w:space="0" w:color="auto"/>
        <w:bottom w:val="none" w:sz="0" w:space="0" w:color="auto"/>
        <w:right w:val="none" w:sz="0" w:space="0" w:color="auto"/>
      </w:divBdr>
    </w:div>
    <w:div w:id="595215816">
      <w:bodyDiv w:val="1"/>
      <w:marLeft w:val="0"/>
      <w:marRight w:val="0"/>
      <w:marTop w:val="0"/>
      <w:marBottom w:val="0"/>
      <w:divBdr>
        <w:top w:val="none" w:sz="0" w:space="0" w:color="auto"/>
        <w:left w:val="none" w:sz="0" w:space="0" w:color="auto"/>
        <w:bottom w:val="none" w:sz="0" w:space="0" w:color="auto"/>
        <w:right w:val="none" w:sz="0" w:space="0" w:color="auto"/>
      </w:divBdr>
    </w:div>
    <w:div w:id="604192064">
      <w:bodyDiv w:val="1"/>
      <w:marLeft w:val="0"/>
      <w:marRight w:val="0"/>
      <w:marTop w:val="0"/>
      <w:marBottom w:val="0"/>
      <w:divBdr>
        <w:top w:val="none" w:sz="0" w:space="0" w:color="auto"/>
        <w:left w:val="none" w:sz="0" w:space="0" w:color="auto"/>
        <w:bottom w:val="none" w:sz="0" w:space="0" w:color="auto"/>
        <w:right w:val="none" w:sz="0" w:space="0" w:color="auto"/>
      </w:divBdr>
    </w:div>
    <w:div w:id="604577971">
      <w:bodyDiv w:val="1"/>
      <w:marLeft w:val="0"/>
      <w:marRight w:val="0"/>
      <w:marTop w:val="0"/>
      <w:marBottom w:val="0"/>
      <w:divBdr>
        <w:top w:val="none" w:sz="0" w:space="0" w:color="auto"/>
        <w:left w:val="none" w:sz="0" w:space="0" w:color="auto"/>
        <w:bottom w:val="none" w:sz="0" w:space="0" w:color="auto"/>
        <w:right w:val="none" w:sz="0" w:space="0" w:color="auto"/>
      </w:divBdr>
    </w:div>
    <w:div w:id="606540499">
      <w:bodyDiv w:val="1"/>
      <w:marLeft w:val="0"/>
      <w:marRight w:val="0"/>
      <w:marTop w:val="0"/>
      <w:marBottom w:val="0"/>
      <w:divBdr>
        <w:top w:val="none" w:sz="0" w:space="0" w:color="auto"/>
        <w:left w:val="none" w:sz="0" w:space="0" w:color="auto"/>
        <w:bottom w:val="none" w:sz="0" w:space="0" w:color="auto"/>
        <w:right w:val="none" w:sz="0" w:space="0" w:color="auto"/>
      </w:divBdr>
    </w:div>
    <w:div w:id="607196554">
      <w:bodyDiv w:val="1"/>
      <w:marLeft w:val="0"/>
      <w:marRight w:val="0"/>
      <w:marTop w:val="0"/>
      <w:marBottom w:val="0"/>
      <w:divBdr>
        <w:top w:val="none" w:sz="0" w:space="0" w:color="auto"/>
        <w:left w:val="none" w:sz="0" w:space="0" w:color="auto"/>
        <w:bottom w:val="none" w:sz="0" w:space="0" w:color="auto"/>
        <w:right w:val="none" w:sz="0" w:space="0" w:color="auto"/>
      </w:divBdr>
    </w:div>
    <w:div w:id="608389989">
      <w:bodyDiv w:val="1"/>
      <w:marLeft w:val="0"/>
      <w:marRight w:val="0"/>
      <w:marTop w:val="0"/>
      <w:marBottom w:val="0"/>
      <w:divBdr>
        <w:top w:val="none" w:sz="0" w:space="0" w:color="auto"/>
        <w:left w:val="none" w:sz="0" w:space="0" w:color="auto"/>
        <w:bottom w:val="none" w:sz="0" w:space="0" w:color="auto"/>
        <w:right w:val="none" w:sz="0" w:space="0" w:color="auto"/>
      </w:divBdr>
    </w:div>
    <w:div w:id="611135781">
      <w:bodyDiv w:val="1"/>
      <w:marLeft w:val="0"/>
      <w:marRight w:val="0"/>
      <w:marTop w:val="0"/>
      <w:marBottom w:val="0"/>
      <w:divBdr>
        <w:top w:val="none" w:sz="0" w:space="0" w:color="auto"/>
        <w:left w:val="none" w:sz="0" w:space="0" w:color="auto"/>
        <w:bottom w:val="none" w:sz="0" w:space="0" w:color="auto"/>
        <w:right w:val="none" w:sz="0" w:space="0" w:color="auto"/>
      </w:divBdr>
    </w:div>
    <w:div w:id="611278853">
      <w:bodyDiv w:val="1"/>
      <w:marLeft w:val="0"/>
      <w:marRight w:val="0"/>
      <w:marTop w:val="0"/>
      <w:marBottom w:val="0"/>
      <w:divBdr>
        <w:top w:val="none" w:sz="0" w:space="0" w:color="auto"/>
        <w:left w:val="none" w:sz="0" w:space="0" w:color="auto"/>
        <w:bottom w:val="none" w:sz="0" w:space="0" w:color="auto"/>
        <w:right w:val="none" w:sz="0" w:space="0" w:color="auto"/>
      </w:divBdr>
    </w:div>
    <w:div w:id="612636904">
      <w:bodyDiv w:val="1"/>
      <w:marLeft w:val="0"/>
      <w:marRight w:val="0"/>
      <w:marTop w:val="0"/>
      <w:marBottom w:val="0"/>
      <w:divBdr>
        <w:top w:val="none" w:sz="0" w:space="0" w:color="auto"/>
        <w:left w:val="none" w:sz="0" w:space="0" w:color="auto"/>
        <w:bottom w:val="none" w:sz="0" w:space="0" w:color="auto"/>
        <w:right w:val="none" w:sz="0" w:space="0" w:color="auto"/>
      </w:divBdr>
    </w:div>
    <w:div w:id="613948112">
      <w:bodyDiv w:val="1"/>
      <w:marLeft w:val="0"/>
      <w:marRight w:val="0"/>
      <w:marTop w:val="0"/>
      <w:marBottom w:val="0"/>
      <w:divBdr>
        <w:top w:val="none" w:sz="0" w:space="0" w:color="auto"/>
        <w:left w:val="none" w:sz="0" w:space="0" w:color="auto"/>
        <w:bottom w:val="none" w:sz="0" w:space="0" w:color="auto"/>
        <w:right w:val="none" w:sz="0" w:space="0" w:color="auto"/>
      </w:divBdr>
    </w:div>
    <w:div w:id="614363721">
      <w:bodyDiv w:val="1"/>
      <w:marLeft w:val="0"/>
      <w:marRight w:val="0"/>
      <w:marTop w:val="0"/>
      <w:marBottom w:val="0"/>
      <w:divBdr>
        <w:top w:val="none" w:sz="0" w:space="0" w:color="auto"/>
        <w:left w:val="none" w:sz="0" w:space="0" w:color="auto"/>
        <w:bottom w:val="none" w:sz="0" w:space="0" w:color="auto"/>
        <w:right w:val="none" w:sz="0" w:space="0" w:color="auto"/>
      </w:divBdr>
    </w:div>
    <w:div w:id="618612582">
      <w:bodyDiv w:val="1"/>
      <w:marLeft w:val="0"/>
      <w:marRight w:val="0"/>
      <w:marTop w:val="0"/>
      <w:marBottom w:val="0"/>
      <w:divBdr>
        <w:top w:val="none" w:sz="0" w:space="0" w:color="auto"/>
        <w:left w:val="none" w:sz="0" w:space="0" w:color="auto"/>
        <w:bottom w:val="none" w:sz="0" w:space="0" w:color="auto"/>
        <w:right w:val="none" w:sz="0" w:space="0" w:color="auto"/>
      </w:divBdr>
    </w:div>
    <w:div w:id="620112037">
      <w:bodyDiv w:val="1"/>
      <w:marLeft w:val="0"/>
      <w:marRight w:val="0"/>
      <w:marTop w:val="0"/>
      <w:marBottom w:val="0"/>
      <w:divBdr>
        <w:top w:val="none" w:sz="0" w:space="0" w:color="auto"/>
        <w:left w:val="none" w:sz="0" w:space="0" w:color="auto"/>
        <w:bottom w:val="none" w:sz="0" w:space="0" w:color="auto"/>
        <w:right w:val="none" w:sz="0" w:space="0" w:color="auto"/>
      </w:divBdr>
    </w:div>
    <w:div w:id="624895095">
      <w:bodyDiv w:val="1"/>
      <w:marLeft w:val="0"/>
      <w:marRight w:val="0"/>
      <w:marTop w:val="0"/>
      <w:marBottom w:val="0"/>
      <w:divBdr>
        <w:top w:val="none" w:sz="0" w:space="0" w:color="auto"/>
        <w:left w:val="none" w:sz="0" w:space="0" w:color="auto"/>
        <w:bottom w:val="none" w:sz="0" w:space="0" w:color="auto"/>
        <w:right w:val="none" w:sz="0" w:space="0" w:color="auto"/>
      </w:divBdr>
    </w:div>
    <w:div w:id="627510666">
      <w:bodyDiv w:val="1"/>
      <w:marLeft w:val="0"/>
      <w:marRight w:val="0"/>
      <w:marTop w:val="0"/>
      <w:marBottom w:val="0"/>
      <w:divBdr>
        <w:top w:val="none" w:sz="0" w:space="0" w:color="auto"/>
        <w:left w:val="none" w:sz="0" w:space="0" w:color="auto"/>
        <w:bottom w:val="none" w:sz="0" w:space="0" w:color="auto"/>
        <w:right w:val="none" w:sz="0" w:space="0" w:color="auto"/>
      </w:divBdr>
    </w:div>
    <w:div w:id="634264685">
      <w:bodyDiv w:val="1"/>
      <w:marLeft w:val="0"/>
      <w:marRight w:val="0"/>
      <w:marTop w:val="0"/>
      <w:marBottom w:val="0"/>
      <w:divBdr>
        <w:top w:val="none" w:sz="0" w:space="0" w:color="auto"/>
        <w:left w:val="none" w:sz="0" w:space="0" w:color="auto"/>
        <w:bottom w:val="none" w:sz="0" w:space="0" w:color="auto"/>
        <w:right w:val="none" w:sz="0" w:space="0" w:color="auto"/>
      </w:divBdr>
    </w:div>
    <w:div w:id="635378157">
      <w:bodyDiv w:val="1"/>
      <w:marLeft w:val="0"/>
      <w:marRight w:val="0"/>
      <w:marTop w:val="0"/>
      <w:marBottom w:val="0"/>
      <w:divBdr>
        <w:top w:val="none" w:sz="0" w:space="0" w:color="auto"/>
        <w:left w:val="none" w:sz="0" w:space="0" w:color="auto"/>
        <w:bottom w:val="none" w:sz="0" w:space="0" w:color="auto"/>
        <w:right w:val="none" w:sz="0" w:space="0" w:color="auto"/>
      </w:divBdr>
    </w:div>
    <w:div w:id="635910455">
      <w:bodyDiv w:val="1"/>
      <w:marLeft w:val="0"/>
      <w:marRight w:val="0"/>
      <w:marTop w:val="0"/>
      <w:marBottom w:val="0"/>
      <w:divBdr>
        <w:top w:val="none" w:sz="0" w:space="0" w:color="auto"/>
        <w:left w:val="none" w:sz="0" w:space="0" w:color="auto"/>
        <w:bottom w:val="none" w:sz="0" w:space="0" w:color="auto"/>
        <w:right w:val="none" w:sz="0" w:space="0" w:color="auto"/>
      </w:divBdr>
    </w:div>
    <w:div w:id="637297877">
      <w:bodyDiv w:val="1"/>
      <w:marLeft w:val="0"/>
      <w:marRight w:val="0"/>
      <w:marTop w:val="0"/>
      <w:marBottom w:val="0"/>
      <w:divBdr>
        <w:top w:val="none" w:sz="0" w:space="0" w:color="auto"/>
        <w:left w:val="none" w:sz="0" w:space="0" w:color="auto"/>
        <w:bottom w:val="none" w:sz="0" w:space="0" w:color="auto"/>
        <w:right w:val="none" w:sz="0" w:space="0" w:color="auto"/>
      </w:divBdr>
    </w:div>
    <w:div w:id="638075481">
      <w:bodyDiv w:val="1"/>
      <w:marLeft w:val="0"/>
      <w:marRight w:val="0"/>
      <w:marTop w:val="0"/>
      <w:marBottom w:val="0"/>
      <w:divBdr>
        <w:top w:val="none" w:sz="0" w:space="0" w:color="auto"/>
        <w:left w:val="none" w:sz="0" w:space="0" w:color="auto"/>
        <w:bottom w:val="none" w:sz="0" w:space="0" w:color="auto"/>
        <w:right w:val="none" w:sz="0" w:space="0" w:color="auto"/>
      </w:divBdr>
    </w:div>
    <w:div w:id="643778544">
      <w:bodyDiv w:val="1"/>
      <w:marLeft w:val="0"/>
      <w:marRight w:val="0"/>
      <w:marTop w:val="0"/>
      <w:marBottom w:val="0"/>
      <w:divBdr>
        <w:top w:val="none" w:sz="0" w:space="0" w:color="auto"/>
        <w:left w:val="none" w:sz="0" w:space="0" w:color="auto"/>
        <w:bottom w:val="none" w:sz="0" w:space="0" w:color="auto"/>
        <w:right w:val="none" w:sz="0" w:space="0" w:color="auto"/>
      </w:divBdr>
    </w:div>
    <w:div w:id="645007940">
      <w:bodyDiv w:val="1"/>
      <w:marLeft w:val="0"/>
      <w:marRight w:val="0"/>
      <w:marTop w:val="0"/>
      <w:marBottom w:val="0"/>
      <w:divBdr>
        <w:top w:val="none" w:sz="0" w:space="0" w:color="auto"/>
        <w:left w:val="none" w:sz="0" w:space="0" w:color="auto"/>
        <w:bottom w:val="none" w:sz="0" w:space="0" w:color="auto"/>
        <w:right w:val="none" w:sz="0" w:space="0" w:color="auto"/>
      </w:divBdr>
    </w:div>
    <w:div w:id="650137553">
      <w:bodyDiv w:val="1"/>
      <w:marLeft w:val="0"/>
      <w:marRight w:val="0"/>
      <w:marTop w:val="0"/>
      <w:marBottom w:val="0"/>
      <w:divBdr>
        <w:top w:val="none" w:sz="0" w:space="0" w:color="auto"/>
        <w:left w:val="none" w:sz="0" w:space="0" w:color="auto"/>
        <w:bottom w:val="none" w:sz="0" w:space="0" w:color="auto"/>
        <w:right w:val="none" w:sz="0" w:space="0" w:color="auto"/>
      </w:divBdr>
    </w:div>
    <w:div w:id="655576127">
      <w:bodyDiv w:val="1"/>
      <w:marLeft w:val="0"/>
      <w:marRight w:val="0"/>
      <w:marTop w:val="0"/>
      <w:marBottom w:val="0"/>
      <w:divBdr>
        <w:top w:val="none" w:sz="0" w:space="0" w:color="auto"/>
        <w:left w:val="none" w:sz="0" w:space="0" w:color="auto"/>
        <w:bottom w:val="none" w:sz="0" w:space="0" w:color="auto"/>
        <w:right w:val="none" w:sz="0" w:space="0" w:color="auto"/>
      </w:divBdr>
    </w:div>
    <w:div w:id="657998802">
      <w:bodyDiv w:val="1"/>
      <w:marLeft w:val="0"/>
      <w:marRight w:val="0"/>
      <w:marTop w:val="0"/>
      <w:marBottom w:val="0"/>
      <w:divBdr>
        <w:top w:val="none" w:sz="0" w:space="0" w:color="auto"/>
        <w:left w:val="none" w:sz="0" w:space="0" w:color="auto"/>
        <w:bottom w:val="none" w:sz="0" w:space="0" w:color="auto"/>
        <w:right w:val="none" w:sz="0" w:space="0" w:color="auto"/>
      </w:divBdr>
    </w:div>
    <w:div w:id="676469998">
      <w:bodyDiv w:val="1"/>
      <w:marLeft w:val="0"/>
      <w:marRight w:val="0"/>
      <w:marTop w:val="0"/>
      <w:marBottom w:val="0"/>
      <w:divBdr>
        <w:top w:val="none" w:sz="0" w:space="0" w:color="auto"/>
        <w:left w:val="none" w:sz="0" w:space="0" w:color="auto"/>
        <w:bottom w:val="none" w:sz="0" w:space="0" w:color="auto"/>
        <w:right w:val="none" w:sz="0" w:space="0" w:color="auto"/>
      </w:divBdr>
    </w:div>
    <w:div w:id="689988642">
      <w:bodyDiv w:val="1"/>
      <w:marLeft w:val="0"/>
      <w:marRight w:val="0"/>
      <w:marTop w:val="0"/>
      <w:marBottom w:val="0"/>
      <w:divBdr>
        <w:top w:val="none" w:sz="0" w:space="0" w:color="auto"/>
        <w:left w:val="none" w:sz="0" w:space="0" w:color="auto"/>
        <w:bottom w:val="none" w:sz="0" w:space="0" w:color="auto"/>
        <w:right w:val="none" w:sz="0" w:space="0" w:color="auto"/>
      </w:divBdr>
    </w:div>
    <w:div w:id="698044327">
      <w:bodyDiv w:val="1"/>
      <w:marLeft w:val="0"/>
      <w:marRight w:val="0"/>
      <w:marTop w:val="0"/>
      <w:marBottom w:val="0"/>
      <w:divBdr>
        <w:top w:val="none" w:sz="0" w:space="0" w:color="auto"/>
        <w:left w:val="none" w:sz="0" w:space="0" w:color="auto"/>
        <w:bottom w:val="none" w:sz="0" w:space="0" w:color="auto"/>
        <w:right w:val="none" w:sz="0" w:space="0" w:color="auto"/>
      </w:divBdr>
    </w:div>
    <w:div w:id="699164218">
      <w:bodyDiv w:val="1"/>
      <w:marLeft w:val="0"/>
      <w:marRight w:val="0"/>
      <w:marTop w:val="0"/>
      <w:marBottom w:val="0"/>
      <w:divBdr>
        <w:top w:val="none" w:sz="0" w:space="0" w:color="auto"/>
        <w:left w:val="none" w:sz="0" w:space="0" w:color="auto"/>
        <w:bottom w:val="none" w:sz="0" w:space="0" w:color="auto"/>
        <w:right w:val="none" w:sz="0" w:space="0" w:color="auto"/>
      </w:divBdr>
    </w:div>
    <w:div w:id="699478438">
      <w:bodyDiv w:val="1"/>
      <w:marLeft w:val="0"/>
      <w:marRight w:val="0"/>
      <w:marTop w:val="0"/>
      <w:marBottom w:val="0"/>
      <w:divBdr>
        <w:top w:val="none" w:sz="0" w:space="0" w:color="auto"/>
        <w:left w:val="none" w:sz="0" w:space="0" w:color="auto"/>
        <w:bottom w:val="none" w:sz="0" w:space="0" w:color="auto"/>
        <w:right w:val="none" w:sz="0" w:space="0" w:color="auto"/>
      </w:divBdr>
    </w:div>
    <w:div w:id="709694480">
      <w:bodyDiv w:val="1"/>
      <w:marLeft w:val="0"/>
      <w:marRight w:val="0"/>
      <w:marTop w:val="0"/>
      <w:marBottom w:val="0"/>
      <w:divBdr>
        <w:top w:val="none" w:sz="0" w:space="0" w:color="auto"/>
        <w:left w:val="none" w:sz="0" w:space="0" w:color="auto"/>
        <w:bottom w:val="none" w:sz="0" w:space="0" w:color="auto"/>
        <w:right w:val="none" w:sz="0" w:space="0" w:color="auto"/>
      </w:divBdr>
    </w:div>
    <w:div w:id="716785700">
      <w:bodyDiv w:val="1"/>
      <w:marLeft w:val="0"/>
      <w:marRight w:val="0"/>
      <w:marTop w:val="0"/>
      <w:marBottom w:val="0"/>
      <w:divBdr>
        <w:top w:val="none" w:sz="0" w:space="0" w:color="auto"/>
        <w:left w:val="none" w:sz="0" w:space="0" w:color="auto"/>
        <w:bottom w:val="none" w:sz="0" w:space="0" w:color="auto"/>
        <w:right w:val="none" w:sz="0" w:space="0" w:color="auto"/>
      </w:divBdr>
    </w:div>
    <w:div w:id="718674548">
      <w:bodyDiv w:val="1"/>
      <w:marLeft w:val="0"/>
      <w:marRight w:val="0"/>
      <w:marTop w:val="0"/>
      <w:marBottom w:val="0"/>
      <w:divBdr>
        <w:top w:val="none" w:sz="0" w:space="0" w:color="auto"/>
        <w:left w:val="none" w:sz="0" w:space="0" w:color="auto"/>
        <w:bottom w:val="none" w:sz="0" w:space="0" w:color="auto"/>
        <w:right w:val="none" w:sz="0" w:space="0" w:color="auto"/>
      </w:divBdr>
    </w:div>
    <w:div w:id="733430357">
      <w:bodyDiv w:val="1"/>
      <w:marLeft w:val="0"/>
      <w:marRight w:val="0"/>
      <w:marTop w:val="0"/>
      <w:marBottom w:val="0"/>
      <w:divBdr>
        <w:top w:val="none" w:sz="0" w:space="0" w:color="auto"/>
        <w:left w:val="none" w:sz="0" w:space="0" w:color="auto"/>
        <w:bottom w:val="none" w:sz="0" w:space="0" w:color="auto"/>
        <w:right w:val="none" w:sz="0" w:space="0" w:color="auto"/>
      </w:divBdr>
    </w:div>
    <w:div w:id="733432423">
      <w:bodyDiv w:val="1"/>
      <w:marLeft w:val="0"/>
      <w:marRight w:val="0"/>
      <w:marTop w:val="0"/>
      <w:marBottom w:val="0"/>
      <w:divBdr>
        <w:top w:val="none" w:sz="0" w:space="0" w:color="auto"/>
        <w:left w:val="none" w:sz="0" w:space="0" w:color="auto"/>
        <w:bottom w:val="none" w:sz="0" w:space="0" w:color="auto"/>
        <w:right w:val="none" w:sz="0" w:space="0" w:color="auto"/>
      </w:divBdr>
    </w:div>
    <w:div w:id="736169524">
      <w:bodyDiv w:val="1"/>
      <w:marLeft w:val="0"/>
      <w:marRight w:val="0"/>
      <w:marTop w:val="0"/>
      <w:marBottom w:val="0"/>
      <w:divBdr>
        <w:top w:val="none" w:sz="0" w:space="0" w:color="auto"/>
        <w:left w:val="none" w:sz="0" w:space="0" w:color="auto"/>
        <w:bottom w:val="none" w:sz="0" w:space="0" w:color="auto"/>
        <w:right w:val="none" w:sz="0" w:space="0" w:color="auto"/>
      </w:divBdr>
    </w:div>
    <w:div w:id="736972867">
      <w:bodyDiv w:val="1"/>
      <w:marLeft w:val="0"/>
      <w:marRight w:val="0"/>
      <w:marTop w:val="0"/>
      <w:marBottom w:val="0"/>
      <w:divBdr>
        <w:top w:val="none" w:sz="0" w:space="0" w:color="auto"/>
        <w:left w:val="none" w:sz="0" w:space="0" w:color="auto"/>
        <w:bottom w:val="none" w:sz="0" w:space="0" w:color="auto"/>
        <w:right w:val="none" w:sz="0" w:space="0" w:color="auto"/>
      </w:divBdr>
    </w:div>
    <w:div w:id="740298806">
      <w:bodyDiv w:val="1"/>
      <w:marLeft w:val="0"/>
      <w:marRight w:val="0"/>
      <w:marTop w:val="0"/>
      <w:marBottom w:val="0"/>
      <w:divBdr>
        <w:top w:val="none" w:sz="0" w:space="0" w:color="auto"/>
        <w:left w:val="none" w:sz="0" w:space="0" w:color="auto"/>
        <w:bottom w:val="none" w:sz="0" w:space="0" w:color="auto"/>
        <w:right w:val="none" w:sz="0" w:space="0" w:color="auto"/>
      </w:divBdr>
    </w:div>
    <w:div w:id="741563512">
      <w:bodyDiv w:val="1"/>
      <w:marLeft w:val="0"/>
      <w:marRight w:val="0"/>
      <w:marTop w:val="0"/>
      <w:marBottom w:val="0"/>
      <w:divBdr>
        <w:top w:val="none" w:sz="0" w:space="0" w:color="auto"/>
        <w:left w:val="none" w:sz="0" w:space="0" w:color="auto"/>
        <w:bottom w:val="none" w:sz="0" w:space="0" w:color="auto"/>
        <w:right w:val="none" w:sz="0" w:space="0" w:color="auto"/>
      </w:divBdr>
    </w:div>
    <w:div w:id="745103860">
      <w:bodyDiv w:val="1"/>
      <w:marLeft w:val="0"/>
      <w:marRight w:val="0"/>
      <w:marTop w:val="0"/>
      <w:marBottom w:val="0"/>
      <w:divBdr>
        <w:top w:val="none" w:sz="0" w:space="0" w:color="auto"/>
        <w:left w:val="none" w:sz="0" w:space="0" w:color="auto"/>
        <w:bottom w:val="none" w:sz="0" w:space="0" w:color="auto"/>
        <w:right w:val="none" w:sz="0" w:space="0" w:color="auto"/>
      </w:divBdr>
    </w:div>
    <w:div w:id="747577254">
      <w:bodyDiv w:val="1"/>
      <w:marLeft w:val="0"/>
      <w:marRight w:val="0"/>
      <w:marTop w:val="0"/>
      <w:marBottom w:val="0"/>
      <w:divBdr>
        <w:top w:val="none" w:sz="0" w:space="0" w:color="auto"/>
        <w:left w:val="none" w:sz="0" w:space="0" w:color="auto"/>
        <w:bottom w:val="none" w:sz="0" w:space="0" w:color="auto"/>
        <w:right w:val="none" w:sz="0" w:space="0" w:color="auto"/>
      </w:divBdr>
    </w:div>
    <w:div w:id="758647407">
      <w:bodyDiv w:val="1"/>
      <w:marLeft w:val="0"/>
      <w:marRight w:val="0"/>
      <w:marTop w:val="0"/>
      <w:marBottom w:val="0"/>
      <w:divBdr>
        <w:top w:val="none" w:sz="0" w:space="0" w:color="auto"/>
        <w:left w:val="none" w:sz="0" w:space="0" w:color="auto"/>
        <w:bottom w:val="none" w:sz="0" w:space="0" w:color="auto"/>
        <w:right w:val="none" w:sz="0" w:space="0" w:color="auto"/>
      </w:divBdr>
    </w:div>
    <w:div w:id="762381592">
      <w:bodyDiv w:val="1"/>
      <w:marLeft w:val="0"/>
      <w:marRight w:val="0"/>
      <w:marTop w:val="0"/>
      <w:marBottom w:val="0"/>
      <w:divBdr>
        <w:top w:val="none" w:sz="0" w:space="0" w:color="auto"/>
        <w:left w:val="none" w:sz="0" w:space="0" w:color="auto"/>
        <w:bottom w:val="none" w:sz="0" w:space="0" w:color="auto"/>
        <w:right w:val="none" w:sz="0" w:space="0" w:color="auto"/>
      </w:divBdr>
    </w:div>
    <w:div w:id="771901907">
      <w:bodyDiv w:val="1"/>
      <w:marLeft w:val="0"/>
      <w:marRight w:val="0"/>
      <w:marTop w:val="0"/>
      <w:marBottom w:val="0"/>
      <w:divBdr>
        <w:top w:val="none" w:sz="0" w:space="0" w:color="auto"/>
        <w:left w:val="none" w:sz="0" w:space="0" w:color="auto"/>
        <w:bottom w:val="none" w:sz="0" w:space="0" w:color="auto"/>
        <w:right w:val="none" w:sz="0" w:space="0" w:color="auto"/>
      </w:divBdr>
    </w:div>
    <w:div w:id="772092395">
      <w:bodyDiv w:val="1"/>
      <w:marLeft w:val="0"/>
      <w:marRight w:val="0"/>
      <w:marTop w:val="0"/>
      <w:marBottom w:val="0"/>
      <w:divBdr>
        <w:top w:val="none" w:sz="0" w:space="0" w:color="auto"/>
        <w:left w:val="none" w:sz="0" w:space="0" w:color="auto"/>
        <w:bottom w:val="none" w:sz="0" w:space="0" w:color="auto"/>
        <w:right w:val="none" w:sz="0" w:space="0" w:color="auto"/>
      </w:divBdr>
    </w:div>
    <w:div w:id="773087095">
      <w:bodyDiv w:val="1"/>
      <w:marLeft w:val="0"/>
      <w:marRight w:val="0"/>
      <w:marTop w:val="0"/>
      <w:marBottom w:val="0"/>
      <w:divBdr>
        <w:top w:val="none" w:sz="0" w:space="0" w:color="auto"/>
        <w:left w:val="none" w:sz="0" w:space="0" w:color="auto"/>
        <w:bottom w:val="none" w:sz="0" w:space="0" w:color="auto"/>
        <w:right w:val="none" w:sz="0" w:space="0" w:color="auto"/>
      </w:divBdr>
    </w:div>
    <w:div w:id="777068762">
      <w:bodyDiv w:val="1"/>
      <w:marLeft w:val="0"/>
      <w:marRight w:val="0"/>
      <w:marTop w:val="0"/>
      <w:marBottom w:val="0"/>
      <w:divBdr>
        <w:top w:val="none" w:sz="0" w:space="0" w:color="auto"/>
        <w:left w:val="none" w:sz="0" w:space="0" w:color="auto"/>
        <w:bottom w:val="none" w:sz="0" w:space="0" w:color="auto"/>
        <w:right w:val="none" w:sz="0" w:space="0" w:color="auto"/>
      </w:divBdr>
    </w:div>
    <w:div w:id="778721407">
      <w:bodyDiv w:val="1"/>
      <w:marLeft w:val="0"/>
      <w:marRight w:val="0"/>
      <w:marTop w:val="0"/>
      <w:marBottom w:val="0"/>
      <w:divBdr>
        <w:top w:val="none" w:sz="0" w:space="0" w:color="auto"/>
        <w:left w:val="none" w:sz="0" w:space="0" w:color="auto"/>
        <w:bottom w:val="none" w:sz="0" w:space="0" w:color="auto"/>
        <w:right w:val="none" w:sz="0" w:space="0" w:color="auto"/>
      </w:divBdr>
    </w:div>
    <w:div w:id="782455521">
      <w:bodyDiv w:val="1"/>
      <w:marLeft w:val="0"/>
      <w:marRight w:val="0"/>
      <w:marTop w:val="0"/>
      <w:marBottom w:val="0"/>
      <w:divBdr>
        <w:top w:val="none" w:sz="0" w:space="0" w:color="auto"/>
        <w:left w:val="none" w:sz="0" w:space="0" w:color="auto"/>
        <w:bottom w:val="none" w:sz="0" w:space="0" w:color="auto"/>
        <w:right w:val="none" w:sz="0" w:space="0" w:color="auto"/>
      </w:divBdr>
    </w:div>
    <w:div w:id="786242191">
      <w:bodyDiv w:val="1"/>
      <w:marLeft w:val="0"/>
      <w:marRight w:val="0"/>
      <w:marTop w:val="0"/>
      <w:marBottom w:val="0"/>
      <w:divBdr>
        <w:top w:val="none" w:sz="0" w:space="0" w:color="auto"/>
        <w:left w:val="none" w:sz="0" w:space="0" w:color="auto"/>
        <w:bottom w:val="none" w:sz="0" w:space="0" w:color="auto"/>
        <w:right w:val="none" w:sz="0" w:space="0" w:color="auto"/>
      </w:divBdr>
    </w:div>
    <w:div w:id="790131481">
      <w:bodyDiv w:val="1"/>
      <w:marLeft w:val="0"/>
      <w:marRight w:val="0"/>
      <w:marTop w:val="0"/>
      <w:marBottom w:val="0"/>
      <w:divBdr>
        <w:top w:val="none" w:sz="0" w:space="0" w:color="auto"/>
        <w:left w:val="none" w:sz="0" w:space="0" w:color="auto"/>
        <w:bottom w:val="none" w:sz="0" w:space="0" w:color="auto"/>
        <w:right w:val="none" w:sz="0" w:space="0" w:color="auto"/>
      </w:divBdr>
    </w:div>
    <w:div w:id="791246326">
      <w:bodyDiv w:val="1"/>
      <w:marLeft w:val="0"/>
      <w:marRight w:val="0"/>
      <w:marTop w:val="0"/>
      <w:marBottom w:val="0"/>
      <w:divBdr>
        <w:top w:val="none" w:sz="0" w:space="0" w:color="auto"/>
        <w:left w:val="none" w:sz="0" w:space="0" w:color="auto"/>
        <w:bottom w:val="none" w:sz="0" w:space="0" w:color="auto"/>
        <w:right w:val="none" w:sz="0" w:space="0" w:color="auto"/>
      </w:divBdr>
    </w:div>
    <w:div w:id="792866892">
      <w:bodyDiv w:val="1"/>
      <w:marLeft w:val="0"/>
      <w:marRight w:val="0"/>
      <w:marTop w:val="0"/>
      <w:marBottom w:val="0"/>
      <w:divBdr>
        <w:top w:val="none" w:sz="0" w:space="0" w:color="auto"/>
        <w:left w:val="none" w:sz="0" w:space="0" w:color="auto"/>
        <w:bottom w:val="none" w:sz="0" w:space="0" w:color="auto"/>
        <w:right w:val="none" w:sz="0" w:space="0" w:color="auto"/>
      </w:divBdr>
    </w:div>
    <w:div w:id="798688678">
      <w:bodyDiv w:val="1"/>
      <w:marLeft w:val="0"/>
      <w:marRight w:val="0"/>
      <w:marTop w:val="0"/>
      <w:marBottom w:val="0"/>
      <w:divBdr>
        <w:top w:val="none" w:sz="0" w:space="0" w:color="auto"/>
        <w:left w:val="none" w:sz="0" w:space="0" w:color="auto"/>
        <w:bottom w:val="none" w:sz="0" w:space="0" w:color="auto"/>
        <w:right w:val="none" w:sz="0" w:space="0" w:color="auto"/>
      </w:divBdr>
    </w:div>
    <w:div w:id="801850872">
      <w:bodyDiv w:val="1"/>
      <w:marLeft w:val="0"/>
      <w:marRight w:val="0"/>
      <w:marTop w:val="0"/>
      <w:marBottom w:val="0"/>
      <w:divBdr>
        <w:top w:val="none" w:sz="0" w:space="0" w:color="auto"/>
        <w:left w:val="none" w:sz="0" w:space="0" w:color="auto"/>
        <w:bottom w:val="none" w:sz="0" w:space="0" w:color="auto"/>
        <w:right w:val="none" w:sz="0" w:space="0" w:color="auto"/>
      </w:divBdr>
    </w:div>
    <w:div w:id="802305444">
      <w:bodyDiv w:val="1"/>
      <w:marLeft w:val="0"/>
      <w:marRight w:val="0"/>
      <w:marTop w:val="0"/>
      <w:marBottom w:val="0"/>
      <w:divBdr>
        <w:top w:val="none" w:sz="0" w:space="0" w:color="auto"/>
        <w:left w:val="none" w:sz="0" w:space="0" w:color="auto"/>
        <w:bottom w:val="none" w:sz="0" w:space="0" w:color="auto"/>
        <w:right w:val="none" w:sz="0" w:space="0" w:color="auto"/>
      </w:divBdr>
    </w:div>
    <w:div w:id="804355345">
      <w:bodyDiv w:val="1"/>
      <w:marLeft w:val="0"/>
      <w:marRight w:val="0"/>
      <w:marTop w:val="0"/>
      <w:marBottom w:val="0"/>
      <w:divBdr>
        <w:top w:val="none" w:sz="0" w:space="0" w:color="auto"/>
        <w:left w:val="none" w:sz="0" w:space="0" w:color="auto"/>
        <w:bottom w:val="none" w:sz="0" w:space="0" w:color="auto"/>
        <w:right w:val="none" w:sz="0" w:space="0" w:color="auto"/>
      </w:divBdr>
    </w:div>
    <w:div w:id="804932086">
      <w:bodyDiv w:val="1"/>
      <w:marLeft w:val="0"/>
      <w:marRight w:val="0"/>
      <w:marTop w:val="0"/>
      <w:marBottom w:val="0"/>
      <w:divBdr>
        <w:top w:val="none" w:sz="0" w:space="0" w:color="auto"/>
        <w:left w:val="none" w:sz="0" w:space="0" w:color="auto"/>
        <w:bottom w:val="none" w:sz="0" w:space="0" w:color="auto"/>
        <w:right w:val="none" w:sz="0" w:space="0" w:color="auto"/>
      </w:divBdr>
    </w:div>
    <w:div w:id="806896269">
      <w:bodyDiv w:val="1"/>
      <w:marLeft w:val="0"/>
      <w:marRight w:val="0"/>
      <w:marTop w:val="0"/>
      <w:marBottom w:val="0"/>
      <w:divBdr>
        <w:top w:val="none" w:sz="0" w:space="0" w:color="auto"/>
        <w:left w:val="none" w:sz="0" w:space="0" w:color="auto"/>
        <w:bottom w:val="none" w:sz="0" w:space="0" w:color="auto"/>
        <w:right w:val="none" w:sz="0" w:space="0" w:color="auto"/>
      </w:divBdr>
    </w:div>
    <w:div w:id="812255497">
      <w:bodyDiv w:val="1"/>
      <w:marLeft w:val="0"/>
      <w:marRight w:val="0"/>
      <w:marTop w:val="0"/>
      <w:marBottom w:val="0"/>
      <w:divBdr>
        <w:top w:val="none" w:sz="0" w:space="0" w:color="auto"/>
        <w:left w:val="none" w:sz="0" w:space="0" w:color="auto"/>
        <w:bottom w:val="none" w:sz="0" w:space="0" w:color="auto"/>
        <w:right w:val="none" w:sz="0" w:space="0" w:color="auto"/>
      </w:divBdr>
    </w:div>
    <w:div w:id="830635215">
      <w:bodyDiv w:val="1"/>
      <w:marLeft w:val="0"/>
      <w:marRight w:val="0"/>
      <w:marTop w:val="0"/>
      <w:marBottom w:val="0"/>
      <w:divBdr>
        <w:top w:val="none" w:sz="0" w:space="0" w:color="auto"/>
        <w:left w:val="none" w:sz="0" w:space="0" w:color="auto"/>
        <w:bottom w:val="none" w:sz="0" w:space="0" w:color="auto"/>
        <w:right w:val="none" w:sz="0" w:space="0" w:color="auto"/>
      </w:divBdr>
    </w:div>
    <w:div w:id="833648680">
      <w:bodyDiv w:val="1"/>
      <w:marLeft w:val="0"/>
      <w:marRight w:val="0"/>
      <w:marTop w:val="0"/>
      <w:marBottom w:val="0"/>
      <w:divBdr>
        <w:top w:val="none" w:sz="0" w:space="0" w:color="auto"/>
        <w:left w:val="none" w:sz="0" w:space="0" w:color="auto"/>
        <w:bottom w:val="none" w:sz="0" w:space="0" w:color="auto"/>
        <w:right w:val="none" w:sz="0" w:space="0" w:color="auto"/>
      </w:divBdr>
    </w:div>
    <w:div w:id="833884647">
      <w:bodyDiv w:val="1"/>
      <w:marLeft w:val="0"/>
      <w:marRight w:val="0"/>
      <w:marTop w:val="0"/>
      <w:marBottom w:val="0"/>
      <w:divBdr>
        <w:top w:val="none" w:sz="0" w:space="0" w:color="auto"/>
        <w:left w:val="none" w:sz="0" w:space="0" w:color="auto"/>
        <w:bottom w:val="none" w:sz="0" w:space="0" w:color="auto"/>
        <w:right w:val="none" w:sz="0" w:space="0" w:color="auto"/>
      </w:divBdr>
    </w:div>
    <w:div w:id="839346666">
      <w:bodyDiv w:val="1"/>
      <w:marLeft w:val="0"/>
      <w:marRight w:val="0"/>
      <w:marTop w:val="0"/>
      <w:marBottom w:val="0"/>
      <w:divBdr>
        <w:top w:val="none" w:sz="0" w:space="0" w:color="auto"/>
        <w:left w:val="none" w:sz="0" w:space="0" w:color="auto"/>
        <w:bottom w:val="none" w:sz="0" w:space="0" w:color="auto"/>
        <w:right w:val="none" w:sz="0" w:space="0" w:color="auto"/>
      </w:divBdr>
    </w:div>
    <w:div w:id="841236829">
      <w:bodyDiv w:val="1"/>
      <w:marLeft w:val="0"/>
      <w:marRight w:val="0"/>
      <w:marTop w:val="0"/>
      <w:marBottom w:val="0"/>
      <w:divBdr>
        <w:top w:val="none" w:sz="0" w:space="0" w:color="auto"/>
        <w:left w:val="none" w:sz="0" w:space="0" w:color="auto"/>
        <w:bottom w:val="none" w:sz="0" w:space="0" w:color="auto"/>
        <w:right w:val="none" w:sz="0" w:space="0" w:color="auto"/>
      </w:divBdr>
    </w:div>
    <w:div w:id="844174868">
      <w:bodyDiv w:val="1"/>
      <w:marLeft w:val="0"/>
      <w:marRight w:val="0"/>
      <w:marTop w:val="0"/>
      <w:marBottom w:val="0"/>
      <w:divBdr>
        <w:top w:val="none" w:sz="0" w:space="0" w:color="auto"/>
        <w:left w:val="none" w:sz="0" w:space="0" w:color="auto"/>
        <w:bottom w:val="none" w:sz="0" w:space="0" w:color="auto"/>
        <w:right w:val="none" w:sz="0" w:space="0" w:color="auto"/>
      </w:divBdr>
    </w:div>
    <w:div w:id="850754124">
      <w:bodyDiv w:val="1"/>
      <w:marLeft w:val="0"/>
      <w:marRight w:val="0"/>
      <w:marTop w:val="0"/>
      <w:marBottom w:val="0"/>
      <w:divBdr>
        <w:top w:val="none" w:sz="0" w:space="0" w:color="auto"/>
        <w:left w:val="none" w:sz="0" w:space="0" w:color="auto"/>
        <w:bottom w:val="none" w:sz="0" w:space="0" w:color="auto"/>
        <w:right w:val="none" w:sz="0" w:space="0" w:color="auto"/>
      </w:divBdr>
    </w:div>
    <w:div w:id="853347921">
      <w:bodyDiv w:val="1"/>
      <w:marLeft w:val="0"/>
      <w:marRight w:val="0"/>
      <w:marTop w:val="0"/>
      <w:marBottom w:val="0"/>
      <w:divBdr>
        <w:top w:val="none" w:sz="0" w:space="0" w:color="auto"/>
        <w:left w:val="none" w:sz="0" w:space="0" w:color="auto"/>
        <w:bottom w:val="none" w:sz="0" w:space="0" w:color="auto"/>
        <w:right w:val="none" w:sz="0" w:space="0" w:color="auto"/>
      </w:divBdr>
    </w:div>
    <w:div w:id="856621481">
      <w:bodyDiv w:val="1"/>
      <w:marLeft w:val="0"/>
      <w:marRight w:val="0"/>
      <w:marTop w:val="0"/>
      <w:marBottom w:val="0"/>
      <w:divBdr>
        <w:top w:val="none" w:sz="0" w:space="0" w:color="auto"/>
        <w:left w:val="none" w:sz="0" w:space="0" w:color="auto"/>
        <w:bottom w:val="none" w:sz="0" w:space="0" w:color="auto"/>
        <w:right w:val="none" w:sz="0" w:space="0" w:color="auto"/>
      </w:divBdr>
    </w:div>
    <w:div w:id="860818047">
      <w:bodyDiv w:val="1"/>
      <w:marLeft w:val="0"/>
      <w:marRight w:val="0"/>
      <w:marTop w:val="0"/>
      <w:marBottom w:val="0"/>
      <w:divBdr>
        <w:top w:val="none" w:sz="0" w:space="0" w:color="auto"/>
        <w:left w:val="none" w:sz="0" w:space="0" w:color="auto"/>
        <w:bottom w:val="none" w:sz="0" w:space="0" w:color="auto"/>
        <w:right w:val="none" w:sz="0" w:space="0" w:color="auto"/>
      </w:divBdr>
    </w:div>
    <w:div w:id="861405913">
      <w:bodyDiv w:val="1"/>
      <w:marLeft w:val="0"/>
      <w:marRight w:val="0"/>
      <w:marTop w:val="0"/>
      <w:marBottom w:val="0"/>
      <w:divBdr>
        <w:top w:val="none" w:sz="0" w:space="0" w:color="auto"/>
        <w:left w:val="none" w:sz="0" w:space="0" w:color="auto"/>
        <w:bottom w:val="none" w:sz="0" w:space="0" w:color="auto"/>
        <w:right w:val="none" w:sz="0" w:space="0" w:color="auto"/>
      </w:divBdr>
    </w:div>
    <w:div w:id="862864859">
      <w:bodyDiv w:val="1"/>
      <w:marLeft w:val="0"/>
      <w:marRight w:val="0"/>
      <w:marTop w:val="0"/>
      <w:marBottom w:val="0"/>
      <w:divBdr>
        <w:top w:val="none" w:sz="0" w:space="0" w:color="auto"/>
        <w:left w:val="none" w:sz="0" w:space="0" w:color="auto"/>
        <w:bottom w:val="none" w:sz="0" w:space="0" w:color="auto"/>
        <w:right w:val="none" w:sz="0" w:space="0" w:color="auto"/>
      </w:divBdr>
      <w:divsChild>
        <w:div w:id="799345509">
          <w:marLeft w:val="547"/>
          <w:marRight w:val="0"/>
          <w:marTop w:val="154"/>
          <w:marBottom w:val="0"/>
          <w:divBdr>
            <w:top w:val="none" w:sz="0" w:space="0" w:color="auto"/>
            <w:left w:val="none" w:sz="0" w:space="0" w:color="auto"/>
            <w:bottom w:val="none" w:sz="0" w:space="0" w:color="auto"/>
            <w:right w:val="none" w:sz="0" w:space="0" w:color="auto"/>
          </w:divBdr>
        </w:div>
        <w:div w:id="1678774732">
          <w:marLeft w:val="547"/>
          <w:marRight w:val="0"/>
          <w:marTop w:val="154"/>
          <w:marBottom w:val="0"/>
          <w:divBdr>
            <w:top w:val="none" w:sz="0" w:space="0" w:color="auto"/>
            <w:left w:val="none" w:sz="0" w:space="0" w:color="auto"/>
            <w:bottom w:val="none" w:sz="0" w:space="0" w:color="auto"/>
            <w:right w:val="none" w:sz="0" w:space="0" w:color="auto"/>
          </w:divBdr>
        </w:div>
        <w:div w:id="2073037516">
          <w:marLeft w:val="547"/>
          <w:marRight w:val="0"/>
          <w:marTop w:val="154"/>
          <w:marBottom w:val="0"/>
          <w:divBdr>
            <w:top w:val="none" w:sz="0" w:space="0" w:color="auto"/>
            <w:left w:val="none" w:sz="0" w:space="0" w:color="auto"/>
            <w:bottom w:val="none" w:sz="0" w:space="0" w:color="auto"/>
            <w:right w:val="none" w:sz="0" w:space="0" w:color="auto"/>
          </w:divBdr>
        </w:div>
      </w:divsChild>
    </w:div>
    <w:div w:id="868908005">
      <w:bodyDiv w:val="1"/>
      <w:marLeft w:val="0"/>
      <w:marRight w:val="0"/>
      <w:marTop w:val="0"/>
      <w:marBottom w:val="0"/>
      <w:divBdr>
        <w:top w:val="none" w:sz="0" w:space="0" w:color="auto"/>
        <w:left w:val="none" w:sz="0" w:space="0" w:color="auto"/>
        <w:bottom w:val="none" w:sz="0" w:space="0" w:color="auto"/>
        <w:right w:val="none" w:sz="0" w:space="0" w:color="auto"/>
      </w:divBdr>
    </w:div>
    <w:div w:id="874778070">
      <w:bodyDiv w:val="1"/>
      <w:marLeft w:val="0"/>
      <w:marRight w:val="0"/>
      <w:marTop w:val="0"/>
      <w:marBottom w:val="0"/>
      <w:divBdr>
        <w:top w:val="none" w:sz="0" w:space="0" w:color="auto"/>
        <w:left w:val="none" w:sz="0" w:space="0" w:color="auto"/>
        <w:bottom w:val="none" w:sz="0" w:space="0" w:color="auto"/>
        <w:right w:val="none" w:sz="0" w:space="0" w:color="auto"/>
      </w:divBdr>
    </w:div>
    <w:div w:id="880635002">
      <w:bodyDiv w:val="1"/>
      <w:marLeft w:val="0"/>
      <w:marRight w:val="0"/>
      <w:marTop w:val="0"/>
      <w:marBottom w:val="0"/>
      <w:divBdr>
        <w:top w:val="none" w:sz="0" w:space="0" w:color="auto"/>
        <w:left w:val="none" w:sz="0" w:space="0" w:color="auto"/>
        <w:bottom w:val="none" w:sz="0" w:space="0" w:color="auto"/>
        <w:right w:val="none" w:sz="0" w:space="0" w:color="auto"/>
      </w:divBdr>
    </w:div>
    <w:div w:id="883563019">
      <w:bodyDiv w:val="1"/>
      <w:marLeft w:val="0"/>
      <w:marRight w:val="0"/>
      <w:marTop w:val="0"/>
      <w:marBottom w:val="0"/>
      <w:divBdr>
        <w:top w:val="none" w:sz="0" w:space="0" w:color="auto"/>
        <w:left w:val="none" w:sz="0" w:space="0" w:color="auto"/>
        <w:bottom w:val="none" w:sz="0" w:space="0" w:color="auto"/>
        <w:right w:val="none" w:sz="0" w:space="0" w:color="auto"/>
      </w:divBdr>
    </w:div>
    <w:div w:id="894925019">
      <w:bodyDiv w:val="1"/>
      <w:marLeft w:val="0"/>
      <w:marRight w:val="0"/>
      <w:marTop w:val="0"/>
      <w:marBottom w:val="0"/>
      <w:divBdr>
        <w:top w:val="none" w:sz="0" w:space="0" w:color="auto"/>
        <w:left w:val="none" w:sz="0" w:space="0" w:color="auto"/>
        <w:bottom w:val="none" w:sz="0" w:space="0" w:color="auto"/>
        <w:right w:val="none" w:sz="0" w:space="0" w:color="auto"/>
      </w:divBdr>
    </w:div>
    <w:div w:id="896281334">
      <w:bodyDiv w:val="1"/>
      <w:marLeft w:val="0"/>
      <w:marRight w:val="0"/>
      <w:marTop w:val="0"/>
      <w:marBottom w:val="0"/>
      <w:divBdr>
        <w:top w:val="none" w:sz="0" w:space="0" w:color="auto"/>
        <w:left w:val="none" w:sz="0" w:space="0" w:color="auto"/>
        <w:bottom w:val="none" w:sz="0" w:space="0" w:color="auto"/>
        <w:right w:val="none" w:sz="0" w:space="0" w:color="auto"/>
      </w:divBdr>
    </w:div>
    <w:div w:id="897547541">
      <w:bodyDiv w:val="1"/>
      <w:marLeft w:val="0"/>
      <w:marRight w:val="0"/>
      <w:marTop w:val="0"/>
      <w:marBottom w:val="0"/>
      <w:divBdr>
        <w:top w:val="none" w:sz="0" w:space="0" w:color="auto"/>
        <w:left w:val="none" w:sz="0" w:space="0" w:color="auto"/>
        <w:bottom w:val="none" w:sz="0" w:space="0" w:color="auto"/>
        <w:right w:val="none" w:sz="0" w:space="0" w:color="auto"/>
      </w:divBdr>
    </w:div>
    <w:div w:id="898172593">
      <w:bodyDiv w:val="1"/>
      <w:marLeft w:val="0"/>
      <w:marRight w:val="0"/>
      <w:marTop w:val="0"/>
      <w:marBottom w:val="0"/>
      <w:divBdr>
        <w:top w:val="none" w:sz="0" w:space="0" w:color="auto"/>
        <w:left w:val="none" w:sz="0" w:space="0" w:color="auto"/>
        <w:bottom w:val="none" w:sz="0" w:space="0" w:color="auto"/>
        <w:right w:val="none" w:sz="0" w:space="0" w:color="auto"/>
      </w:divBdr>
    </w:div>
    <w:div w:id="899486164">
      <w:bodyDiv w:val="1"/>
      <w:marLeft w:val="0"/>
      <w:marRight w:val="0"/>
      <w:marTop w:val="0"/>
      <w:marBottom w:val="0"/>
      <w:divBdr>
        <w:top w:val="none" w:sz="0" w:space="0" w:color="auto"/>
        <w:left w:val="none" w:sz="0" w:space="0" w:color="auto"/>
        <w:bottom w:val="none" w:sz="0" w:space="0" w:color="auto"/>
        <w:right w:val="none" w:sz="0" w:space="0" w:color="auto"/>
      </w:divBdr>
    </w:div>
    <w:div w:id="905839839">
      <w:bodyDiv w:val="1"/>
      <w:marLeft w:val="0"/>
      <w:marRight w:val="0"/>
      <w:marTop w:val="0"/>
      <w:marBottom w:val="0"/>
      <w:divBdr>
        <w:top w:val="none" w:sz="0" w:space="0" w:color="auto"/>
        <w:left w:val="none" w:sz="0" w:space="0" w:color="auto"/>
        <w:bottom w:val="none" w:sz="0" w:space="0" w:color="auto"/>
        <w:right w:val="none" w:sz="0" w:space="0" w:color="auto"/>
      </w:divBdr>
    </w:div>
    <w:div w:id="908492313">
      <w:bodyDiv w:val="1"/>
      <w:marLeft w:val="0"/>
      <w:marRight w:val="0"/>
      <w:marTop w:val="0"/>
      <w:marBottom w:val="0"/>
      <w:divBdr>
        <w:top w:val="none" w:sz="0" w:space="0" w:color="auto"/>
        <w:left w:val="none" w:sz="0" w:space="0" w:color="auto"/>
        <w:bottom w:val="none" w:sz="0" w:space="0" w:color="auto"/>
        <w:right w:val="none" w:sz="0" w:space="0" w:color="auto"/>
      </w:divBdr>
    </w:div>
    <w:div w:id="911156390">
      <w:bodyDiv w:val="1"/>
      <w:marLeft w:val="0"/>
      <w:marRight w:val="0"/>
      <w:marTop w:val="0"/>
      <w:marBottom w:val="0"/>
      <w:divBdr>
        <w:top w:val="none" w:sz="0" w:space="0" w:color="auto"/>
        <w:left w:val="none" w:sz="0" w:space="0" w:color="auto"/>
        <w:bottom w:val="none" w:sz="0" w:space="0" w:color="auto"/>
        <w:right w:val="none" w:sz="0" w:space="0" w:color="auto"/>
      </w:divBdr>
    </w:div>
    <w:div w:id="916521468">
      <w:bodyDiv w:val="1"/>
      <w:marLeft w:val="0"/>
      <w:marRight w:val="0"/>
      <w:marTop w:val="0"/>
      <w:marBottom w:val="0"/>
      <w:divBdr>
        <w:top w:val="none" w:sz="0" w:space="0" w:color="auto"/>
        <w:left w:val="none" w:sz="0" w:space="0" w:color="auto"/>
        <w:bottom w:val="none" w:sz="0" w:space="0" w:color="auto"/>
        <w:right w:val="none" w:sz="0" w:space="0" w:color="auto"/>
      </w:divBdr>
    </w:div>
    <w:div w:id="921136017">
      <w:bodyDiv w:val="1"/>
      <w:marLeft w:val="0"/>
      <w:marRight w:val="0"/>
      <w:marTop w:val="0"/>
      <w:marBottom w:val="0"/>
      <w:divBdr>
        <w:top w:val="none" w:sz="0" w:space="0" w:color="auto"/>
        <w:left w:val="none" w:sz="0" w:space="0" w:color="auto"/>
        <w:bottom w:val="none" w:sz="0" w:space="0" w:color="auto"/>
        <w:right w:val="none" w:sz="0" w:space="0" w:color="auto"/>
      </w:divBdr>
    </w:div>
    <w:div w:id="921255979">
      <w:bodyDiv w:val="1"/>
      <w:marLeft w:val="0"/>
      <w:marRight w:val="0"/>
      <w:marTop w:val="0"/>
      <w:marBottom w:val="0"/>
      <w:divBdr>
        <w:top w:val="none" w:sz="0" w:space="0" w:color="auto"/>
        <w:left w:val="none" w:sz="0" w:space="0" w:color="auto"/>
        <w:bottom w:val="none" w:sz="0" w:space="0" w:color="auto"/>
        <w:right w:val="none" w:sz="0" w:space="0" w:color="auto"/>
      </w:divBdr>
    </w:div>
    <w:div w:id="922026131">
      <w:bodyDiv w:val="1"/>
      <w:marLeft w:val="0"/>
      <w:marRight w:val="0"/>
      <w:marTop w:val="0"/>
      <w:marBottom w:val="0"/>
      <w:divBdr>
        <w:top w:val="none" w:sz="0" w:space="0" w:color="auto"/>
        <w:left w:val="none" w:sz="0" w:space="0" w:color="auto"/>
        <w:bottom w:val="none" w:sz="0" w:space="0" w:color="auto"/>
        <w:right w:val="none" w:sz="0" w:space="0" w:color="auto"/>
      </w:divBdr>
    </w:div>
    <w:div w:id="922835967">
      <w:bodyDiv w:val="1"/>
      <w:marLeft w:val="0"/>
      <w:marRight w:val="0"/>
      <w:marTop w:val="0"/>
      <w:marBottom w:val="0"/>
      <w:divBdr>
        <w:top w:val="none" w:sz="0" w:space="0" w:color="auto"/>
        <w:left w:val="none" w:sz="0" w:space="0" w:color="auto"/>
        <w:bottom w:val="none" w:sz="0" w:space="0" w:color="auto"/>
        <w:right w:val="none" w:sz="0" w:space="0" w:color="auto"/>
      </w:divBdr>
    </w:div>
    <w:div w:id="922908073">
      <w:bodyDiv w:val="1"/>
      <w:marLeft w:val="0"/>
      <w:marRight w:val="0"/>
      <w:marTop w:val="0"/>
      <w:marBottom w:val="0"/>
      <w:divBdr>
        <w:top w:val="none" w:sz="0" w:space="0" w:color="auto"/>
        <w:left w:val="none" w:sz="0" w:space="0" w:color="auto"/>
        <w:bottom w:val="none" w:sz="0" w:space="0" w:color="auto"/>
        <w:right w:val="none" w:sz="0" w:space="0" w:color="auto"/>
      </w:divBdr>
    </w:div>
    <w:div w:id="923803218">
      <w:bodyDiv w:val="1"/>
      <w:marLeft w:val="0"/>
      <w:marRight w:val="0"/>
      <w:marTop w:val="0"/>
      <w:marBottom w:val="0"/>
      <w:divBdr>
        <w:top w:val="none" w:sz="0" w:space="0" w:color="auto"/>
        <w:left w:val="none" w:sz="0" w:space="0" w:color="auto"/>
        <w:bottom w:val="none" w:sz="0" w:space="0" w:color="auto"/>
        <w:right w:val="none" w:sz="0" w:space="0" w:color="auto"/>
      </w:divBdr>
    </w:div>
    <w:div w:id="923951900">
      <w:bodyDiv w:val="1"/>
      <w:marLeft w:val="0"/>
      <w:marRight w:val="0"/>
      <w:marTop w:val="0"/>
      <w:marBottom w:val="0"/>
      <w:divBdr>
        <w:top w:val="none" w:sz="0" w:space="0" w:color="auto"/>
        <w:left w:val="none" w:sz="0" w:space="0" w:color="auto"/>
        <w:bottom w:val="none" w:sz="0" w:space="0" w:color="auto"/>
        <w:right w:val="none" w:sz="0" w:space="0" w:color="auto"/>
      </w:divBdr>
    </w:div>
    <w:div w:id="931664609">
      <w:bodyDiv w:val="1"/>
      <w:marLeft w:val="0"/>
      <w:marRight w:val="0"/>
      <w:marTop w:val="0"/>
      <w:marBottom w:val="0"/>
      <w:divBdr>
        <w:top w:val="none" w:sz="0" w:space="0" w:color="auto"/>
        <w:left w:val="none" w:sz="0" w:space="0" w:color="auto"/>
        <w:bottom w:val="none" w:sz="0" w:space="0" w:color="auto"/>
        <w:right w:val="none" w:sz="0" w:space="0" w:color="auto"/>
      </w:divBdr>
    </w:div>
    <w:div w:id="934561206">
      <w:bodyDiv w:val="1"/>
      <w:marLeft w:val="0"/>
      <w:marRight w:val="0"/>
      <w:marTop w:val="0"/>
      <w:marBottom w:val="0"/>
      <w:divBdr>
        <w:top w:val="none" w:sz="0" w:space="0" w:color="auto"/>
        <w:left w:val="none" w:sz="0" w:space="0" w:color="auto"/>
        <w:bottom w:val="none" w:sz="0" w:space="0" w:color="auto"/>
        <w:right w:val="none" w:sz="0" w:space="0" w:color="auto"/>
      </w:divBdr>
    </w:div>
    <w:div w:id="945847402">
      <w:bodyDiv w:val="1"/>
      <w:marLeft w:val="0"/>
      <w:marRight w:val="0"/>
      <w:marTop w:val="0"/>
      <w:marBottom w:val="0"/>
      <w:divBdr>
        <w:top w:val="none" w:sz="0" w:space="0" w:color="auto"/>
        <w:left w:val="none" w:sz="0" w:space="0" w:color="auto"/>
        <w:bottom w:val="none" w:sz="0" w:space="0" w:color="auto"/>
        <w:right w:val="none" w:sz="0" w:space="0" w:color="auto"/>
      </w:divBdr>
    </w:div>
    <w:div w:id="952782553">
      <w:bodyDiv w:val="1"/>
      <w:marLeft w:val="0"/>
      <w:marRight w:val="0"/>
      <w:marTop w:val="0"/>
      <w:marBottom w:val="0"/>
      <w:divBdr>
        <w:top w:val="none" w:sz="0" w:space="0" w:color="auto"/>
        <w:left w:val="none" w:sz="0" w:space="0" w:color="auto"/>
        <w:bottom w:val="none" w:sz="0" w:space="0" w:color="auto"/>
        <w:right w:val="none" w:sz="0" w:space="0" w:color="auto"/>
      </w:divBdr>
    </w:div>
    <w:div w:id="957182514">
      <w:bodyDiv w:val="1"/>
      <w:marLeft w:val="0"/>
      <w:marRight w:val="0"/>
      <w:marTop w:val="0"/>
      <w:marBottom w:val="0"/>
      <w:divBdr>
        <w:top w:val="none" w:sz="0" w:space="0" w:color="auto"/>
        <w:left w:val="none" w:sz="0" w:space="0" w:color="auto"/>
        <w:bottom w:val="none" w:sz="0" w:space="0" w:color="auto"/>
        <w:right w:val="none" w:sz="0" w:space="0" w:color="auto"/>
      </w:divBdr>
    </w:div>
    <w:div w:id="958221901">
      <w:bodyDiv w:val="1"/>
      <w:marLeft w:val="0"/>
      <w:marRight w:val="0"/>
      <w:marTop w:val="0"/>
      <w:marBottom w:val="0"/>
      <w:divBdr>
        <w:top w:val="none" w:sz="0" w:space="0" w:color="auto"/>
        <w:left w:val="none" w:sz="0" w:space="0" w:color="auto"/>
        <w:bottom w:val="none" w:sz="0" w:space="0" w:color="auto"/>
        <w:right w:val="none" w:sz="0" w:space="0" w:color="auto"/>
      </w:divBdr>
    </w:div>
    <w:div w:id="963081675">
      <w:bodyDiv w:val="1"/>
      <w:marLeft w:val="0"/>
      <w:marRight w:val="0"/>
      <w:marTop w:val="0"/>
      <w:marBottom w:val="0"/>
      <w:divBdr>
        <w:top w:val="none" w:sz="0" w:space="0" w:color="auto"/>
        <w:left w:val="none" w:sz="0" w:space="0" w:color="auto"/>
        <w:bottom w:val="none" w:sz="0" w:space="0" w:color="auto"/>
        <w:right w:val="none" w:sz="0" w:space="0" w:color="auto"/>
      </w:divBdr>
    </w:div>
    <w:div w:id="963193108">
      <w:bodyDiv w:val="1"/>
      <w:marLeft w:val="0"/>
      <w:marRight w:val="0"/>
      <w:marTop w:val="0"/>
      <w:marBottom w:val="0"/>
      <w:divBdr>
        <w:top w:val="none" w:sz="0" w:space="0" w:color="auto"/>
        <w:left w:val="none" w:sz="0" w:space="0" w:color="auto"/>
        <w:bottom w:val="none" w:sz="0" w:space="0" w:color="auto"/>
        <w:right w:val="none" w:sz="0" w:space="0" w:color="auto"/>
      </w:divBdr>
    </w:div>
    <w:div w:id="966812951">
      <w:bodyDiv w:val="1"/>
      <w:marLeft w:val="0"/>
      <w:marRight w:val="0"/>
      <w:marTop w:val="0"/>
      <w:marBottom w:val="0"/>
      <w:divBdr>
        <w:top w:val="none" w:sz="0" w:space="0" w:color="auto"/>
        <w:left w:val="none" w:sz="0" w:space="0" w:color="auto"/>
        <w:bottom w:val="none" w:sz="0" w:space="0" w:color="auto"/>
        <w:right w:val="none" w:sz="0" w:space="0" w:color="auto"/>
      </w:divBdr>
    </w:div>
    <w:div w:id="969478543">
      <w:bodyDiv w:val="1"/>
      <w:marLeft w:val="0"/>
      <w:marRight w:val="0"/>
      <w:marTop w:val="0"/>
      <w:marBottom w:val="0"/>
      <w:divBdr>
        <w:top w:val="none" w:sz="0" w:space="0" w:color="auto"/>
        <w:left w:val="none" w:sz="0" w:space="0" w:color="auto"/>
        <w:bottom w:val="none" w:sz="0" w:space="0" w:color="auto"/>
        <w:right w:val="none" w:sz="0" w:space="0" w:color="auto"/>
      </w:divBdr>
    </w:div>
    <w:div w:id="973754906">
      <w:bodyDiv w:val="1"/>
      <w:marLeft w:val="0"/>
      <w:marRight w:val="0"/>
      <w:marTop w:val="0"/>
      <w:marBottom w:val="0"/>
      <w:divBdr>
        <w:top w:val="none" w:sz="0" w:space="0" w:color="auto"/>
        <w:left w:val="none" w:sz="0" w:space="0" w:color="auto"/>
        <w:bottom w:val="none" w:sz="0" w:space="0" w:color="auto"/>
        <w:right w:val="none" w:sz="0" w:space="0" w:color="auto"/>
      </w:divBdr>
    </w:div>
    <w:div w:id="974867020">
      <w:bodyDiv w:val="1"/>
      <w:marLeft w:val="0"/>
      <w:marRight w:val="0"/>
      <w:marTop w:val="0"/>
      <w:marBottom w:val="0"/>
      <w:divBdr>
        <w:top w:val="none" w:sz="0" w:space="0" w:color="auto"/>
        <w:left w:val="none" w:sz="0" w:space="0" w:color="auto"/>
        <w:bottom w:val="none" w:sz="0" w:space="0" w:color="auto"/>
        <w:right w:val="none" w:sz="0" w:space="0" w:color="auto"/>
      </w:divBdr>
    </w:div>
    <w:div w:id="979654022">
      <w:bodyDiv w:val="1"/>
      <w:marLeft w:val="0"/>
      <w:marRight w:val="0"/>
      <w:marTop w:val="0"/>
      <w:marBottom w:val="0"/>
      <w:divBdr>
        <w:top w:val="none" w:sz="0" w:space="0" w:color="auto"/>
        <w:left w:val="none" w:sz="0" w:space="0" w:color="auto"/>
        <w:bottom w:val="none" w:sz="0" w:space="0" w:color="auto"/>
        <w:right w:val="none" w:sz="0" w:space="0" w:color="auto"/>
      </w:divBdr>
    </w:div>
    <w:div w:id="981733336">
      <w:bodyDiv w:val="1"/>
      <w:marLeft w:val="0"/>
      <w:marRight w:val="0"/>
      <w:marTop w:val="0"/>
      <w:marBottom w:val="0"/>
      <w:divBdr>
        <w:top w:val="none" w:sz="0" w:space="0" w:color="auto"/>
        <w:left w:val="none" w:sz="0" w:space="0" w:color="auto"/>
        <w:bottom w:val="none" w:sz="0" w:space="0" w:color="auto"/>
        <w:right w:val="none" w:sz="0" w:space="0" w:color="auto"/>
      </w:divBdr>
    </w:div>
    <w:div w:id="984696479">
      <w:bodyDiv w:val="1"/>
      <w:marLeft w:val="0"/>
      <w:marRight w:val="0"/>
      <w:marTop w:val="0"/>
      <w:marBottom w:val="0"/>
      <w:divBdr>
        <w:top w:val="none" w:sz="0" w:space="0" w:color="auto"/>
        <w:left w:val="none" w:sz="0" w:space="0" w:color="auto"/>
        <w:bottom w:val="none" w:sz="0" w:space="0" w:color="auto"/>
        <w:right w:val="none" w:sz="0" w:space="0" w:color="auto"/>
      </w:divBdr>
    </w:div>
    <w:div w:id="987173833">
      <w:bodyDiv w:val="1"/>
      <w:marLeft w:val="0"/>
      <w:marRight w:val="0"/>
      <w:marTop w:val="0"/>
      <w:marBottom w:val="0"/>
      <w:divBdr>
        <w:top w:val="none" w:sz="0" w:space="0" w:color="auto"/>
        <w:left w:val="none" w:sz="0" w:space="0" w:color="auto"/>
        <w:bottom w:val="none" w:sz="0" w:space="0" w:color="auto"/>
        <w:right w:val="none" w:sz="0" w:space="0" w:color="auto"/>
      </w:divBdr>
    </w:div>
    <w:div w:id="991064782">
      <w:bodyDiv w:val="1"/>
      <w:marLeft w:val="0"/>
      <w:marRight w:val="0"/>
      <w:marTop w:val="0"/>
      <w:marBottom w:val="0"/>
      <w:divBdr>
        <w:top w:val="none" w:sz="0" w:space="0" w:color="auto"/>
        <w:left w:val="none" w:sz="0" w:space="0" w:color="auto"/>
        <w:bottom w:val="none" w:sz="0" w:space="0" w:color="auto"/>
        <w:right w:val="none" w:sz="0" w:space="0" w:color="auto"/>
      </w:divBdr>
    </w:div>
    <w:div w:id="991370350">
      <w:bodyDiv w:val="1"/>
      <w:marLeft w:val="0"/>
      <w:marRight w:val="0"/>
      <w:marTop w:val="0"/>
      <w:marBottom w:val="0"/>
      <w:divBdr>
        <w:top w:val="none" w:sz="0" w:space="0" w:color="auto"/>
        <w:left w:val="none" w:sz="0" w:space="0" w:color="auto"/>
        <w:bottom w:val="none" w:sz="0" w:space="0" w:color="auto"/>
        <w:right w:val="none" w:sz="0" w:space="0" w:color="auto"/>
      </w:divBdr>
    </w:div>
    <w:div w:id="992028931">
      <w:bodyDiv w:val="1"/>
      <w:marLeft w:val="0"/>
      <w:marRight w:val="0"/>
      <w:marTop w:val="0"/>
      <w:marBottom w:val="0"/>
      <w:divBdr>
        <w:top w:val="none" w:sz="0" w:space="0" w:color="auto"/>
        <w:left w:val="none" w:sz="0" w:space="0" w:color="auto"/>
        <w:bottom w:val="none" w:sz="0" w:space="0" w:color="auto"/>
        <w:right w:val="none" w:sz="0" w:space="0" w:color="auto"/>
      </w:divBdr>
    </w:div>
    <w:div w:id="998728204">
      <w:bodyDiv w:val="1"/>
      <w:marLeft w:val="0"/>
      <w:marRight w:val="0"/>
      <w:marTop w:val="0"/>
      <w:marBottom w:val="0"/>
      <w:divBdr>
        <w:top w:val="none" w:sz="0" w:space="0" w:color="auto"/>
        <w:left w:val="none" w:sz="0" w:space="0" w:color="auto"/>
        <w:bottom w:val="none" w:sz="0" w:space="0" w:color="auto"/>
        <w:right w:val="none" w:sz="0" w:space="0" w:color="auto"/>
      </w:divBdr>
    </w:div>
    <w:div w:id="999505773">
      <w:bodyDiv w:val="1"/>
      <w:marLeft w:val="0"/>
      <w:marRight w:val="0"/>
      <w:marTop w:val="0"/>
      <w:marBottom w:val="0"/>
      <w:divBdr>
        <w:top w:val="none" w:sz="0" w:space="0" w:color="auto"/>
        <w:left w:val="none" w:sz="0" w:space="0" w:color="auto"/>
        <w:bottom w:val="none" w:sz="0" w:space="0" w:color="auto"/>
        <w:right w:val="none" w:sz="0" w:space="0" w:color="auto"/>
      </w:divBdr>
    </w:div>
    <w:div w:id="999697752">
      <w:bodyDiv w:val="1"/>
      <w:marLeft w:val="0"/>
      <w:marRight w:val="0"/>
      <w:marTop w:val="0"/>
      <w:marBottom w:val="0"/>
      <w:divBdr>
        <w:top w:val="none" w:sz="0" w:space="0" w:color="auto"/>
        <w:left w:val="none" w:sz="0" w:space="0" w:color="auto"/>
        <w:bottom w:val="none" w:sz="0" w:space="0" w:color="auto"/>
        <w:right w:val="none" w:sz="0" w:space="0" w:color="auto"/>
      </w:divBdr>
    </w:div>
    <w:div w:id="999817653">
      <w:bodyDiv w:val="1"/>
      <w:marLeft w:val="0"/>
      <w:marRight w:val="0"/>
      <w:marTop w:val="0"/>
      <w:marBottom w:val="0"/>
      <w:divBdr>
        <w:top w:val="none" w:sz="0" w:space="0" w:color="auto"/>
        <w:left w:val="none" w:sz="0" w:space="0" w:color="auto"/>
        <w:bottom w:val="none" w:sz="0" w:space="0" w:color="auto"/>
        <w:right w:val="none" w:sz="0" w:space="0" w:color="auto"/>
      </w:divBdr>
    </w:div>
    <w:div w:id="1001347268">
      <w:bodyDiv w:val="1"/>
      <w:marLeft w:val="0"/>
      <w:marRight w:val="0"/>
      <w:marTop w:val="0"/>
      <w:marBottom w:val="0"/>
      <w:divBdr>
        <w:top w:val="none" w:sz="0" w:space="0" w:color="auto"/>
        <w:left w:val="none" w:sz="0" w:space="0" w:color="auto"/>
        <w:bottom w:val="none" w:sz="0" w:space="0" w:color="auto"/>
        <w:right w:val="none" w:sz="0" w:space="0" w:color="auto"/>
      </w:divBdr>
    </w:div>
    <w:div w:id="1013651043">
      <w:bodyDiv w:val="1"/>
      <w:marLeft w:val="0"/>
      <w:marRight w:val="0"/>
      <w:marTop w:val="0"/>
      <w:marBottom w:val="0"/>
      <w:divBdr>
        <w:top w:val="none" w:sz="0" w:space="0" w:color="auto"/>
        <w:left w:val="none" w:sz="0" w:space="0" w:color="auto"/>
        <w:bottom w:val="none" w:sz="0" w:space="0" w:color="auto"/>
        <w:right w:val="none" w:sz="0" w:space="0" w:color="auto"/>
      </w:divBdr>
    </w:div>
    <w:div w:id="1016351698">
      <w:bodyDiv w:val="1"/>
      <w:marLeft w:val="0"/>
      <w:marRight w:val="0"/>
      <w:marTop w:val="0"/>
      <w:marBottom w:val="0"/>
      <w:divBdr>
        <w:top w:val="none" w:sz="0" w:space="0" w:color="auto"/>
        <w:left w:val="none" w:sz="0" w:space="0" w:color="auto"/>
        <w:bottom w:val="none" w:sz="0" w:space="0" w:color="auto"/>
        <w:right w:val="none" w:sz="0" w:space="0" w:color="auto"/>
      </w:divBdr>
    </w:div>
    <w:div w:id="1020207969">
      <w:bodyDiv w:val="1"/>
      <w:marLeft w:val="0"/>
      <w:marRight w:val="0"/>
      <w:marTop w:val="0"/>
      <w:marBottom w:val="0"/>
      <w:divBdr>
        <w:top w:val="none" w:sz="0" w:space="0" w:color="auto"/>
        <w:left w:val="none" w:sz="0" w:space="0" w:color="auto"/>
        <w:bottom w:val="none" w:sz="0" w:space="0" w:color="auto"/>
        <w:right w:val="none" w:sz="0" w:space="0" w:color="auto"/>
      </w:divBdr>
    </w:div>
    <w:div w:id="1023287040">
      <w:bodyDiv w:val="1"/>
      <w:marLeft w:val="0"/>
      <w:marRight w:val="0"/>
      <w:marTop w:val="0"/>
      <w:marBottom w:val="0"/>
      <w:divBdr>
        <w:top w:val="none" w:sz="0" w:space="0" w:color="auto"/>
        <w:left w:val="none" w:sz="0" w:space="0" w:color="auto"/>
        <w:bottom w:val="none" w:sz="0" w:space="0" w:color="auto"/>
        <w:right w:val="none" w:sz="0" w:space="0" w:color="auto"/>
      </w:divBdr>
    </w:div>
    <w:div w:id="1025061864">
      <w:bodyDiv w:val="1"/>
      <w:marLeft w:val="0"/>
      <w:marRight w:val="0"/>
      <w:marTop w:val="0"/>
      <w:marBottom w:val="0"/>
      <w:divBdr>
        <w:top w:val="none" w:sz="0" w:space="0" w:color="auto"/>
        <w:left w:val="none" w:sz="0" w:space="0" w:color="auto"/>
        <w:bottom w:val="none" w:sz="0" w:space="0" w:color="auto"/>
        <w:right w:val="none" w:sz="0" w:space="0" w:color="auto"/>
      </w:divBdr>
    </w:div>
    <w:div w:id="1028145130">
      <w:bodyDiv w:val="1"/>
      <w:marLeft w:val="0"/>
      <w:marRight w:val="0"/>
      <w:marTop w:val="0"/>
      <w:marBottom w:val="0"/>
      <w:divBdr>
        <w:top w:val="none" w:sz="0" w:space="0" w:color="auto"/>
        <w:left w:val="none" w:sz="0" w:space="0" w:color="auto"/>
        <w:bottom w:val="none" w:sz="0" w:space="0" w:color="auto"/>
        <w:right w:val="none" w:sz="0" w:space="0" w:color="auto"/>
      </w:divBdr>
    </w:div>
    <w:div w:id="1030648469">
      <w:bodyDiv w:val="1"/>
      <w:marLeft w:val="0"/>
      <w:marRight w:val="0"/>
      <w:marTop w:val="0"/>
      <w:marBottom w:val="0"/>
      <w:divBdr>
        <w:top w:val="none" w:sz="0" w:space="0" w:color="auto"/>
        <w:left w:val="none" w:sz="0" w:space="0" w:color="auto"/>
        <w:bottom w:val="none" w:sz="0" w:space="0" w:color="auto"/>
        <w:right w:val="none" w:sz="0" w:space="0" w:color="auto"/>
      </w:divBdr>
    </w:div>
    <w:div w:id="1035425586">
      <w:bodyDiv w:val="1"/>
      <w:marLeft w:val="0"/>
      <w:marRight w:val="0"/>
      <w:marTop w:val="0"/>
      <w:marBottom w:val="0"/>
      <w:divBdr>
        <w:top w:val="none" w:sz="0" w:space="0" w:color="auto"/>
        <w:left w:val="none" w:sz="0" w:space="0" w:color="auto"/>
        <w:bottom w:val="none" w:sz="0" w:space="0" w:color="auto"/>
        <w:right w:val="none" w:sz="0" w:space="0" w:color="auto"/>
      </w:divBdr>
    </w:div>
    <w:div w:id="1036273255">
      <w:bodyDiv w:val="1"/>
      <w:marLeft w:val="0"/>
      <w:marRight w:val="0"/>
      <w:marTop w:val="0"/>
      <w:marBottom w:val="0"/>
      <w:divBdr>
        <w:top w:val="none" w:sz="0" w:space="0" w:color="auto"/>
        <w:left w:val="none" w:sz="0" w:space="0" w:color="auto"/>
        <w:bottom w:val="none" w:sz="0" w:space="0" w:color="auto"/>
        <w:right w:val="none" w:sz="0" w:space="0" w:color="auto"/>
      </w:divBdr>
    </w:div>
    <w:div w:id="1037775229">
      <w:bodyDiv w:val="1"/>
      <w:marLeft w:val="0"/>
      <w:marRight w:val="0"/>
      <w:marTop w:val="0"/>
      <w:marBottom w:val="0"/>
      <w:divBdr>
        <w:top w:val="none" w:sz="0" w:space="0" w:color="auto"/>
        <w:left w:val="none" w:sz="0" w:space="0" w:color="auto"/>
        <w:bottom w:val="none" w:sz="0" w:space="0" w:color="auto"/>
        <w:right w:val="none" w:sz="0" w:space="0" w:color="auto"/>
      </w:divBdr>
    </w:div>
    <w:div w:id="1039204400">
      <w:bodyDiv w:val="1"/>
      <w:marLeft w:val="0"/>
      <w:marRight w:val="0"/>
      <w:marTop w:val="0"/>
      <w:marBottom w:val="0"/>
      <w:divBdr>
        <w:top w:val="none" w:sz="0" w:space="0" w:color="auto"/>
        <w:left w:val="none" w:sz="0" w:space="0" w:color="auto"/>
        <w:bottom w:val="none" w:sz="0" w:space="0" w:color="auto"/>
        <w:right w:val="none" w:sz="0" w:space="0" w:color="auto"/>
      </w:divBdr>
    </w:div>
    <w:div w:id="1039432441">
      <w:bodyDiv w:val="1"/>
      <w:marLeft w:val="0"/>
      <w:marRight w:val="0"/>
      <w:marTop w:val="0"/>
      <w:marBottom w:val="0"/>
      <w:divBdr>
        <w:top w:val="none" w:sz="0" w:space="0" w:color="auto"/>
        <w:left w:val="none" w:sz="0" w:space="0" w:color="auto"/>
        <w:bottom w:val="none" w:sz="0" w:space="0" w:color="auto"/>
        <w:right w:val="none" w:sz="0" w:space="0" w:color="auto"/>
      </w:divBdr>
    </w:div>
    <w:div w:id="1041787920">
      <w:bodyDiv w:val="1"/>
      <w:marLeft w:val="0"/>
      <w:marRight w:val="0"/>
      <w:marTop w:val="0"/>
      <w:marBottom w:val="0"/>
      <w:divBdr>
        <w:top w:val="none" w:sz="0" w:space="0" w:color="auto"/>
        <w:left w:val="none" w:sz="0" w:space="0" w:color="auto"/>
        <w:bottom w:val="none" w:sz="0" w:space="0" w:color="auto"/>
        <w:right w:val="none" w:sz="0" w:space="0" w:color="auto"/>
      </w:divBdr>
    </w:div>
    <w:div w:id="1048452157">
      <w:bodyDiv w:val="1"/>
      <w:marLeft w:val="0"/>
      <w:marRight w:val="0"/>
      <w:marTop w:val="0"/>
      <w:marBottom w:val="0"/>
      <w:divBdr>
        <w:top w:val="none" w:sz="0" w:space="0" w:color="auto"/>
        <w:left w:val="none" w:sz="0" w:space="0" w:color="auto"/>
        <w:bottom w:val="none" w:sz="0" w:space="0" w:color="auto"/>
        <w:right w:val="none" w:sz="0" w:space="0" w:color="auto"/>
      </w:divBdr>
    </w:div>
    <w:div w:id="1049035653">
      <w:bodyDiv w:val="1"/>
      <w:marLeft w:val="0"/>
      <w:marRight w:val="0"/>
      <w:marTop w:val="0"/>
      <w:marBottom w:val="0"/>
      <w:divBdr>
        <w:top w:val="none" w:sz="0" w:space="0" w:color="auto"/>
        <w:left w:val="none" w:sz="0" w:space="0" w:color="auto"/>
        <w:bottom w:val="none" w:sz="0" w:space="0" w:color="auto"/>
        <w:right w:val="none" w:sz="0" w:space="0" w:color="auto"/>
      </w:divBdr>
    </w:div>
    <w:div w:id="1053771120">
      <w:bodyDiv w:val="1"/>
      <w:marLeft w:val="0"/>
      <w:marRight w:val="0"/>
      <w:marTop w:val="0"/>
      <w:marBottom w:val="0"/>
      <w:divBdr>
        <w:top w:val="none" w:sz="0" w:space="0" w:color="auto"/>
        <w:left w:val="none" w:sz="0" w:space="0" w:color="auto"/>
        <w:bottom w:val="none" w:sz="0" w:space="0" w:color="auto"/>
        <w:right w:val="none" w:sz="0" w:space="0" w:color="auto"/>
      </w:divBdr>
    </w:div>
    <w:div w:id="1054542473">
      <w:bodyDiv w:val="1"/>
      <w:marLeft w:val="0"/>
      <w:marRight w:val="0"/>
      <w:marTop w:val="0"/>
      <w:marBottom w:val="0"/>
      <w:divBdr>
        <w:top w:val="none" w:sz="0" w:space="0" w:color="auto"/>
        <w:left w:val="none" w:sz="0" w:space="0" w:color="auto"/>
        <w:bottom w:val="none" w:sz="0" w:space="0" w:color="auto"/>
        <w:right w:val="none" w:sz="0" w:space="0" w:color="auto"/>
      </w:divBdr>
    </w:div>
    <w:div w:id="1056735002">
      <w:bodyDiv w:val="1"/>
      <w:marLeft w:val="0"/>
      <w:marRight w:val="0"/>
      <w:marTop w:val="0"/>
      <w:marBottom w:val="0"/>
      <w:divBdr>
        <w:top w:val="none" w:sz="0" w:space="0" w:color="auto"/>
        <w:left w:val="none" w:sz="0" w:space="0" w:color="auto"/>
        <w:bottom w:val="none" w:sz="0" w:space="0" w:color="auto"/>
        <w:right w:val="none" w:sz="0" w:space="0" w:color="auto"/>
      </w:divBdr>
    </w:div>
    <w:div w:id="1058824893">
      <w:bodyDiv w:val="1"/>
      <w:marLeft w:val="0"/>
      <w:marRight w:val="0"/>
      <w:marTop w:val="0"/>
      <w:marBottom w:val="0"/>
      <w:divBdr>
        <w:top w:val="none" w:sz="0" w:space="0" w:color="auto"/>
        <w:left w:val="none" w:sz="0" w:space="0" w:color="auto"/>
        <w:bottom w:val="none" w:sz="0" w:space="0" w:color="auto"/>
        <w:right w:val="none" w:sz="0" w:space="0" w:color="auto"/>
      </w:divBdr>
    </w:div>
    <w:div w:id="1065567834">
      <w:bodyDiv w:val="1"/>
      <w:marLeft w:val="0"/>
      <w:marRight w:val="0"/>
      <w:marTop w:val="0"/>
      <w:marBottom w:val="0"/>
      <w:divBdr>
        <w:top w:val="none" w:sz="0" w:space="0" w:color="auto"/>
        <w:left w:val="none" w:sz="0" w:space="0" w:color="auto"/>
        <w:bottom w:val="none" w:sz="0" w:space="0" w:color="auto"/>
        <w:right w:val="none" w:sz="0" w:space="0" w:color="auto"/>
      </w:divBdr>
    </w:div>
    <w:div w:id="1070274793">
      <w:bodyDiv w:val="1"/>
      <w:marLeft w:val="0"/>
      <w:marRight w:val="0"/>
      <w:marTop w:val="0"/>
      <w:marBottom w:val="0"/>
      <w:divBdr>
        <w:top w:val="none" w:sz="0" w:space="0" w:color="auto"/>
        <w:left w:val="none" w:sz="0" w:space="0" w:color="auto"/>
        <w:bottom w:val="none" w:sz="0" w:space="0" w:color="auto"/>
        <w:right w:val="none" w:sz="0" w:space="0" w:color="auto"/>
      </w:divBdr>
    </w:div>
    <w:div w:id="1074207457">
      <w:bodyDiv w:val="1"/>
      <w:marLeft w:val="0"/>
      <w:marRight w:val="0"/>
      <w:marTop w:val="0"/>
      <w:marBottom w:val="0"/>
      <w:divBdr>
        <w:top w:val="none" w:sz="0" w:space="0" w:color="auto"/>
        <w:left w:val="none" w:sz="0" w:space="0" w:color="auto"/>
        <w:bottom w:val="none" w:sz="0" w:space="0" w:color="auto"/>
        <w:right w:val="none" w:sz="0" w:space="0" w:color="auto"/>
      </w:divBdr>
    </w:div>
    <w:div w:id="1076318179">
      <w:bodyDiv w:val="1"/>
      <w:marLeft w:val="0"/>
      <w:marRight w:val="0"/>
      <w:marTop w:val="0"/>
      <w:marBottom w:val="0"/>
      <w:divBdr>
        <w:top w:val="none" w:sz="0" w:space="0" w:color="auto"/>
        <w:left w:val="none" w:sz="0" w:space="0" w:color="auto"/>
        <w:bottom w:val="none" w:sz="0" w:space="0" w:color="auto"/>
        <w:right w:val="none" w:sz="0" w:space="0" w:color="auto"/>
      </w:divBdr>
    </w:div>
    <w:div w:id="1078791720">
      <w:bodyDiv w:val="1"/>
      <w:marLeft w:val="0"/>
      <w:marRight w:val="0"/>
      <w:marTop w:val="0"/>
      <w:marBottom w:val="0"/>
      <w:divBdr>
        <w:top w:val="none" w:sz="0" w:space="0" w:color="auto"/>
        <w:left w:val="none" w:sz="0" w:space="0" w:color="auto"/>
        <w:bottom w:val="none" w:sz="0" w:space="0" w:color="auto"/>
        <w:right w:val="none" w:sz="0" w:space="0" w:color="auto"/>
      </w:divBdr>
    </w:div>
    <w:div w:id="1081757969">
      <w:bodyDiv w:val="1"/>
      <w:marLeft w:val="0"/>
      <w:marRight w:val="0"/>
      <w:marTop w:val="0"/>
      <w:marBottom w:val="0"/>
      <w:divBdr>
        <w:top w:val="none" w:sz="0" w:space="0" w:color="auto"/>
        <w:left w:val="none" w:sz="0" w:space="0" w:color="auto"/>
        <w:bottom w:val="none" w:sz="0" w:space="0" w:color="auto"/>
        <w:right w:val="none" w:sz="0" w:space="0" w:color="auto"/>
      </w:divBdr>
    </w:div>
    <w:div w:id="1082214104">
      <w:bodyDiv w:val="1"/>
      <w:marLeft w:val="0"/>
      <w:marRight w:val="0"/>
      <w:marTop w:val="0"/>
      <w:marBottom w:val="0"/>
      <w:divBdr>
        <w:top w:val="none" w:sz="0" w:space="0" w:color="auto"/>
        <w:left w:val="none" w:sz="0" w:space="0" w:color="auto"/>
        <w:bottom w:val="none" w:sz="0" w:space="0" w:color="auto"/>
        <w:right w:val="none" w:sz="0" w:space="0" w:color="auto"/>
      </w:divBdr>
    </w:div>
    <w:div w:id="1085371856">
      <w:bodyDiv w:val="1"/>
      <w:marLeft w:val="0"/>
      <w:marRight w:val="0"/>
      <w:marTop w:val="0"/>
      <w:marBottom w:val="0"/>
      <w:divBdr>
        <w:top w:val="none" w:sz="0" w:space="0" w:color="auto"/>
        <w:left w:val="none" w:sz="0" w:space="0" w:color="auto"/>
        <w:bottom w:val="none" w:sz="0" w:space="0" w:color="auto"/>
        <w:right w:val="none" w:sz="0" w:space="0" w:color="auto"/>
      </w:divBdr>
    </w:div>
    <w:div w:id="1090925102">
      <w:bodyDiv w:val="1"/>
      <w:marLeft w:val="0"/>
      <w:marRight w:val="0"/>
      <w:marTop w:val="0"/>
      <w:marBottom w:val="0"/>
      <w:divBdr>
        <w:top w:val="none" w:sz="0" w:space="0" w:color="auto"/>
        <w:left w:val="none" w:sz="0" w:space="0" w:color="auto"/>
        <w:bottom w:val="none" w:sz="0" w:space="0" w:color="auto"/>
        <w:right w:val="none" w:sz="0" w:space="0" w:color="auto"/>
      </w:divBdr>
    </w:div>
    <w:div w:id="1093743482">
      <w:bodyDiv w:val="1"/>
      <w:marLeft w:val="0"/>
      <w:marRight w:val="0"/>
      <w:marTop w:val="0"/>
      <w:marBottom w:val="0"/>
      <w:divBdr>
        <w:top w:val="none" w:sz="0" w:space="0" w:color="auto"/>
        <w:left w:val="none" w:sz="0" w:space="0" w:color="auto"/>
        <w:bottom w:val="none" w:sz="0" w:space="0" w:color="auto"/>
        <w:right w:val="none" w:sz="0" w:space="0" w:color="auto"/>
      </w:divBdr>
    </w:div>
    <w:div w:id="1097553233">
      <w:bodyDiv w:val="1"/>
      <w:marLeft w:val="0"/>
      <w:marRight w:val="0"/>
      <w:marTop w:val="0"/>
      <w:marBottom w:val="0"/>
      <w:divBdr>
        <w:top w:val="none" w:sz="0" w:space="0" w:color="auto"/>
        <w:left w:val="none" w:sz="0" w:space="0" w:color="auto"/>
        <w:bottom w:val="none" w:sz="0" w:space="0" w:color="auto"/>
        <w:right w:val="none" w:sz="0" w:space="0" w:color="auto"/>
      </w:divBdr>
    </w:div>
    <w:div w:id="1101216670">
      <w:bodyDiv w:val="1"/>
      <w:marLeft w:val="0"/>
      <w:marRight w:val="0"/>
      <w:marTop w:val="0"/>
      <w:marBottom w:val="0"/>
      <w:divBdr>
        <w:top w:val="none" w:sz="0" w:space="0" w:color="auto"/>
        <w:left w:val="none" w:sz="0" w:space="0" w:color="auto"/>
        <w:bottom w:val="none" w:sz="0" w:space="0" w:color="auto"/>
        <w:right w:val="none" w:sz="0" w:space="0" w:color="auto"/>
      </w:divBdr>
    </w:div>
    <w:div w:id="1106657212">
      <w:bodyDiv w:val="1"/>
      <w:marLeft w:val="0"/>
      <w:marRight w:val="0"/>
      <w:marTop w:val="0"/>
      <w:marBottom w:val="0"/>
      <w:divBdr>
        <w:top w:val="none" w:sz="0" w:space="0" w:color="auto"/>
        <w:left w:val="none" w:sz="0" w:space="0" w:color="auto"/>
        <w:bottom w:val="none" w:sz="0" w:space="0" w:color="auto"/>
        <w:right w:val="none" w:sz="0" w:space="0" w:color="auto"/>
      </w:divBdr>
    </w:div>
    <w:div w:id="1116287945">
      <w:bodyDiv w:val="1"/>
      <w:marLeft w:val="0"/>
      <w:marRight w:val="0"/>
      <w:marTop w:val="0"/>
      <w:marBottom w:val="0"/>
      <w:divBdr>
        <w:top w:val="none" w:sz="0" w:space="0" w:color="auto"/>
        <w:left w:val="none" w:sz="0" w:space="0" w:color="auto"/>
        <w:bottom w:val="none" w:sz="0" w:space="0" w:color="auto"/>
        <w:right w:val="none" w:sz="0" w:space="0" w:color="auto"/>
      </w:divBdr>
    </w:div>
    <w:div w:id="1131173536">
      <w:bodyDiv w:val="1"/>
      <w:marLeft w:val="0"/>
      <w:marRight w:val="0"/>
      <w:marTop w:val="0"/>
      <w:marBottom w:val="0"/>
      <w:divBdr>
        <w:top w:val="none" w:sz="0" w:space="0" w:color="auto"/>
        <w:left w:val="none" w:sz="0" w:space="0" w:color="auto"/>
        <w:bottom w:val="none" w:sz="0" w:space="0" w:color="auto"/>
        <w:right w:val="none" w:sz="0" w:space="0" w:color="auto"/>
      </w:divBdr>
    </w:div>
    <w:div w:id="1138574343">
      <w:bodyDiv w:val="1"/>
      <w:marLeft w:val="0"/>
      <w:marRight w:val="0"/>
      <w:marTop w:val="0"/>
      <w:marBottom w:val="0"/>
      <w:divBdr>
        <w:top w:val="none" w:sz="0" w:space="0" w:color="auto"/>
        <w:left w:val="none" w:sz="0" w:space="0" w:color="auto"/>
        <w:bottom w:val="none" w:sz="0" w:space="0" w:color="auto"/>
        <w:right w:val="none" w:sz="0" w:space="0" w:color="auto"/>
      </w:divBdr>
    </w:div>
    <w:div w:id="1139032680">
      <w:bodyDiv w:val="1"/>
      <w:marLeft w:val="0"/>
      <w:marRight w:val="0"/>
      <w:marTop w:val="0"/>
      <w:marBottom w:val="0"/>
      <w:divBdr>
        <w:top w:val="none" w:sz="0" w:space="0" w:color="auto"/>
        <w:left w:val="none" w:sz="0" w:space="0" w:color="auto"/>
        <w:bottom w:val="none" w:sz="0" w:space="0" w:color="auto"/>
        <w:right w:val="none" w:sz="0" w:space="0" w:color="auto"/>
      </w:divBdr>
    </w:div>
    <w:div w:id="1147934245">
      <w:bodyDiv w:val="1"/>
      <w:marLeft w:val="0"/>
      <w:marRight w:val="0"/>
      <w:marTop w:val="0"/>
      <w:marBottom w:val="0"/>
      <w:divBdr>
        <w:top w:val="none" w:sz="0" w:space="0" w:color="auto"/>
        <w:left w:val="none" w:sz="0" w:space="0" w:color="auto"/>
        <w:bottom w:val="none" w:sz="0" w:space="0" w:color="auto"/>
        <w:right w:val="none" w:sz="0" w:space="0" w:color="auto"/>
      </w:divBdr>
    </w:div>
    <w:div w:id="1148207317">
      <w:bodyDiv w:val="1"/>
      <w:marLeft w:val="0"/>
      <w:marRight w:val="0"/>
      <w:marTop w:val="0"/>
      <w:marBottom w:val="0"/>
      <w:divBdr>
        <w:top w:val="none" w:sz="0" w:space="0" w:color="auto"/>
        <w:left w:val="none" w:sz="0" w:space="0" w:color="auto"/>
        <w:bottom w:val="none" w:sz="0" w:space="0" w:color="auto"/>
        <w:right w:val="none" w:sz="0" w:space="0" w:color="auto"/>
      </w:divBdr>
    </w:div>
    <w:div w:id="1148858998">
      <w:bodyDiv w:val="1"/>
      <w:marLeft w:val="0"/>
      <w:marRight w:val="0"/>
      <w:marTop w:val="0"/>
      <w:marBottom w:val="0"/>
      <w:divBdr>
        <w:top w:val="none" w:sz="0" w:space="0" w:color="auto"/>
        <w:left w:val="none" w:sz="0" w:space="0" w:color="auto"/>
        <w:bottom w:val="none" w:sz="0" w:space="0" w:color="auto"/>
        <w:right w:val="none" w:sz="0" w:space="0" w:color="auto"/>
      </w:divBdr>
    </w:div>
    <w:div w:id="1157192274">
      <w:bodyDiv w:val="1"/>
      <w:marLeft w:val="0"/>
      <w:marRight w:val="0"/>
      <w:marTop w:val="0"/>
      <w:marBottom w:val="0"/>
      <w:divBdr>
        <w:top w:val="none" w:sz="0" w:space="0" w:color="auto"/>
        <w:left w:val="none" w:sz="0" w:space="0" w:color="auto"/>
        <w:bottom w:val="none" w:sz="0" w:space="0" w:color="auto"/>
        <w:right w:val="none" w:sz="0" w:space="0" w:color="auto"/>
      </w:divBdr>
    </w:div>
    <w:div w:id="1157380336">
      <w:bodyDiv w:val="1"/>
      <w:marLeft w:val="0"/>
      <w:marRight w:val="0"/>
      <w:marTop w:val="0"/>
      <w:marBottom w:val="0"/>
      <w:divBdr>
        <w:top w:val="none" w:sz="0" w:space="0" w:color="auto"/>
        <w:left w:val="none" w:sz="0" w:space="0" w:color="auto"/>
        <w:bottom w:val="none" w:sz="0" w:space="0" w:color="auto"/>
        <w:right w:val="none" w:sz="0" w:space="0" w:color="auto"/>
      </w:divBdr>
    </w:div>
    <w:div w:id="1157572050">
      <w:bodyDiv w:val="1"/>
      <w:marLeft w:val="0"/>
      <w:marRight w:val="0"/>
      <w:marTop w:val="0"/>
      <w:marBottom w:val="0"/>
      <w:divBdr>
        <w:top w:val="none" w:sz="0" w:space="0" w:color="auto"/>
        <w:left w:val="none" w:sz="0" w:space="0" w:color="auto"/>
        <w:bottom w:val="none" w:sz="0" w:space="0" w:color="auto"/>
        <w:right w:val="none" w:sz="0" w:space="0" w:color="auto"/>
      </w:divBdr>
    </w:div>
    <w:div w:id="1157578596">
      <w:bodyDiv w:val="1"/>
      <w:marLeft w:val="0"/>
      <w:marRight w:val="0"/>
      <w:marTop w:val="0"/>
      <w:marBottom w:val="0"/>
      <w:divBdr>
        <w:top w:val="none" w:sz="0" w:space="0" w:color="auto"/>
        <w:left w:val="none" w:sz="0" w:space="0" w:color="auto"/>
        <w:bottom w:val="none" w:sz="0" w:space="0" w:color="auto"/>
        <w:right w:val="none" w:sz="0" w:space="0" w:color="auto"/>
      </w:divBdr>
    </w:div>
    <w:div w:id="1164318039">
      <w:bodyDiv w:val="1"/>
      <w:marLeft w:val="0"/>
      <w:marRight w:val="0"/>
      <w:marTop w:val="0"/>
      <w:marBottom w:val="0"/>
      <w:divBdr>
        <w:top w:val="none" w:sz="0" w:space="0" w:color="auto"/>
        <w:left w:val="none" w:sz="0" w:space="0" w:color="auto"/>
        <w:bottom w:val="none" w:sz="0" w:space="0" w:color="auto"/>
        <w:right w:val="none" w:sz="0" w:space="0" w:color="auto"/>
      </w:divBdr>
    </w:div>
    <w:div w:id="1166289694">
      <w:bodyDiv w:val="1"/>
      <w:marLeft w:val="0"/>
      <w:marRight w:val="0"/>
      <w:marTop w:val="0"/>
      <w:marBottom w:val="0"/>
      <w:divBdr>
        <w:top w:val="none" w:sz="0" w:space="0" w:color="auto"/>
        <w:left w:val="none" w:sz="0" w:space="0" w:color="auto"/>
        <w:bottom w:val="none" w:sz="0" w:space="0" w:color="auto"/>
        <w:right w:val="none" w:sz="0" w:space="0" w:color="auto"/>
      </w:divBdr>
    </w:div>
    <w:div w:id="1166752453">
      <w:bodyDiv w:val="1"/>
      <w:marLeft w:val="0"/>
      <w:marRight w:val="0"/>
      <w:marTop w:val="0"/>
      <w:marBottom w:val="0"/>
      <w:divBdr>
        <w:top w:val="none" w:sz="0" w:space="0" w:color="auto"/>
        <w:left w:val="none" w:sz="0" w:space="0" w:color="auto"/>
        <w:bottom w:val="none" w:sz="0" w:space="0" w:color="auto"/>
        <w:right w:val="none" w:sz="0" w:space="0" w:color="auto"/>
      </w:divBdr>
    </w:div>
    <w:div w:id="1171414105">
      <w:bodyDiv w:val="1"/>
      <w:marLeft w:val="0"/>
      <w:marRight w:val="0"/>
      <w:marTop w:val="0"/>
      <w:marBottom w:val="0"/>
      <w:divBdr>
        <w:top w:val="none" w:sz="0" w:space="0" w:color="auto"/>
        <w:left w:val="none" w:sz="0" w:space="0" w:color="auto"/>
        <w:bottom w:val="none" w:sz="0" w:space="0" w:color="auto"/>
        <w:right w:val="none" w:sz="0" w:space="0" w:color="auto"/>
      </w:divBdr>
    </w:div>
    <w:div w:id="1177580243">
      <w:bodyDiv w:val="1"/>
      <w:marLeft w:val="0"/>
      <w:marRight w:val="0"/>
      <w:marTop w:val="0"/>
      <w:marBottom w:val="0"/>
      <w:divBdr>
        <w:top w:val="none" w:sz="0" w:space="0" w:color="auto"/>
        <w:left w:val="none" w:sz="0" w:space="0" w:color="auto"/>
        <w:bottom w:val="none" w:sz="0" w:space="0" w:color="auto"/>
        <w:right w:val="none" w:sz="0" w:space="0" w:color="auto"/>
      </w:divBdr>
    </w:div>
    <w:div w:id="1181160514">
      <w:bodyDiv w:val="1"/>
      <w:marLeft w:val="0"/>
      <w:marRight w:val="0"/>
      <w:marTop w:val="0"/>
      <w:marBottom w:val="0"/>
      <w:divBdr>
        <w:top w:val="none" w:sz="0" w:space="0" w:color="auto"/>
        <w:left w:val="none" w:sz="0" w:space="0" w:color="auto"/>
        <w:bottom w:val="none" w:sz="0" w:space="0" w:color="auto"/>
        <w:right w:val="none" w:sz="0" w:space="0" w:color="auto"/>
      </w:divBdr>
    </w:div>
    <w:div w:id="1188982167">
      <w:bodyDiv w:val="1"/>
      <w:marLeft w:val="0"/>
      <w:marRight w:val="0"/>
      <w:marTop w:val="0"/>
      <w:marBottom w:val="0"/>
      <w:divBdr>
        <w:top w:val="none" w:sz="0" w:space="0" w:color="auto"/>
        <w:left w:val="none" w:sz="0" w:space="0" w:color="auto"/>
        <w:bottom w:val="none" w:sz="0" w:space="0" w:color="auto"/>
        <w:right w:val="none" w:sz="0" w:space="0" w:color="auto"/>
      </w:divBdr>
    </w:div>
    <w:div w:id="1189950549">
      <w:bodyDiv w:val="1"/>
      <w:marLeft w:val="0"/>
      <w:marRight w:val="0"/>
      <w:marTop w:val="0"/>
      <w:marBottom w:val="0"/>
      <w:divBdr>
        <w:top w:val="none" w:sz="0" w:space="0" w:color="auto"/>
        <w:left w:val="none" w:sz="0" w:space="0" w:color="auto"/>
        <w:bottom w:val="none" w:sz="0" w:space="0" w:color="auto"/>
        <w:right w:val="none" w:sz="0" w:space="0" w:color="auto"/>
      </w:divBdr>
    </w:div>
    <w:div w:id="1193952986">
      <w:bodyDiv w:val="1"/>
      <w:marLeft w:val="0"/>
      <w:marRight w:val="0"/>
      <w:marTop w:val="0"/>
      <w:marBottom w:val="0"/>
      <w:divBdr>
        <w:top w:val="none" w:sz="0" w:space="0" w:color="auto"/>
        <w:left w:val="none" w:sz="0" w:space="0" w:color="auto"/>
        <w:bottom w:val="none" w:sz="0" w:space="0" w:color="auto"/>
        <w:right w:val="none" w:sz="0" w:space="0" w:color="auto"/>
      </w:divBdr>
    </w:div>
    <w:div w:id="1196504189">
      <w:bodyDiv w:val="1"/>
      <w:marLeft w:val="0"/>
      <w:marRight w:val="0"/>
      <w:marTop w:val="0"/>
      <w:marBottom w:val="0"/>
      <w:divBdr>
        <w:top w:val="none" w:sz="0" w:space="0" w:color="auto"/>
        <w:left w:val="none" w:sz="0" w:space="0" w:color="auto"/>
        <w:bottom w:val="none" w:sz="0" w:space="0" w:color="auto"/>
        <w:right w:val="none" w:sz="0" w:space="0" w:color="auto"/>
      </w:divBdr>
    </w:div>
    <w:div w:id="1207718220">
      <w:bodyDiv w:val="1"/>
      <w:marLeft w:val="0"/>
      <w:marRight w:val="0"/>
      <w:marTop w:val="0"/>
      <w:marBottom w:val="0"/>
      <w:divBdr>
        <w:top w:val="none" w:sz="0" w:space="0" w:color="auto"/>
        <w:left w:val="none" w:sz="0" w:space="0" w:color="auto"/>
        <w:bottom w:val="none" w:sz="0" w:space="0" w:color="auto"/>
        <w:right w:val="none" w:sz="0" w:space="0" w:color="auto"/>
      </w:divBdr>
    </w:div>
    <w:div w:id="1208881193">
      <w:bodyDiv w:val="1"/>
      <w:marLeft w:val="0"/>
      <w:marRight w:val="0"/>
      <w:marTop w:val="0"/>
      <w:marBottom w:val="0"/>
      <w:divBdr>
        <w:top w:val="none" w:sz="0" w:space="0" w:color="auto"/>
        <w:left w:val="none" w:sz="0" w:space="0" w:color="auto"/>
        <w:bottom w:val="none" w:sz="0" w:space="0" w:color="auto"/>
        <w:right w:val="none" w:sz="0" w:space="0" w:color="auto"/>
      </w:divBdr>
    </w:div>
    <w:div w:id="1218513195">
      <w:bodyDiv w:val="1"/>
      <w:marLeft w:val="0"/>
      <w:marRight w:val="0"/>
      <w:marTop w:val="0"/>
      <w:marBottom w:val="0"/>
      <w:divBdr>
        <w:top w:val="none" w:sz="0" w:space="0" w:color="auto"/>
        <w:left w:val="none" w:sz="0" w:space="0" w:color="auto"/>
        <w:bottom w:val="none" w:sz="0" w:space="0" w:color="auto"/>
        <w:right w:val="none" w:sz="0" w:space="0" w:color="auto"/>
      </w:divBdr>
    </w:div>
    <w:div w:id="1219707653">
      <w:bodyDiv w:val="1"/>
      <w:marLeft w:val="0"/>
      <w:marRight w:val="0"/>
      <w:marTop w:val="0"/>
      <w:marBottom w:val="0"/>
      <w:divBdr>
        <w:top w:val="none" w:sz="0" w:space="0" w:color="auto"/>
        <w:left w:val="none" w:sz="0" w:space="0" w:color="auto"/>
        <w:bottom w:val="none" w:sz="0" w:space="0" w:color="auto"/>
        <w:right w:val="none" w:sz="0" w:space="0" w:color="auto"/>
      </w:divBdr>
    </w:div>
    <w:div w:id="1219904426">
      <w:bodyDiv w:val="1"/>
      <w:marLeft w:val="0"/>
      <w:marRight w:val="0"/>
      <w:marTop w:val="0"/>
      <w:marBottom w:val="0"/>
      <w:divBdr>
        <w:top w:val="none" w:sz="0" w:space="0" w:color="auto"/>
        <w:left w:val="none" w:sz="0" w:space="0" w:color="auto"/>
        <w:bottom w:val="none" w:sz="0" w:space="0" w:color="auto"/>
        <w:right w:val="none" w:sz="0" w:space="0" w:color="auto"/>
      </w:divBdr>
    </w:div>
    <w:div w:id="1222672044">
      <w:bodyDiv w:val="1"/>
      <w:marLeft w:val="0"/>
      <w:marRight w:val="0"/>
      <w:marTop w:val="0"/>
      <w:marBottom w:val="0"/>
      <w:divBdr>
        <w:top w:val="none" w:sz="0" w:space="0" w:color="auto"/>
        <w:left w:val="none" w:sz="0" w:space="0" w:color="auto"/>
        <w:bottom w:val="none" w:sz="0" w:space="0" w:color="auto"/>
        <w:right w:val="none" w:sz="0" w:space="0" w:color="auto"/>
      </w:divBdr>
    </w:div>
    <w:div w:id="1223907726">
      <w:bodyDiv w:val="1"/>
      <w:marLeft w:val="0"/>
      <w:marRight w:val="0"/>
      <w:marTop w:val="0"/>
      <w:marBottom w:val="0"/>
      <w:divBdr>
        <w:top w:val="none" w:sz="0" w:space="0" w:color="auto"/>
        <w:left w:val="none" w:sz="0" w:space="0" w:color="auto"/>
        <w:bottom w:val="none" w:sz="0" w:space="0" w:color="auto"/>
        <w:right w:val="none" w:sz="0" w:space="0" w:color="auto"/>
      </w:divBdr>
    </w:div>
    <w:div w:id="1227839149">
      <w:bodyDiv w:val="1"/>
      <w:marLeft w:val="0"/>
      <w:marRight w:val="0"/>
      <w:marTop w:val="0"/>
      <w:marBottom w:val="0"/>
      <w:divBdr>
        <w:top w:val="none" w:sz="0" w:space="0" w:color="auto"/>
        <w:left w:val="none" w:sz="0" w:space="0" w:color="auto"/>
        <w:bottom w:val="none" w:sz="0" w:space="0" w:color="auto"/>
        <w:right w:val="none" w:sz="0" w:space="0" w:color="auto"/>
      </w:divBdr>
    </w:div>
    <w:div w:id="1232274916">
      <w:bodyDiv w:val="1"/>
      <w:marLeft w:val="0"/>
      <w:marRight w:val="0"/>
      <w:marTop w:val="0"/>
      <w:marBottom w:val="0"/>
      <w:divBdr>
        <w:top w:val="none" w:sz="0" w:space="0" w:color="auto"/>
        <w:left w:val="none" w:sz="0" w:space="0" w:color="auto"/>
        <w:bottom w:val="none" w:sz="0" w:space="0" w:color="auto"/>
        <w:right w:val="none" w:sz="0" w:space="0" w:color="auto"/>
      </w:divBdr>
    </w:div>
    <w:div w:id="1234966797">
      <w:bodyDiv w:val="1"/>
      <w:marLeft w:val="0"/>
      <w:marRight w:val="0"/>
      <w:marTop w:val="0"/>
      <w:marBottom w:val="0"/>
      <w:divBdr>
        <w:top w:val="none" w:sz="0" w:space="0" w:color="auto"/>
        <w:left w:val="none" w:sz="0" w:space="0" w:color="auto"/>
        <w:bottom w:val="none" w:sz="0" w:space="0" w:color="auto"/>
        <w:right w:val="none" w:sz="0" w:space="0" w:color="auto"/>
      </w:divBdr>
    </w:div>
    <w:div w:id="1237516534">
      <w:bodyDiv w:val="1"/>
      <w:marLeft w:val="0"/>
      <w:marRight w:val="0"/>
      <w:marTop w:val="0"/>
      <w:marBottom w:val="0"/>
      <w:divBdr>
        <w:top w:val="none" w:sz="0" w:space="0" w:color="auto"/>
        <w:left w:val="none" w:sz="0" w:space="0" w:color="auto"/>
        <w:bottom w:val="none" w:sz="0" w:space="0" w:color="auto"/>
        <w:right w:val="none" w:sz="0" w:space="0" w:color="auto"/>
      </w:divBdr>
    </w:div>
    <w:div w:id="1239634220">
      <w:bodyDiv w:val="1"/>
      <w:marLeft w:val="0"/>
      <w:marRight w:val="0"/>
      <w:marTop w:val="0"/>
      <w:marBottom w:val="0"/>
      <w:divBdr>
        <w:top w:val="none" w:sz="0" w:space="0" w:color="auto"/>
        <w:left w:val="none" w:sz="0" w:space="0" w:color="auto"/>
        <w:bottom w:val="none" w:sz="0" w:space="0" w:color="auto"/>
        <w:right w:val="none" w:sz="0" w:space="0" w:color="auto"/>
      </w:divBdr>
    </w:div>
    <w:div w:id="1241597939">
      <w:bodyDiv w:val="1"/>
      <w:marLeft w:val="0"/>
      <w:marRight w:val="0"/>
      <w:marTop w:val="0"/>
      <w:marBottom w:val="0"/>
      <w:divBdr>
        <w:top w:val="none" w:sz="0" w:space="0" w:color="auto"/>
        <w:left w:val="none" w:sz="0" w:space="0" w:color="auto"/>
        <w:bottom w:val="none" w:sz="0" w:space="0" w:color="auto"/>
        <w:right w:val="none" w:sz="0" w:space="0" w:color="auto"/>
      </w:divBdr>
    </w:div>
    <w:div w:id="1243639465">
      <w:bodyDiv w:val="1"/>
      <w:marLeft w:val="0"/>
      <w:marRight w:val="0"/>
      <w:marTop w:val="0"/>
      <w:marBottom w:val="0"/>
      <w:divBdr>
        <w:top w:val="none" w:sz="0" w:space="0" w:color="auto"/>
        <w:left w:val="none" w:sz="0" w:space="0" w:color="auto"/>
        <w:bottom w:val="none" w:sz="0" w:space="0" w:color="auto"/>
        <w:right w:val="none" w:sz="0" w:space="0" w:color="auto"/>
      </w:divBdr>
    </w:div>
    <w:div w:id="1246299424">
      <w:bodyDiv w:val="1"/>
      <w:marLeft w:val="0"/>
      <w:marRight w:val="0"/>
      <w:marTop w:val="0"/>
      <w:marBottom w:val="0"/>
      <w:divBdr>
        <w:top w:val="none" w:sz="0" w:space="0" w:color="auto"/>
        <w:left w:val="none" w:sz="0" w:space="0" w:color="auto"/>
        <w:bottom w:val="none" w:sz="0" w:space="0" w:color="auto"/>
        <w:right w:val="none" w:sz="0" w:space="0" w:color="auto"/>
      </w:divBdr>
    </w:div>
    <w:div w:id="1246770552">
      <w:bodyDiv w:val="1"/>
      <w:marLeft w:val="0"/>
      <w:marRight w:val="0"/>
      <w:marTop w:val="0"/>
      <w:marBottom w:val="0"/>
      <w:divBdr>
        <w:top w:val="none" w:sz="0" w:space="0" w:color="auto"/>
        <w:left w:val="none" w:sz="0" w:space="0" w:color="auto"/>
        <w:bottom w:val="none" w:sz="0" w:space="0" w:color="auto"/>
        <w:right w:val="none" w:sz="0" w:space="0" w:color="auto"/>
      </w:divBdr>
    </w:div>
    <w:div w:id="1255557476">
      <w:bodyDiv w:val="1"/>
      <w:marLeft w:val="0"/>
      <w:marRight w:val="0"/>
      <w:marTop w:val="0"/>
      <w:marBottom w:val="0"/>
      <w:divBdr>
        <w:top w:val="none" w:sz="0" w:space="0" w:color="auto"/>
        <w:left w:val="none" w:sz="0" w:space="0" w:color="auto"/>
        <w:bottom w:val="none" w:sz="0" w:space="0" w:color="auto"/>
        <w:right w:val="none" w:sz="0" w:space="0" w:color="auto"/>
      </w:divBdr>
    </w:div>
    <w:div w:id="1260525646">
      <w:bodyDiv w:val="1"/>
      <w:marLeft w:val="0"/>
      <w:marRight w:val="0"/>
      <w:marTop w:val="0"/>
      <w:marBottom w:val="0"/>
      <w:divBdr>
        <w:top w:val="none" w:sz="0" w:space="0" w:color="auto"/>
        <w:left w:val="none" w:sz="0" w:space="0" w:color="auto"/>
        <w:bottom w:val="none" w:sz="0" w:space="0" w:color="auto"/>
        <w:right w:val="none" w:sz="0" w:space="0" w:color="auto"/>
      </w:divBdr>
    </w:div>
    <w:div w:id="1260721487">
      <w:bodyDiv w:val="1"/>
      <w:marLeft w:val="0"/>
      <w:marRight w:val="0"/>
      <w:marTop w:val="0"/>
      <w:marBottom w:val="0"/>
      <w:divBdr>
        <w:top w:val="none" w:sz="0" w:space="0" w:color="auto"/>
        <w:left w:val="none" w:sz="0" w:space="0" w:color="auto"/>
        <w:bottom w:val="none" w:sz="0" w:space="0" w:color="auto"/>
        <w:right w:val="none" w:sz="0" w:space="0" w:color="auto"/>
      </w:divBdr>
    </w:div>
    <w:div w:id="1266378834">
      <w:bodyDiv w:val="1"/>
      <w:marLeft w:val="0"/>
      <w:marRight w:val="0"/>
      <w:marTop w:val="0"/>
      <w:marBottom w:val="0"/>
      <w:divBdr>
        <w:top w:val="none" w:sz="0" w:space="0" w:color="auto"/>
        <w:left w:val="none" w:sz="0" w:space="0" w:color="auto"/>
        <w:bottom w:val="none" w:sz="0" w:space="0" w:color="auto"/>
        <w:right w:val="none" w:sz="0" w:space="0" w:color="auto"/>
      </w:divBdr>
    </w:div>
    <w:div w:id="1276786865">
      <w:bodyDiv w:val="1"/>
      <w:marLeft w:val="0"/>
      <w:marRight w:val="0"/>
      <w:marTop w:val="0"/>
      <w:marBottom w:val="0"/>
      <w:divBdr>
        <w:top w:val="none" w:sz="0" w:space="0" w:color="auto"/>
        <w:left w:val="none" w:sz="0" w:space="0" w:color="auto"/>
        <w:bottom w:val="none" w:sz="0" w:space="0" w:color="auto"/>
        <w:right w:val="none" w:sz="0" w:space="0" w:color="auto"/>
      </w:divBdr>
    </w:div>
    <w:div w:id="1276794941">
      <w:bodyDiv w:val="1"/>
      <w:marLeft w:val="0"/>
      <w:marRight w:val="0"/>
      <w:marTop w:val="0"/>
      <w:marBottom w:val="0"/>
      <w:divBdr>
        <w:top w:val="none" w:sz="0" w:space="0" w:color="auto"/>
        <w:left w:val="none" w:sz="0" w:space="0" w:color="auto"/>
        <w:bottom w:val="none" w:sz="0" w:space="0" w:color="auto"/>
        <w:right w:val="none" w:sz="0" w:space="0" w:color="auto"/>
      </w:divBdr>
    </w:div>
    <w:div w:id="1281062866">
      <w:bodyDiv w:val="1"/>
      <w:marLeft w:val="0"/>
      <w:marRight w:val="0"/>
      <w:marTop w:val="0"/>
      <w:marBottom w:val="0"/>
      <w:divBdr>
        <w:top w:val="none" w:sz="0" w:space="0" w:color="auto"/>
        <w:left w:val="none" w:sz="0" w:space="0" w:color="auto"/>
        <w:bottom w:val="none" w:sz="0" w:space="0" w:color="auto"/>
        <w:right w:val="none" w:sz="0" w:space="0" w:color="auto"/>
      </w:divBdr>
    </w:div>
    <w:div w:id="1281110560">
      <w:bodyDiv w:val="1"/>
      <w:marLeft w:val="0"/>
      <w:marRight w:val="0"/>
      <w:marTop w:val="0"/>
      <w:marBottom w:val="0"/>
      <w:divBdr>
        <w:top w:val="none" w:sz="0" w:space="0" w:color="auto"/>
        <w:left w:val="none" w:sz="0" w:space="0" w:color="auto"/>
        <w:bottom w:val="none" w:sz="0" w:space="0" w:color="auto"/>
        <w:right w:val="none" w:sz="0" w:space="0" w:color="auto"/>
      </w:divBdr>
    </w:div>
    <w:div w:id="1284850009">
      <w:bodyDiv w:val="1"/>
      <w:marLeft w:val="0"/>
      <w:marRight w:val="0"/>
      <w:marTop w:val="0"/>
      <w:marBottom w:val="0"/>
      <w:divBdr>
        <w:top w:val="none" w:sz="0" w:space="0" w:color="auto"/>
        <w:left w:val="none" w:sz="0" w:space="0" w:color="auto"/>
        <w:bottom w:val="none" w:sz="0" w:space="0" w:color="auto"/>
        <w:right w:val="none" w:sz="0" w:space="0" w:color="auto"/>
      </w:divBdr>
    </w:div>
    <w:div w:id="1285431441">
      <w:bodyDiv w:val="1"/>
      <w:marLeft w:val="0"/>
      <w:marRight w:val="0"/>
      <w:marTop w:val="0"/>
      <w:marBottom w:val="0"/>
      <w:divBdr>
        <w:top w:val="none" w:sz="0" w:space="0" w:color="auto"/>
        <w:left w:val="none" w:sz="0" w:space="0" w:color="auto"/>
        <w:bottom w:val="none" w:sz="0" w:space="0" w:color="auto"/>
        <w:right w:val="none" w:sz="0" w:space="0" w:color="auto"/>
      </w:divBdr>
    </w:div>
    <w:div w:id="1285889261">
      <w:bodyDiv w:val="1"/>
      <w:marLeft w:val="0"/>
      <w:marRight w:val="0"/>
      <w:marTop w:val="0"/>
      <w:marBottom w:val="0"/>
      <w:divBdr>
        <w:top w:val="none" w:sz="0" w:space="0" w:color="auto"/>
        <w:left w:val="none" w:sz="0" w:space="0" w:color="auto"/>
        <w:bottom w:val="none" w:sz="0" w:space="0" w:color="auto"/>
        <w:right w:val="none" w:sz="0" w:space="0" w:color="auto"/>
      </w:divBdr>
    </w:div>
    <w:div w:id="1286739728">
      <w:bodyDiv w:val="1"/>
      <w:marLeft w:val="0"/>
      <w:marRight w:val="0"/>
      <w:marTop w:val="0"/>
      <w:marBottom w:val="0"/>
      <w:divBdr>
        <w:top w:val="none" w:sz="0" w:space="0" w:color="auto"/>
        <w:left w:val="none" w:sz="0" w:space="0" w:color="auto"/>
        <w:bottom w:val="none" w:sz="0" w:space="0" w:color="auto"/>
        <w:right w:val="none" w:sz="0" w:space="0" w:color="auto"/>
      </w:divBdr>
    </w:div>
    <w:div w:id="1287421720">
      <w:bodyDiv w:val="1"/>
      <w:marLeft w:val="0"/>
      <w:marRight w:val="0"/>
      <w:marTop w:val="0"/>
      <w:marBottom w:val="0"/>
      <w:divBdr>
        <w:top w:val="none" w:sz="0" w:space="0" w:color="auto"/>
        <w:left w:val="none" w:sz="0" w:space="0" w:color="auto"/>
        <w:bottom w:val="none" w:sz="0" w:space="0" w:color="auto"/>
        <w:right w:val="none" w:sz="0" w:space="0" w:color="auto"/>
      </w:divBdr>
    </w:div>
    <w:div w:id="1293484057">
      <w:bodyDiv w:val="1"/>
      <w:marLeft w:val="0"/>
      <w:marRight w:val="0"/>
      <w:marTop w:val="0"/>
      <w:marBottom w:val="0"/>
      <w:divBdr>
        <w:top w:val="none" w:sz="0" w:space="0" w:color="auto"/>
        <w:left w:val="none" w:sz="0" w:space="0" w:color="auto"/>
        <w:bottom w:val="none" w:sz="0" w:space="0" w:color="auto"/>
        <w:right w:val="none" w:sz="0" w:space="0" w:color="auto"/>
      </w:divBdr>
    </w:div>
    <w:div w:id="1295407231">
      <w:bodyDiv w:val="1"/>
      <w:marLeft w:val="0"/>
      <w:marRight w:val="0"/>
      <w:marTop w:val="0"/>
      <w:marBottom w:val="0"/>
      <w:divBdr>
        <w:top w:val="none" w:sz="0" w:space="0" w:color="auto"/>
        <w:left w:val="none" w:sz="0" w:space="0" w:color="auto"/>
        <w:bottom w:val="none" w:sz="0" w:space="0" w:color="auto"/>
        <w:right w:val="none" w:sz="0" w:space="0" w:color="auto"/>
      </w:divBdr>
    </w:div>
    <w:div w:id="1296065153">
      <w:bodyDiv w:val="1"/>
      <w:marLeft w:val="0"/>
      <w:marRight w:val="0"/>
      <w:marTop w:val="0"/>
      <w:marBottom w:val="0"/>
      <w:divBdr>
        <w:top w:val="none" w:sz="0" w:space="0" w:color="auto"/>
        <w:left w:val="none" w:sz="0" w:space="0" w:color="auto"/>
        <w:bottom w:val="none" w:sz="0" w:space="0" w:color="auto"/>
        <w:right w:val="none" w:sz="0" w:space="0" w:color="auto"/>
      </w:divBdr>
    </w:div>
    <w:div w:id="1297678825">
      <w:bodyDiv w:val="1"/>
      <w:marLeft w:val="0"/>
      <w:marRight w:val="0"/>
      <w:marTop w:val="0"/>
      <w:marBottom w:val="0"/>
      <w:divBdr>
        <w:top w:val="none" w:sz="0" w:space="0" w:color="auto"/>
        <w:left w:val="none" w:sz="0" w:space="0" w:color="auto"/>
        <w:bottom w:val="none" w:sz="0" w:space="0" w:color="auto"/>
        <w:right w:val="none" w:sz="0" w:space="0" w:color="auto"/>
      </w:divBdr>
    </w:div>
    <w:div w:id="1302886367">
      <w:bodyDiv w:val="1"/>
      <w:marLeft w:val="0"/>
      <w:marRight w:val="0"/>
      <w:marTop w:val="0"/>
      <w:marBottom w:val="0"/>
      <w:divBdr>
        <w:top w:val="none" w:sz="0" w:space="0" w:color="auto"/>
        <w:left w:val="none" w:sz="0" w:space="0" w:color="auto"/>
        <w:bottom w:val="none" w:sz="0" w:space="0" w:color="auto"/>
        <w:right w:val="none" w:sz="0" w:space="0" w:color="auto"/>
      </w:divBdr>
    </w:div>
    <w:div w:id="1309048693">
      <w:bodyDiv w:val="1"/>
      <w:marLeft w:val="0"/>
      <w:marRight w:val="0"/>
      <w:marTop w:val="0"/>
      <w:marBottom w:val="0"/>
      <w:divBdr>
        <w:top w:val="none" w:sz="0" w:space="0" w:color="auto"/>
        <w:left w:val="none" w:sz="0" w:space="0" w:color="auto"/>
        <w:bottom w:val="none" w:sz="0" w:space="0" w:color="auto"/>
        <w:right w:val="none" w:sz="0" w:space="0" w:color="auto"/>
      </w:divBdr>
    </w:div>
    <w:div w:id="1311717668">
      <w:bodyDiv w:val="1"/>
      <w:marLeft w:val="0"/>
      <w:marRight w:val="0"/>
      <w:marTop w:val="0"/>
      <w:marBottom w:val="0"/>
      <w:divBdr>
        <w:top w:val="none" w:sz="0" w:space="0" w:color="auto"/>
        <w:left w:val="none" w:sz="0" w:space="0" w:color="auto"/>
        <w:bottom w:val="none" w:sz="0" w:space="0" w:color="auto"/>
        <w:right w:val="none" w:sz="0" w:space="0" w:color="auto"/>
      </w:divBdr>
    </w:div>
    <w:div w:id="1315647974">
      <w:bodyDiv w:val="1"/>
      <w:marLeft w:val="0"/>
      <w:marRight w:val="0"/>
      <w:marTop w:val="0"/>
      <w:marBottom w:val="0"/>
      <w:divBdr>
        <w:top w:val="none" w:sz="0" w:space="0" w:color="auto"/>
        <w:left w:val="none" w:sz="0" w:space="0" w:color="auto"/>
        <w:bottom w:val="none" w:sz="0" w:space="0" w:color="auto"/>
        <w:right w:val="none" w:sz="0" w:space="0" w:color="auto"/>
      </w:divBdr>
    </w:div>
    <w:div w:id="1322611959">
      <w:bodyDiv w:val="1"/>
      <w:marLeft w:val="0"/>
      <w:marRight w:val="0"/>
      <w:marTop w:val="0"/>
      <w:marBottom w:val="0"/>
      <w:divBdr>
        <w:top w:val="none" w:sz="0" w:space="0" w:color="auto"/>
        <w:left w:val="none" w:sz="0" w:space="0" w:color="auto"/>
        <w:bottom w:val="none" w:sz="0" w:space="0" w:color="auto"/>
        <w:right w:val="none" w:sz="0" w:space="0" w:color="auto"/>
      </w:divBdr>
    </w:div>
    <w:div w:id="1324117173">
      <w:bodyDiv w:val="1"/>
      <w:marLeft w:val="0"/>
      <w:marRight w:val="0"/>
      <w:marTop w:val="0"/>
      <w:marBottom w:val="0"/>
      <w:divBdr>
        <w:top w:val="none" w:sz="0" w:space="0" w:color="auto"/>
        <w:left w:val="none" w:sz="0" w:space="0" w:color="auto"/>
        <w:bottom w:val="none" w:sz="0" w:space="0" w:color="auto"/>
        <w:right w:val="none" w:sz="0" w:space="0" w:color="auto"/>
      </w:divBdr>
    </w:div>
    <w:div w:id="1324620665">
      <w:bodyDiv w:val="1"/>
      <w:marLeft w:val="0"/>
      <w:marRight w:val="0"/>
      <w:marTop w:val="0"/>
      <w:marBottom w:val="0"/>
      <w:divBdr>
        <w:top w:val="none" w:sz="0" w:space="0" w:color="auto"/>
        <w:left w:val="none" w:sz="0" w:space="0" w:color="auto"/>
        <w:bottom w:val="none" w:sz="0" w:space="0" w:color="auto"/>
        <w:right w:val="none" w:sz="0" w:space="0" w:color="auto"/>
      </w:divBdr>
    </w:div>
    <w:div w:id="1326934216">
      <w:bodyDiv w:val="1"/>
      <w:marLeft w:val="0"/>
      <w:marRight w:val="0"/>
      <w:marTop w:val="0"/>
      <w:marBottom w:val="0"/>
      <w:divBdr>
        <w:top w:val="none" w:sz="0" w:space="0" w:color="auto"/>
        <w:left w:val="none" w:sz="0" w:space="0" w:color="auto"/>
        <w:bottom w:val="none" w:sz="0" w:space="0" w:color="auto"/>
        <w:right w:val="none" w:sz="0" w:space="0" w:color="auto"/>
      </w:divBdr>
    </w:div>
    <w:div w:id="1333289796">
      <w:bodyDiv w:val="1"/>
      <w:marLeft w:val="0"/>
      <w:marRight w:val="0"/>
      <w:marTop w:val="0"/>
      <w:marBottom w:val="0"/>
      <w:divBdr>
        <w:top w:val="none" w:sz="0" w:space="0" w:color="auto"/>
        <w:left w:val="none" w:sz="0" w:space="0" w:color="auto"/>
        <w:bottom w:val="none" w:sz="0" w:space="0" w:color="auto"/>
        <w:right w:val="none" w:sz="0" w:space="0" w:color="auto"/>
      </w:divBdr>
    </w:div>
    <w:div w:id="1336613103">
      <w:bodyDiv w:val="1"/>
      <w:marLeft w:val="0"/>
      <w:marRight w:val="0"/>
      <w:marTop w:val="0"/>
      <w:marBottom w:val="0"/>
      <w:divBdr>
        <w:top w:val="none" w:sz="0" w:space="0" w:color="auto"/>
        <w:left w:val="none" w:sz="0" w:space="0" w:color="auto"/>
        <w:bottom w:val="none" w:sz="0" w:space="0" w:color="auto"/>
        <w:right w:val="none" w:sz="0" w:space="0" w:color="auto"/>
      </w:divBdr>
    </w:div>
    <w:div w:id="1337344663">
      <w:bodyDiv w:val="1"/>
      <w:marLeft w:val="0"/>
      <w:marRight w:val="0"/>
      <w:marTop w:val="0"/>
      <w:marBottom w:val="0"/>
      <w:divBdr>
        <w:top w:val="none" w:sz="0" w:space="0" w:color="auto"/>
        <w:left w:val="none" w:sz="0" w:space="0" w:color="auto"/>
        <w:bottom w:val="none" w:sz="0" w:space="0" w:color="auto"/>
        <w:right w:val="none" w:sz="0" w:space="0" w:color="auto"/>
      </w:divBdr>
    </w:div>
    <w:div w:id="1340767090">
      <w:bodyDiv w:val="1"/>
      <w:marLeft w:val="0"/>
      <w:marRight w:val="0"/>
      <w:marTop w:val="0"/>
      <w:marBottom w:val="0"/>
      <w:divBdr>
        <w:top w:val="none" w:sz="0" w:space="0" w:color="auto"/>
        <w:left w:val="none" w:sz="0" w:space="0" w:color="auto"/>
        <w:bottom w:val="none" w:sz="0" w:space="0" w:color="auto"/>
        <w:right w:val="none" w:sz="0" w:space="0" w:color="auto"/>
      </w:divBdr>
    </w:div>
    <w:div w:id="1345858908">
      <w:bodyDiv w:val="1"/>
      <w:marLeft w:val="0"/>
      <w:marRight w:val="0"/>
      <w:marTop w:val="0"/>
      <w:marBottom w:val="0"/>
      <w:divBdr>
        <w:top w:val="none" w:sz="0" w:space="0" w:color="auto"/>
        <w:left w:val="none" w:sz="0" w:space="0" w:color="auto"/>
        <w:bottom w:val="none" w:sz="0" w:space="0" w:color="auto"/>
        <w:right w:val="none" w:sz="0" w:space="0" w:color="auto"/>
      </w:divBdr>
    </w:div>
    <w:div w:id="1345983649">
      <w:bodyDiv w:val="1"/>
      <w:marLeft w:val="0"/>
      <w:marRight w:val="0"/>
      <w:marTop w:val="0"/>
      <w:marBottom w:val="0"/>
      <w:divBdr>
        <w:top w:val="none" w:sz="0" w:space="0" w:color="auto"/>
        <w:left w:val="none" w:sz="0" w:space="0" w:color="auto"/>
        <w:bottom w:val="none" w:sz="0" w:space="0" w:color="auto"/>
        <w:right w:val="none" w:sz="0" w:space="0" w:color="auto"/>
      </w:divBdr>
    </w:div>
    <w:div w:id="1346596679">
      <w:bodyDiv w:val="1"/>
      <w:marLeft w:val="0"/>
      <w:marRight w:val="0"/>
      <w:marTop w:val="0"/>
      <w:marBottom w:val="0"/>
      <w:divBdr>
        <w:top w:val="none" w:sz="0" w:space="0" w:color="auto"/>
        <w:left w:val="none" w:sz="0" w:space="0" w:color="auto"/>
        <w:bottom w:val="none" w:sz="0" w:space="0" w:color="auto"/>
        <w:right w:val="none" w:sz="0" w:space="0" w:color="auto"/>
      </w:divBdr>
    </w:div>
    <w:div w:id="1348365964">
      <w:bodyDiv w:val="1"/>
      <w:marLeft w:val="0"/>
      <w:marRight w:val="0"/>
      <w:marTop w:val="0"/>
      <w:marBottom w:val="0"/>
      <w:divBdr>
        <w:top w:val="none" w:sz="0" w:space="0" w:color="auto"/>
        <w:left w:val="none" w:sz="0" w:space="0" w:color="auto"/>
        <w:bottom w:val="none" w:sz="0" w:space="0" w:color="auto"/>
        <w:right w:val="none" w:sz="0" w:space="0" w:color="auto"/>
      </w:divBdr>
    </w:div>
    <w:div w:id="1350375630">
      <w:bodyDiv w:val="1"/>
      <w:marLeft w:val="0"/>
      <w:marRight w:val="0"/>
      <w:marTop w:val="0"/>
      <w:marBottom w:val="0"/>
      <w:divBdr>
        <w:top w:val="none" w:sz="0" w:space="0" w:color="auto"/>
        <w:left w:val="none" w:sz="0" w:space="0" w:color="auto"/>
        <w:bottom w:val="none" w:sz="0" w:space="0" w:color="auto"/>
        <w:right w:val="none" w:sz="0" w:space="0" w:color="auto"/>
      </w:divBdr>
    </w:div>
    <w:div w:id="1351032050">
      <w:bodyDiv w:val="1"/>
      <w:marLeft w:val="0"/>
      <w:marRight w:val="0"/>
      <w:marTop w:val="0"/>
      <w:marBottom w:val="0"/>
      <w:divBdr>
        <w:top w:val="none" w:sz="0" w:space="0" w:color="auto"/>
        <w:left w:val="none" w:sz="0" w:space="0" w:color="auto"/>
        <w:bottom w:val="none" w:sz="0" w:space="0" w:color="auto"/>
        <w:right w:val="none" w:sz="0" w:space="0" w:color="auto"/>
      </w:divBdr>
    </w:div>
    <w:div w:id="1355690603">
      <w:bodyDiv w:val="1"/>
      <w:marLeft w:val="0"/>
      <w:marRight w:val="0"/>
      <w:marTop w:val="0"/>
      <w:marBottom w:val="0"/>
      <w:divBdr>
        <w:top w:val="none" w:sz="0" w:space="0" w:color="auto"/>
        <w:left w:val="none" w:sz="0" w:space="0" w:color="auto"/>
        <w:bottom w:val="none" w:sz="0" w:space="0" w:color="auto"/>
        <w:right w:val="none" w:sz="0" w:space="0" w:color="auto"/>
      </w:divBdr>
    </w:div>
    <w:div w:id="1360200600">
      <w:bodyDiv w:val="1"/>
      <w:marLeft w:val="0"/>
      <w:marRight w:val="0"/>
      <w:marTop w:val="0"/>
      <w:marBottom w:val="0"/>
      <w:divBdr>
        <w:top w:val="none" w:sz="0" w:space="0" w:color="auto"/>
        <w:left w:val="none" w:sz="0" w:space="0" w:color="auto"/>
        <w:bottom w:val="none" w:sz="0" w:space="0" w:color="auto"/>
        <w:right w:val="none" w:sz="0" w:space="0" w:color="auto"/>
      </w:divBdr>
    </w:div>
    <w:div w:id="1361273513">
      <w:bodyDiv w:val="1"/>
      <w:marLeft w:val="0"/>
      <w:marRight w:val="0"/>
      <w:marTop w:val="0"/>
      <w:marBottom w:val="0"/>
      <w:divBdr>
        <w:top w:val="none" w:sz="0" w:space="0" w:color="auto"/>
        <w:left w:val="none" w:sz="0" w:space="0" w:color="auto"/>
        <w:bottom w:val="none" w:sz="0" w:space="0" w:color="auto"/>
        <w:right w:val="none" w:sz="0" w:space="0" w:color="auto"/>
      </w:divBdr>
    </w:div>
    <w:div w:id="1368067604">
      <w:bodyDiv w:val="1"/>
      <w:marLeft w:val="0"/>
      <w:marRight w:val="0"/>
      <w:marTop w:val="0"/>
      <w:marBottom w:val="0"/>
      <w:divBdr>
        <w:top w:val="none" w:sz="0" w:space="0" w:color="auto"/>
        <w:left w:val="none" w:sz="0" w:space="0" w:color="auto"/>
        <w:bottom w:val="none" w:sz="0" w:space="0" w:color="auto"/>
        <w:right w:val="none" w:sz="0" w:space="0" w:color="auto"/>
      </w:divBdr>
    </w:div>
    <w:div w:id="1368676000">
      <w:bodyDiv w:val="1"/>
      <w:marLeft w:val="0"/>
      <w:marRight w:val="0"/>
      <w:marTop w:val="0"/>
      <w:marBottom w:val="0"/>
      <w:divBdr>
        <w:top w:val="none" w:sz="0" w:space="0" w:color="auto"/>
        <w:left w:val="none" w:sz="0" w:space="0" w:color="auto"/>
        <w:bottom w:val="none" w:sz="0" w:space="0" w:color="auto"/>
        <w:right w:val="none" w:sz="0" w:space="0" w:color="auto"/>
      </w:divBdr>
    </w:div>
    <w:div w:id="1376348855">
      <w:bodyDiv w:val="1"/>
      <w:marLeft w:val="0"/>
      <w:marRight w:val="0"/>
      <w:marTop w:val="0"/>
      <w:marBottom w:val="0"/>
      <w:divBdr>
        <w:top w:val="none" w:sz="0" w:space="0" w:color="auto"/>
        <w:left w:val="none" w:sz="0" w:space="0" w:color="auto"/>
        <w:bottom w:val="none" w:sz="0" w:space="0" w:color="auto"/>
        <w:right w:val="none" w:sz="0" w:space="0" w:color="auto"/>
      </w:divBdr>
    </w:div>
    <w:div w:id="1390151110">
      <w:bodyDiv w:val="1"/>
      <w:marLeft w:val="0"/>
      <w:marRight w:val="0"/>
      <w:marTop w:val="0"/>
      <w:marBottom w:val="0"/>
      <w:divBdr>
        <w:top w:val="none" w:sz="0" w:space="0" w:color="auto"/>
        <w:left w:val="none" w:sz="0" w:space="0" w:color="auto"/>
        <w:bottom w:val="none" w:sz="0" w:space="0" w:color="auto"/>
        <w:right w:val="none" w:sz="0" w:space="0" w:color="auto"/>
      </w:divBdr>
    </w:div>
    <w:div w:id="1397898757">
      <w:bodyDiv w:val="1"/>
      <w:marLeft w:val="0"/>
      <w:marRight w:val="0"/>
      <w:marTop w:val="0"/>
      <w:marBottom w:val="0"/>
      <w:divBdr>
        <w:top w:val="none" w:sz="0" w:space="0" w:color="auto"/>
        <w:left w:val="none" w:sz="0" w:space="0" w:color="auto"/>
        <w:bottom w:val="none" w:sz="0" w:space="0" w:color="auto"/>
        <w:right w:val="none" w:sz="0" w:space="0" w:color="auto"/>
      </w:divBdr>
    </w:div>
    <w:div w:id="1400055544">
      <w:bodyDiv w:val="1"/>
      <w:marLeft w:val="0"/>
      <w:marRight w:val="0"/>
      <w:marTop w:val="0"/>
      <w:marBottom w:val="0"/>
      <w:divBdr>
        <w:top w:val="none" w:sz="0" w:space="0" w:color="auto"/>
        <w:left w:val="none" w:sz="0" w:space="0" w:color="auto"/>
        <w:bottom w:val="none" w:sz="0" w:space="0" w:color="auto"/>
        <w:right w:val="none" w:sz="0" w:space="0" w:color="auto"/>
      </w:divBdr>
    </w:div>
    <w:div w:id="1406143405">
      <w:bodyDiv w:val="1"/>
      <w:marLeft w:val="0"/>
      <w:marRight w:val="0"/>
      <w:marTop w:val="0"/>
      <w:marBottom w:val="0"/>
      <w:divBdr>
        <w:top w:val="none" w:sz="0" w:space="0" w:color="auto"/>
        <w:left w:val="none" w:sz="0" w:space="0" w:color="auto"/>
        <w:bottom w:val="none" w:sz="0" w:space="0" w:color="auto"/>
        <w:right w:val="none" w:sz="0" w:space="0" w:color="auto"/>
      </w:divBdr>
    </w:div>
    <w:div w:id="1407608742">
      <w:bodyDiv w:val="1"/>
      <w:marLeft w:val="0"/>
      <w:marRight w:val="0"/>
      <w:marTop w:val="0"/>
      <w:marBottom w:val="0"/>
      <w:divBdr>
        <w:top w:val="none" w:sz="0" w:space="0" w:color="auto"/>
        <w:left w:val="none" w:sz="0" w:space="0" w:color="auto"/>
        <w:bottom w:val="none" w:sz="0" w:space="0" w:color="auto"/>
        <w:right w:val="none" w:sz="0" w:space="0" w:color="auto"/>
      </w:divBdr>
    </w:div>
    <w:div w:id="1410498129">
      <w:bodyDiv w:val="1"/>
      <w:marLeft w:val="0"/>
      <w:marRight w:val="0"/>
      <w:marTop w:val="0"/>
      <w:marBottom w:val="0"/>
      <w:divBdr>
        <w:top w:val="none" w:sz="0" w:space="0" w:color="auto"/>
        <w:left w:val="none" w:sz="0" w:space="0" w:color="auto"/>
        <w:bottom w:val="none" w:sz="0" w:space="0" w:color="auto"/>
        <w:right w:val="none" w:sz="0" w:space="0" w:color="auto"/>
      </w:divBdr>
    </w:div>
    <w:div w:id="1412195664">
      <w:bodyDiv w:val="1"/>
      <w:marLeft w:val="0"/>
      <w:marRight w:val="0"/>
      <w:marTop w:val="0"/>
      <w:marBottom w:val="0"/>
      <w:divBdr>
        <w:top w:val="none" w:sz="0" w:space="0" w:color="auto"/>
        <w:left w:val="none" w:sz="0" w:space="0" w:color="auto"/>
        <w:bottom w:val="none" w:sz="0" w:space="0" w:color="auto"/>
        <w:right w:val="none" w:sz="0" w:space="0" w:color="auto"/>
      </w:divBdr>
    </w:div>
    <w:div w:id="1414738762">
      <w:bodyDiv w:val="1"/>
      <w:marLeft w:val="0"/>
      <w:marRight w:val="0"/>
      <w:marTop w:val="0"/>
      <w:marBottom w:val="0"/>
      <w:divBdr>
        <w:top w:val="none" w:sz="0" w:space="0" w:color="auto"/>
        <w:left w:val="none" w:sz="0" w:space="0" w:color="auto"/>
        <w:bottom w:val="none" w:sz="0" w:space="0" w:color="auto"/>
        <w:right w:val="none" w:sz="0" w:space="0" w:color="auto"/>
      </w:divBdr>
    </w:div>
    <w:div w:id="1415931694">
      <w:bodyDiv w:val="1"/>
      <w:marLeft w:val="0"/>
      <w:marRight w:val="0"/>
      <w:marTop w:val="0"/>
      <w:marBottom w:val="0"/>
      <w:divBdr>
        <w:top w:val="none" w:sz="0" w:space="0" w:color="auto"/>
        <w:left w:val="none" w:sz="0" w:space="0" w:color="auto"/>
        <w:bottom w:val="none" w:sz="0" w:space="0" w:color="auto"/>
        <w:right w:val="none" w:sz="0" w:space="0" w:color="auto"/>
      </w:divBdr>
    </w:div>
    <w:div w:id="1416317413">
      <w:bodyDiv w:val="1"/>
      <w:marLeft w:val="0"/>
      <w:marRight w:val="0"/>
      <w:marTop w:val="0"/>
      <w:marBottom w:val="0"/>
      <w:divBdr>
        <w:top w:val="none" w:sz="0" w:space="0" w:color="auto"/>
        <w:left w:val="none" w:sz="0" w:space="0" w:color="auto"/>
        <w:bottom w:val="none" w:sz="0" w:space="0" w:color="auto"/>
        <w:right w:val="none" w:sz="0" w:space="0" w:color="auto"/>
      </w:divBdr>
    </w:div>
    <w:div w:id="1422796675">
      <w:bodyDiv w:val="1"/>
      <w:marLeft w:val="0"/>
      <w:marRight w:val="0"/>
      <w:marTop w:val="0"/>
      <w:marBottom w:val="0"/>
      <w:divBdr>
        <w:top w:val="none" w:sz="0" w:space="0" w:color="auto"/>
        <w:left w:val="none" w:sz="0" w:space="0" w:color="auto"/>
        <w:bottom w:val="none" w:sz="0" w:space="0" w:color="auto"/>
        <w:right w:val="none" w:sz="0" w:space="0" w:color="auto"/>
      </w:divBdr>
    </w:div>
    <w:div w:id="1423061716">
      <w:bodyDiv w:val="1"/>
      <w:marLeft w:val="0"/>
      <w:marRight w:val="0"/>
      <w:marTop w:val="0"/>
      <w:marBottom w:val="0"/>
      <w:divBdr>
        <w:top w:val="none" w:sz="0" w:space="0" w:color="auto"/>
        <w:left w:val="none" w:sz="0" w:space="0" w:color="auto"/>
        <w:bottom w:val="none" w:sz="0" w:space="0" w:color="auto"/>
        <w:right w:val="none" w:sz="0" w:space="0" w:color="auto"/>
      </w:divBdr>
    </w:div>
    <w:div w:id="1428039634">
      <w:bodyDiv w:val="1"/>
      <w:marLeft w:val="0"/>
      <w:marRight w:val="0"/>
      <w:marTop w:val="0"/>
      <w:marBottom w:val="0"/>
      <w:divBdr>
        <w:top w:val="none" w:sz="0" w:space="0" w:color="auto"/>
        <w:left w:val="none" w:sz="0" w:space="0" w:color="auto"/>
        <w:bottom w:val="none" w:sz="0" w:space="0" w:color="auto"/>
        <w:right w:val="none" w:sz="0" w:space="0" w:color="auto"/>
      </w:divBdr>
    </w:div>
    <w:div w:id="1430198398">
      <w:bodyDiv w:val="1"/>
      <w:marLeft w:val="0"/>
      <w:marRight w:val="0"/>
      <w:marTop w:val="0"/>
      <w:marBottom w:val="0"/>
      <w:divBdr>
        <w:top w:val="none" w:sz="0" w:space="0" w:color="auto"/>
        <w:left w:val="none" w:sz="0" w:space="0" w:color="auto"/>
        <w:bottom w:val="none" w:sz="0" w:space="0" w:color="auto"/>
        <w:right w:val="none" w:sz="0" w:space="0" w:color="auto"/>
      </w:divBdr>
    </w:div>
    <w:div w:id="1430813256">
      <w:bodyDiv w:val="1"/>
      <w:marLeft w:val="0"/>
      <w:marRight w:val="0"/>
      <w:marTop w:val="0"/>
      <w:marBottom w:val="0"/>
      <w:divBdr>
        <w:top w:val="none" w:sz="0" w:space="0" w:color="auto"/>
        <w:left w:val="none" w:sz="0" w:space="0" w:color="auto"/>
        <w:bottom w:val="none" w:sz="0" w:space="0" w:color="auto"/>
        <w:right w:val="none" w:sz="0" w:space="0" w:color="auto"/>
      </w:divBdr>
    </w:div>
    <w:div w:id="1431125826">
      <w:bodyDiv w:val="1"/>
      <w:marLeft w:val="0"/>
      <w:marRight w:val="0"/>
      <w:marTop w:val="0"/>
      <w:marBottom w:val="0"/>
      <w:divBdr>
        <w:top w:val="none" w:sz="0" w:space="0" w:color="auto"/>
        <w:left w:val="none" w:sz="0" w:space="0" w:color="auto"/>
        <w:bottom w:val="none" w:sz="0" w:space="0" w:color="auto"/>
        <w:right w:val="none" w:sz="0" w:space="0" w:color="auto"/>
      </w:divBdr>
    </w:div>
    <w:div w:id="1431779464">
      <w:bodyDiv w:val="1"/>
      <w:marLeft w:val="0"/>
      <w:marRight w:val="0"/>
      <w:marTop w:val="0"/>
      <w:marBottom w:val="0"/>
      <w:divBdr>
        <w:top w:val="none" w:sz="0" w:space="0" w:color="auto"/>
        <w:left w:val="none" w:sz="0" w:space="0" w:color="auto"/>
        <w:bottom w:val="none" w:sz="0" w:space="0" w:color="auto"/>
        <w:right w:val="none" w:sz="0" w:space="0" w:color="auto"/>
      </w:divBdr>
    </w:div>
    <w:div w:id="1437017986">
      <w:bodyDiv w:val="1"/>
      <w:marLeft w:val="0"/>
      <w:marRight w:val="0"/>
      <w:marTop w:val="0"/>
      <w:marBottom w:val="0"/>
      <w:divBdr>
        <w:top w:val="none" w:sz="0" w:space="0" w:color="auto"/>
        <w:left w:val="none" w:sz="0" w:space="0" w:color="auto"/>
        <w:bottom w:val="none" w:sz="0" w:space="0" w:color="auto"/>
        <w:right w:val="none" w:sz="0" w:space="0" w:color="auto"/>
      </w:divBdr>
    </w:div>
    <w:div w:id="1437361961">
      <w:bodyDiv w:val="1"/>
      <w:marLeft w:val="0"/>
      <w:marRight w:val="0"/>
      <w:marTop w:val="0"/>
      <w:marBottom w:val="0"/>
      <w:divBdr>
        <w:top w:val="none" w:sz="0" w:space="0" w:color="auto"/>
        <w:left w:val="none" w:sz="0" w:space="0" w:color="auto"/>
        <w:bottom w:val="none" w:sz="0" w:space="0" w:color="auto"/>
        <w:right w:val="none" w:sz="0" w:space="0" w:color="auto"/>
      </w:divBdr>
    </w:div>
    <w:div w:id="1438062251">
      <w:bodyDiv w:val="1"/>
      <w:marLeft w:val="0"/>
      <w:marRight w:val="0"/>
      <w:marTop w:val="0"/>
      <w:marBottom w:val="0"/>
      <w:divBdr>
        <w:top w:val="none" w:sz="0" w:space="0" w:color="auto"/>
        <w:left w:val="none" w:sz="0" w:space="0" w:color="auto"/>
        <w:bottom w:val="none" w:sz="0" w:space="0" w:color="auto"/>
        <w:right w:val="none" w:sz="0" w:space="0" w:color="auto"/>
      </w:divBdr>
    </w:div>
    <w:div w:id="1441604843">
      <w:bodyDiv w:val="1"/>
      <w:marLeft w:val="0"/>
      <w:marRight w:val="0"/>
      <w:marTop w:val="0"/>
      <w:marBottom w:val="0"/>
      <w:divBdr>
        <w:top w:val="none" w:sz="0" w:space="0" w:color="auto"/>
        <w:left w:val="none" w:sz="0" w:space="0" w:color="auto"/>
        <w:bottom w:val="none" w:sz="0" w:space="0" w:color="auto"/>
        <w:right w:val="none" w:sz="0" w:space="0" w:color="auto"/>
      </w:divBdr>
    </w:div>
    <w:div w:id="1445462141">
      <w:bodyDiv w:val="1"/>
      <w:marLeft w:val="0"/>
      <w:marRight w:val="0"/>
      <w:marTop w:val="0"/>
      <w:marBottom w:val="0"/>
      <w:divBdr>
        <w:top w:val="none" w:sz="0" w:space="0" w:color="auto"/>
        <w:left w:val="none" w:sz="0" w:space="0" w:color="auto"/>
        <w:bottom w:val="none" w:sz="0" w:space="0" w:color="auto"/>
        <w:right w:val="none" w:sz="0" w:space="0" w:color="auto"/>
      </w:divBdr>
    </w:div>
    <w:div w:id="1445611572">
      <w:bodyDiv w:val="1"/>
      <w:marLeft w:val="0"/>
      <w:marRight w:val="0"/>
      <w:marTop w:val="0"/>
      <w:marBottom w:val="0"/>
      <w:divBdr>
        <w:top w:val="none" w:sz="0" w:space="0" w:color="auto"/>
        <w:left w:val="none" w:sz="0" w:space="0" w:color="auto"/>
        <w:bottom w:val="none" w:sz="0" w:space="0" w:color="auto"/>
        <w:right w:val="none" w:sz="0" w:space="0" w:color="auto"/>
      </w:divBdr>
    </w:div>
    <w:div w:id="1448544909">
      <w:bodyDiv w:val="1"/>
      <w:marLeft w:val="0"/>
      <w:marRight w:val="0"/>
      <w:marTop w:val="0"/>
      <w:marBottom w:val="0"/>
      <w:divBdr>
        <w:top w:val="none" w:sz="0" w:space="0" w:color="auto"/>
        <w:left w:val="none" w:sz="0" w:space="0" w:color="auto"/>
        <w:bottom w:val="none" w:sz="0" w:space="0" w:color="auto"/>
        <w:right w:val="none" w:sz="0" w:space="0" w:color="auto"/>
      </w:divBdr>
    </w:div>
    <w:div w:id="1455171257">
      <w:bodyDiv w:val="1"/>
      <w:marLeft w:val="0"/>
      <w:marRight w:val="0"/>
      <w:marTop w:val="0"/>
      <w:marBottom w:val="0"/>
      <w:divBdr>
        <w:top w:val="none" w:sz="0" w:space="0" w:color="auto"/>
        <w:left w:val="none" w:sz="0" w:space="0" w:color="auto"/>
        <w:bottom w:val="none" w:sz="0" w:space="0" w:color="auto"/>
        <w:right w:val="none" w:sz="0" w:space="0" w:color="auto"/>
      </w:divBdr>
    </w:div>
    <w:div w:id="1456677813">
      <w:bodyDiv w:val="1"/>
      <w:marLeft w:val="0"/>
      <w:marRight w:val="0"/>
      <w:marTop w:val="0"/>
      <w:marBottom w:val="0"/>
      <w:divBdr>
        <w:top w:val="none" w:sz="0" w:space="0" w:color="auto"/>
        <w:left w:val="none" w:sz="0" w:space="0" w:color="auto"/>
        <w:bottom w:val="none" w:sz="0" w:space="0" w:color="auto"/>
        <w:right w:val="none" w:sz="0" w:space="0" w:color="auto"/>
      </w:divBdr>
    </w:div>
    <w:div w:id="1465267143">
      <w:bodyDiv w:val="1"/>
      <w:marLeft w:val="0"/>
      <w:marRight w:val="0"/>
      <w:marTop w:val="0"/>
      <w:marBottom w:val="0"/>
      <w:divBdr>
        <w:top w:val="none" w:sz="0" w:space="0" w:color="auto"/>
        <w:left w:val="none" w:sz="0" w:space="0" w:color="auto"/>
        <w:bottom w:val="none" w:sz="0" w:space="0" w:color="auto"/>
        <w:right w:val="none" w:sz="0" w:space="0" w:color="auto"/>
      </w:divBdr>
    </w:div>
    <w:div w:id="1467430006">
      <w:bodyDiv w:val="1"/>
      <w:marLeft w:val="0"/>
      <w:marRight w:val="0"/>
      <w:marTop w:val="0"/>
      <w:marBottom w:val="0"/>
      <w:divBdr>
        <w:top w:val="none" w:sz="0" w:space="0" w:color="auto"/>
        <w:left w:val="none" w:sz="0" w:space="0" w:color="auto"/>
        <w:bottom w:val="none" w:sz="0" w:space="0" w:color="auto"/>
        <w:right w:val="none" w:sz="0" w:space="0" w:color="auto"/>
      </w:divBdr>
    </w:div>
    <w:div w:id="1467891918">
      <w:bodyDiv w:val="1"/>
      <w:marLeft w:val="0"/>
      <w:marRight w:val="0"/>
      <w:marTop w:val="0"/>
      <w:marBottom w:val="0"/>
      <w:divBdr>
        <w:top w:val="none" w:sz="0" w:space="0" w:color="auto"/>
        <w:left w:val="none" w:sz="0" w:space="0" w:color="auto"/>
        <w:bottom w:val="none" w:sz="0" w:space="0" w:color="auto"/>
        <w:right w:val="none" w:sz="0" w:space="0" w:color="auto"/>
      </w:divBdr>
    </w:div>
    <w:div w:id="1468624126">
      <w:bodyDiv w:val="1"/>
      <w:marLeft w:val="0"/>
      <w:marRight w:val="0"/>
      <w:marTop w:val="0"/>
      <w:marBottom w:val="0"/>
      <w:divBdr>
        <w:top w:val="none" w:sz="0" w:space="0" w:color="auto"/>
        <w:left w:val="none" w:sz="0" w:space="0" w:color="auto"/>
        <w:bottom w:val="none" w:sz="0" w:space="0" w:color="auto"/>
        <w:right w:val="none" w:sz="0" w:space="0" w:color="auto"/>
      </w:divBdr>
    </w:div>
    <w:div w:id="1473861012">
      <w:bodyDiv w:val="1"/>
      <w:marLeft w:val="0"/>
      <w:marRight w:val="0"/>
      <w:marTop w:val="0"/>
      <w:marBottom w:val="0"/>
      <w:divBdr>
        <w:top w:val="none" w:sz="0" w:space="0" w:color="auto"/>
        <w:left w:val="none" w:sz="0" w:space="0" w:color="auto"/>
        <w:bottom w:val="none" w:sz="0" w:space="0" w:color="auto"/>
        <w:right w:val="none" w:sz="0" w:space="0" w:color="auto"/>
      </w:divBdr>
    </w:div>
    <w:div w:id="1474785280">
      <w:bodyDiv w:val="1"/>
      <w:marLeft w:val="0"/>
      <w:marRight w:val="0"/>
      <w:marTop w:val="0"/>
      <w:marBottom w:val="0"/>
      <w:divBdr>
        <w:top w:val="none" w:sz="0" w:space="0" w:color="auto"/>
        <w:left w:val="none" w:sz="0" w:space="0" w:color="auto"/>
        <w:bottom w:val="none" w:sz="0" w:space="0" w:color="auto"/>
        <w:right w:val="none" w:sz="0" w:space="0" w:color="auto"/>
      </w:divBdr>
    </w:div>
    <w:div w:id="1477186250">
      <w:bodyDiv w:val="1"/>
      <w:marLeft w:val="0"/>
      <w:marRight w:val="0"/>
      <w:marTop w:val="0"/>
      <w:marBottom w:val="0"/>
      <w:divBdr>
        <w:top w:val="none" w:sz="0" w:space="0" w:color="auto"/>
        <w:left w:val="none" w:sz="0" w:space="0" w:color="auto"/>
        <w:bottom w:val="none" w:sz="0" w:space="0" w:color="auto"/>
        <w:right w:val="none" w:sz="0" w:space="0" w:color="auto"/>
      </w:divBdr>
    </w:div>
    <w:div w:id="1486240053">
      <w:bodyDiv w:val="1"/>
      <w:marLeft w:val="0"/>
      <w:marRight w:val="0"/>
      <w:marTop w:val="0"/>
      <w:marBottom w:val="0"/>
      <w:divBdr>
        <w:top w:val="none" w:sz="0" w:space="0" w:color="auto"/>
        <w:left w:val="none" w:sz="0" w:space="0" w:color="auto"/>
        <w:bottom w:val="none" w:sz="0" w:space="0" w:color="auto"/>
        <w:right w:val="none" w:sz="0" w:space="0" w:color="auto"/>
      </w:divBdr>
    </w:div>
    <w:div w:id="1494685548">
      <w:bodyDiv w:val="1"/>
      <w:marLeft w:val="0"/>
      <w:marRight w:val="0"/>
      <w:marTop w:val="0"/>
      <w:marBottom w:val="0"/>
      <w:divBdr>
        <w:top w:val="none" w:sz="0" w:space="0" w:color="auto"/>
        <w:left w:val="none" w:sz="0" w:space="0" w:color="auto"/>
        <w:bottom w:val="none" w:sz="0" w:space="0" w:color="auto"/>
        <w:right w:val="none" w:sz="0" w:space="0" w:color="auto"/>
      </w:divBdr>
    </w:div>
    <w:div w:id="1495609300">
      <w:bodyDiv w:val="1"/>
      <w:marLeft w:val="0"/>
      <w:marRight w:val="0"/>
      <w:marTop w:val="0"/>
      <w:marBottom w:val="0"/>
      <w:divBdr>
        <w:top w:val="none" w:sz="0" w:space="0" w:color="auto"/>
        <w:left w:val="none" w:sz="0" w:space="0" w:color="auto"/>
        <w:bottom w:val="none" w:sz="0" w:space="0" w:color="auto"/>
        <w:right w:val="none" w:sz="0" w:space="0" w:color="auto"/>
      </w:divBdr>
    </w:div>
    <w:div w:id="1496459017">
      <w:bodyDiv w:val="1"/>
      <w:marLeft w:val="0"/>
      <w:marRight w:val="0"/>
      <w:marTop w:val="0"/>
      <w:marBottom w:val="0"/>
      <w:divBdr>
        <w:top w:val="none" w:sz="0" w:space="0" w:color="auto"/>
        <w:left w:val="none" w:sz="0" w:space="0" w:color="auto"/>
        <w:bottom w:val="none" w:sz="0" w:space="0" w:color="auto"/>
        <w:right w:val="none" w:sz="0" w:space="0" w:color="auto"/>
      </w:divBdr>
    </w:div>
    <w:div w:id="1498299697">
      <w:bodyDiv w:val="1"/>
      <w:marLeft w:val="0"/>
      <w:marRight w:val="0"/>
      <w:marTop w:val="0"/>
      <w:marBottom w:val="0"/>
      <w:divBdr>
        <w:top w:val="none" w:sz="0" w:space="0" w:color="auto"/>
        <w:left w:val="none" w:sz="0" w:space="0" w:color="auto"/>
        <w:bottom w:val="none" w:sz="0" w:space="0" w:color="auto"/>
        <w:right w:val="none" w:sz="0" w:space="0" w:color="auto"/>
      </w:divBdr>
    </w:div>
    <w:div w:id="1498301243">
      <w:bodyDiv w:val="1"/>
      <w:marLeft w:val="0"/>
      <w:marRight w:val="0"/>
      <w:marTop w:val="0"/>
      <w:marBottom w:val="0"/>
      <w:divBdr>
        <w:top w:val="none" w:sz="0" w:space="0" w:color="auto"/>
        <w:left w:val="none" w:sz="0" w:space="0" w:color="auto"/>
        <w:bottom w:val="none" w:sz="0" w:space="0" w:color="auto"/>
        <w:right w:val="none" w:sz="0" w:space="0" w:color="auto"/>
      </w:divBdr>
    </w:div>
    <w:div w:id="1499075876">
      <w:bodyDiv w:val="1"/>
      <w:marLeft w:val="0"/>
      <w:marRight w:val="0"/>
      <w:marTop w:val="0"/>
      <w:marBottom w:val="0"/>
      <w:divBdr>
        <w:top w:val="none" w:sz="0" w:space="0" w:color="auto"/>
        <w:left w:val="none" w:sz="0" w:space="0" w:color="auto"/>
        <w:bottom w:val="none" w:sz="0" w:space="0" w:color="auto"/>
        <w:right w:val="none" w:sz="0" w:space="0" w:color="auto"/>
      </w:divBdr>
    </w:div>
    <w:div w:id="1500654777">
      <w:bodyDiv w:val="1"/>
      <w:marLeft w:val="0"/>
      <w:marRight w:val="0"/>
      <w:marTop w:val="0"/>
      <w:marBottom w:val="0"/>
      <w:divBdr>
        <w:top w:val="none" w:sz="0" w:space="0" w:color="auto"/>
        <w:left w:val="none" w:sz="0" w:space="0" w:color="auto"/>
        <w:bottom w:val="none" w:sz="0" w:space="0" w:color="auto"/>
        <w:right w:val="none" w:sz="0" w:space="0" w:color="auto"/>
      </w:divBdr>
    </w:div>
    <w:div w:id="1501654684">
      <w:bodyDiv w:val="1"/>
      <w:marLeft w:val="0"/>
      <w:marRight w:val="0"/>
      <w:marTop w:val="0"/>
      <w:marBottom w:val="0"/>
      <w:divBdr>
        <w:top w:val="none" w:sz="0" w:space="0" w:color="auto"/>
        <w:left w:val="none" w:sz="0" w:space="0" w:color="auto"/>
        <w:bottom w:val="none" w:sz="0" w:space="0" w:color="auto"/>
        <w:right w:val="none" w:sz="0" w:space="0" w:color="auto"/>
      </w:divBdr>
    </w:div>
    <w:div w:id="1502742095">
      <w:bodyDiv w:val="1"/>
      <w:marLeft w:val="0"/>
      <w:marRight w:val="0"/>
      <w:marTop w:val="0"/>
      <w:marBottom w:val="0"/>
      <w:divBdr>
        <w:top w:val="none" w:sz="0" w:space="0" w:color="auto"/>
        <w:left w:val="none" w:sz="0" w:space="0" w:color="auto"/>
        <w:bottom w:val="none" w:sz="0" w:space="0" w:color="auto"/>
        <w:right w:val="none" w:sz="0" w:space="0" w:color="auto"/>
      </w:divBdr>
    </w:div>
    <w:div w:id="1506937169">
      <w:bodyDiv w:val="1"/>
      <w:marLeft w:val="0"/>
      <w:marRight w:val="0"/>
      <w:marTop w:val="0"/>
      <w:marBottom w:val="0"/>
      <w:divBdr>
        <w:top w:val="none" w:sz="0" w:space="0" w:color="auto"/>
        <w:left w:val="none" w:sz="0" w:space="0" w:color="auto"/>
        <w:bottom w:val="none" w:sz="0" w:space="0" w:color="auto"/>
        <w:right w:val="none" w:sz="0" w:space="0" w:color="auto"/>
      </w:divBdr>
    </w:div>
    <w:div w:id="1512255766">
      <w:bodyDiv w:val="1"/>
      <w:marLeft w:val="0"/>
      <w:marRight w:val="0"/>
      <w:marTop w:val="0"/>
      <w:marBottom w:val="0"/>
      <w:divBdr>
        <w:top w:val="none" w:sz="0" w:space="0" w:color="auto"/>
        <w:left w:val="none" w:sz="0" w:space="0" w:color="auto"/>
        <w:bottom w:val="none" w:sz="0" w:space="0" w:color="auto"/>
        <w:right w:val="none" w:sz="0" w:space="0" w:color="auto"/>
      </w:divBdr>
    </w:div>
    <w:div w:id="1518302155">
      <w:bodyDiv w:val="1"/>
      <w:marLeft w:val="0"/>
      <w:marRight w:val="0"/>
      <w:marTop w:val="0"/>
      <w:marBottom w:val="0"/>
      <w:divBdr>
        <w:top w:val="none" w:sz="0" w:space="0" w:color="auto"/>
        <w:left w:val="none" w:sz="0" w:space="0" w:color="auto"/>
        <w:bottom w:val="none" w:sz="0" w:space="0" w:color="auto"/>
        <w:right w:val="none" w:sz="0" w:space="0" w:color="auto"/>
      </w:divBdr>
    </w:div>
    <w:div w:id="1522864212">
      <w:bodyDiv w:val="1"/>
      <w:marLeft w:val="0"/>
      <w:marRight w:val="0"/>
      <w:marTop w:val="0"/>
      <w:marBottom w:val="0"/>
      <w:divBdr>
        <w:top w:val="none" w:sz="0" w:space="0" w:color="auto"/>
        <w:left w:val="none" w:sz="0" w:space="0" w:color="auto"/>
        <w:bottom w:val="none" w:sz="0" w:space="0" w:color="auto"/>
        <w:right w:val="none" w:sz="0" w:space="0" w:color="auto"/>
      </w:divBdr>
    </w:div>
    <w:div w:id="1533836379">
      <w:bodyDiv w:val="1"/>
      <w:marLeft w:val="0"/>
      <w:marRight w:val="0"/>
      <w:marTop w:val="0"/>
      <w:marBottom w:val="0"/>
      <w:divBdr>
        <w:top w:val="none" w:sz="0" w:space="0" w:color="auto"/>
        <w:left w:val="none" w:sz="0" w:space="0" w:color="auto"/>
        <w:bottom w:val="none" w:sz="0" w:space="0" w:color="auto"/>
        <w:right w:val="none" w:sz="0" w:space="0" w:color="auto"/>
      </w:divBdr>
    </w:div>
    <w:div w:id="1538346782">
      <w:bodyDiv w:val="1"/>
      <w:marLeft w:val="0"/>
      <w:marRight w:val="0"/>
      <w:marTop w:val="0"/>
      <w:marBottom w:val="0"/>
      <w:divBdr>
        <w:top w:val="none" w:sz="0" w:space="0" w:color="auto"/>
        <w:left w:val="none" w:sz="0" w:space="0" w:color="auto"/>
        <w:bottom w:val="none" w:sz="0" w:space="0" w:color="auto"/>
        <w:right w:val="none" w:sz="0" w:space="0" w:color="auto"/>
      </w:divBdr>
    </w:div>
    <w:div w:id="1541169212">
      <w:bodyDiv w:val="1"/>
      <w:marLeft w:val="0"/>
      <w:marRight w:val="0"/>
      <w:marTop w:val="0"/>
      <w:marBottom w:val="0"/>
      <w:divBdr>
        <w:top w:val="none" w:sz="0" w:space="0" w:color="auto"/>
        <w:left w:val="none" w:sz="0" w:space="0" w:color="auto"/>
        <w:bottom w:val="none" w:sz="0" w:space="0" w:color="auto"/>
        <w:right w:val="none" w:sz="0" w:space="0" w:color="auto"/>
      </w:divBdr>
    </w:div>
    <w:div w:id="1548295834">
      <w:bodyDiv w:val="1"/>
      <w:marLeft w:val="0"/>
      <w:marRight w:val="0"/>
      <w:marTop w:val="0"/>
      <w:marBottom w:val="0"/>
      <w:divBdr>
        <w:top w:val="none" w:sz="0" w:space="0" w:color="auto"/>
        <w:left w:val="none" w:sz="0" w:space="0" w:color="auto"/>
        <w:bottom w:val="none" w:sz="0" w:space="0" w:color="auto"/>
        <w:right w:val="none" w:sz="0" w:space="0" w:color="auto"/>
      </w:divBdr>
    </w:div>
    <w:div w:id="1551724111">
      <w:bodyDiv w:val="1"/>
      <w:marLeft w:val="0"/>
      <w:marRight w:val="0"/>
      <w:marTop w:val="0"/>
      <w:marBottom w:val="0"/>
      <w:divBdr>
        <w:top w:val="none" w:sz="0" w:space="0" w:color="auto"/>
        <w:left w:val="none" w:sz="0" w:space="0" w:color="auto"/>
        <w:bottom w:val="none" w:sz="0" w:space="0" w:color="auto"/>
        <w:right w:val="none" w:sz="0" w:space="0" w:color="auto"/>
      </w:divBdr>
    </w:div>
    <w:div w:id="1554778087">
      <w:bodyDiv w:val="1"/>
      <w:marLeft w:val="0"/>
      <w:marRight w:val="0"/>
      <w:marTop w:val="0"/>
      <w:marBottom w:val="0"/>
      <w:divBdr>
        <w:top w:val="none" w:sz="0" w:space="0" w:color="auto"/>
        <w:left w:val="none" w:sz="0" w:space="0" w:color="auto"/>
        <w:bottom w:val="none" w:sz="0" w:space="0" w:color="auto"/>
        <w:right w:val="none" w:sz="0" w:space="0" w:color="auto"/>
      </w:divBdr>
    </w:div>
    <w:div w:id="1555966897">
      <w:bodyDiv w:val="1"/>
      <w:marLeft w:val="0"/>
      <w:marRight w:val="0"/>
      <w:marTop w:val="0"/>
      <w:marBottom w:val="0"/>
      <w:divBdr>
        <w:top w:val="none" w:sz="0" w:space="0" w:color="auto"/>
        <w:left w:val="none" w:sz="0" w:space="0" w:color="auto"/>
        <w:bottom w:val="none" w:sz="0" w:space="0" w:color="auto"/>
        <w:right w:val="none" w:sz="0" w:space="0" w:color="auto"/>
      </w:divBdr>
    </w:div>
    <w:div w:id="1559630140">
      <w:bodyDiv w:val="1"/>
      <w:marLeft w:val="0"/>
      <w:marRight w:val="0"/>
      <w:marTop w:val="0"/>
      <w:marBottom w:val="0"/>
      <w:divBdr>
        <w:top w:val="none" w:sz="0" w:space="0" w:color="auto"/>
        <w:left w:val="none" w:sz="0" w:space="0" w:color="auto"/>
        <w:bottom w:val="none" w:sz="0" w:space="0" w:color="auto"/>
        <w:right w:val="none" w:sz="0" w:space="0" w:color="auto"/>
      </w:divBdr>
    </w:div>
    <w:div w:id="1562247322">
      <w:bodyDiv w:val="1"/>
      <w:marLeft w:val="0"/>
      <w:marRight w:val="0"/>
      <w:marTop w:val="0"/>
      <w:marBottom w:val="0"/>
      <w:divBdr>
        <w:top w:val="none" w:sz="0" w:space="0" w:color="auto"/>
        <w:left w:val="none" w:sz="0" w:space="0" w:color="auto"/>
        <w:bottom w:val="none" w:sz="0" w:space="0" w:color="auto"/>
        <w:right w:val="none" w:sz="0" w:space="0" w:color="auto"/>
      </w:divBdr>
    </w:div>
    <w:div w:id="1565796343">
      <w:bodyDiv w:val="1"/>
      <w:marLeft w:val="0"/>
      <w:marRight w:val="0"/>
      <w:marTop w:val="0"/>
      <w:marBottom w:val="0"/>
      <w:divBdr>
        <w:top w:val="none" w:sz="0" w:space="0" w:color="auto"/>
        <w:left w:val="none" w:sz="0" w:space="0" w:color="auto"/>
        <w:bottom w:val="none" w:sz="0" w:space="0" w:color="auto"/>
        <w:right w:val="none" w:sz="0" w:space="0" w:color="auto"/>
      </w:divBdr>
    </w:div>
    <w:div w:id="1566263151">
      <w:bodyDiv w:val="1"/>
      <w:marLeft w:val="0"/>
      <w:marRight w:val="0"/>
      <w:marTop w:val="0"/>
      <w:marBottom w:val="0"/>
      <w:divBdr>
        <w:top w:val="none" w:sz="0" w:space="0" w:color="auto"/>
        <w:left w:val="none" w:sz="0" w:space="0" w:color="auto"/>
        <w:bottom w:val="none" w:sz="0" w:space="0" w:color="auto"/>
        <w:right w:val="none" w:sz="0" w:space="0" w:color="auto"/>
      </w:divBdr>
    </w:div>
    <w:div w:id="1573853685">
      <w:bodyDiv w:val="1"/>
      <w:marLeft w:val="0"/>
      <w:marRight w:val="0"/>
      <w:marTop w:val="0"/>
      <w:marBottom w:val="0"/>
      <w:divBdr>
        <w:top w:val="none" w:sz="0" w:space="0" w:color="auto"/>
        <w:left w:val="none" w:sz="0" w:space="0" w:color="auto"/>
        <w:bottom w:val="none" w:sz="0" w:space="0" w:color="auto"/>
        <w:right w:val="none" w:sz="0" w:space="0" w:color="auto"/>
      </w:divBdr>
    </w:div>
    <w:div w:id="1577125392">
      <w:bodyDiv w:val="1"/>
      <w:marLeft w:val="0"/>
      <w:marRight w:val="0"/>
      <w:marTop w:val="0"/>
      <w:marBottom w:val="0"/>
      <w:divBdr>
        <w:top w:val="none" w:sz="0" w:space="0" w:color="auto"/>
        <w:left w:val="none" w:sz="0" w:space="0" w:color="auto"/>
        <w:bottom w:val="none" w:sz="0" w:space="0" w:color="auto"/>
        <w:right w:val="none" w:sz="0" w:space="0" w:color="auto"/>
      </w:divBdr>
    </w:div>
    <w:div w:id="1577323158">
      <w:bodyDiv w:val="1"/>
      <w:marLeft w:val="0"/>
      <w:marRight w:val="0"/>
      <w:marTop w:val="0"/>
      <w:marBottom w:val="0"/>
      <w:divBdr>
        <w:top w:val="none" w:sz="0" w:space="0" w:color="auto"/>
        <w:left w:val="none" w:sz="0" w:space="0" w:color="auto"/>
        <w:bottom w:val="none" w:sz="0" w:space="0" w:color="auto"/>
        <w:right w:val="none" w:sz="0" w:space="0" w:color="auto"/>
      </w:divBdr>
    </w:div>
    <w:div w:id="1582980650">
      <w:bodyDiv w:val="1"/>
      <w:marLeft w:val="0"/>
      <w:marRight w:val="0"/>
      <w:marTop w:val="0"/>
      <w:marBottom w:val="0"/>
      <w:divBdr>
        <w:top w:val="none" w:sz="0" w:space="0" w:color="auto"/>
        <w:left w:val="none" w:sz="0" w:space="0" w:color="auto"/>
        <w:bottom w:val="none" w:sz="0" w:space="0" w:color="auto"/>
        <w:right w:val="none" w:sz="0" w:space="0" w:color="auto"/>
      </w:divBdr>
    </w:div>
    <w:div w:id="1588998281">
      <w:bodyDiv w:val="1"/>
      <w:marLeft w:val="0"/>
      <w:marRight w:val="0"/>
      <w:marTop w:val="0"/>
      <w:marBottom w:val="0"/>
      <w:divBdr>
        <w:top w:val="none" w:sz="0" w:space="0" w:color="auto"/>
        <w:left w:val="none" w:sz="0" w:space="0" w:color="auto"/>
        <w:bottom w:val="none" w:sz="0" w:space="0" w:color="auto"/>
        <w:right w:val="none" w:sz="0" w:space="0" w:color="auto"/>
      </w:divBdr>
    </w:div>
    <w:div w:id="1603764206">
      <w:bodyDiv w:val="1"/>
      <w:marLeft w:val="0"/>
      <w:marRight w:val="0"/>
      <w:marTop w:val="0"/>
      <w:marBottom w:val="0"/>
      <w:divBdr>
        <w:top w:val="none" w:sz="0" w:space="0" w:color="auto"/>
        <w:left w:val="none" w:sz="0" w:space="0" w:color="auto"/>
        <w:bottom w:val="none" w:sz="0" w:space="0" w:color="auto"/>
        <w:right w:val="none" w:sz="0" w:space="0" w:color="auto"/>
      </w:divBdr>
    </w:div>
    <w:div w:id="1604530053">
      <w:bodyDiv w:val="1"/>
      <w:marLeft w:val="0"/>
      <w:marRight w:val="0"/>
      <w:marTop w:val="0"/>
      <w:marBottom w:val="0"/>
      <w:divBdr>
        <w:top w:val="none" w:sz="0" w:space="0" w:color="auto"/>
        <w:left w:val="none" w:sz="0" w:space="0" w:color="auto"/>
        <w:bottom w:val="none" w:sz="0" w:space="0" w:color="auto"/>
        <w:right w:val="none" w:sz="0" w:space="0" w:color="auto"/>
      </w:divBdr>
    </w:div>
    <w:div w:id="1605336509">
      <w:bodyDiv w:val="1"/>
      <w:marLeft w:val="0"/>
      <w:marRight w:val="0"/>
      <w:marTop w:val="0"/>
      <w:marBottom w:val="0"/>
      <w:divBdr>
        <w:top w:val="none" w:sz="0" w:space="0" w:color="auto"/>
        <w:left w:val="none" w:sz="0" w:space="0" w:color="auto"/>
        <w:bottom w:val="none" w:sz="0" w:space="0" w:color="auto"/>
        <w:right w:val="none" w:sz="0" w:space="0" w:color="auto"/>
      </w:divBdr>
    </w:div>
    <w:div w:id="1607543665">
      <w:bodyDiv w:val="1"/>
      <w:marLeft w:val="0"/>
      <w:marRight w:val="0"/>
      <w:marTop w:val="0"/>
      <w:marBottom w:val="0"/>
      <w:divBdr>
        <w:top w:val="none" w:sz="0" w:space="0" w:color="auto"/>
        <w:left w:val="none" w:sz="0" w:space="0" w:color="auto"/>
        <w:bottom w:val="none" w:sz="0" w:space="0" w:color="auto"/>
        <w:right w:val="none" w:sz="0" w:space="0" w:color="auto"/>
      </w:divBdr>
    </w:div>
    <w:div w:id="1608848914">
      <w:bodyDiv w:val="1"/>
      <w:marLeft w:val="0"/>
      <w:marRight w:val="0"/>
      <w:marTop w:val="0"/>
      <w:marBottom w:val="0"/>
      <w:divBdr>
        <w:top w:val="none" w:sz="0" w:space="0" w:color="auto"/>
        <w:left w:val="none" w:sz="0" w:space="0" w:color="auto"/>
        <w:bottom w:val="none" w:sz="0" w:space="0" w:color="auto"/>
        <w:right w:val="none" w:sz="0" w:space="0" w:color="auto"/>
      </w:divBdr>
    </w:div>
    <w:div w:id="1615012796">
      <w:bodyDiv w:val="1"/>
      <w:marLeft w:val="0"/>
      <w:marRight w:val="0"/>
      <w:marTop w:val="0"/>
      <w:marBottom w:val="0"/>
      <w:divBdr>
        <w:top w:val="none" w:sz="0" w:space="0" w:color="auto"/>
        <w:left w:val="none" w:sz="0" w:space="0" w:color="auto"/>
        <w:bottom w:val="none" w:sz="0" w:space="0" w:color="auto"/>
        <w:right w:val="none" w:sz="0" w:space="0" w:color="auto"/>
      </w:divBdr>
    </w:div>
    <w:div w:id="1615943651">
      <w:bodyDiv w:val="1"/>
      <w:marLeft w:val="0"/>
      <w:marRight w:val="0"/>
      <w:marTop w:val="0"/>
      <w:marBottom w:val="0"/>
      <w:divBdr>
        <w:top w:val="none" w:sz="0" w:space="0" w:color="auto"/>
        <w:left w:val="none" w:sz="0" w:space="0" w:color="auto"/>
        <w:bottom w:val="none" w:sz="0" w:space="0" w:color="auto"/>
        <w:right w:val="none" w:sz="0" w:space="0" w:color="auto"/>
      </w:divBdr>
    </w:div>
    <w:div w:id="1619097695">
      <w:bodyDiv w:val="1"/>
      <w:marLeft w:val="0"/>
      <w:marRight w:val="0"/>
      <w:marTop w:val="0"/>
      <w:marBottom w:val="0"/>
      <w:divBdr>
        <w:top w:val="none" w:sz="0" w:space="0" w:color="auto"/>
        <w:left w:val="none" w:sz="0" w:space="0" w:color="auto"/>
        <w:bottom w:val="none" w:sz="0" w:space="0" w:color="auto"/>
        <w:right w:val="none" w:sz="0" w:space="0" w:color="auto"/>
      </w:divBdr>
    </w:div>
    <w:div w:id="1619723531">
      <w:bodyDiv w:val="1"/>
      <w:marLeft w:val="0"/>
      <w:marRight w:val="0"/>
      <w:marTop w:val="0"/>
      <w:marBottom w:val="0"/>
      <w:divBdr>
        <w:top w:val="none" w:sz="0" w:space="0" w:color="auto"/>
        <w:left w:val="none" w:sz="0" w:space="0" w:color="auto"/>
        <w:bottom w:val="none" w:sz="0" w:space="0" w:color="auto"/>
        <w:right w:val="none" w:sz="0" w:space="0" w:color="auto"/>
      </w:divBdr>
    </w:div>
    <w:div w:id="1620991798">
      <w:bodyDiv w:val="1"/>
      <w:marLeft w:val="0"/>
      <w:marRight w:val="0"/>
      <w:marTop w:val="0"/>
      <w:marBottom w:val="0"/>
      <w:divBdr>
        <w:top w:val="none" w:sz="0" w:space="0" w:color="auto"/>
        <w:left w:val="none" w:sz="0" w:space="0" w:color="auto"/>
        <w:bottom w:val="none" w:sz="0" w:space="0" w:color="auto"/>
        <w:right w:val="none" w:sz="0" w:space="0" w:color="auto"/>
      </w:divBdr>
    </w:div>
    <w:div w:id="1622685023">
      <w:bodyDiv w:val="1"/>
      <w:marLeft w:val="0"/>
      <w:marRight w:val="0"/>
      <w:marTop w:val="0"/>
      <w:marBottom w:val="0"/>
      <w:divBdr>
        <w:top w:val="none" w:sz="0" w:space="0" w:color="auto"/>
        <w:left w:val="none" w:sz="0" w:space="0" w:color="auto"/>
        <w:bottom w:val="none" w:sz="0" w:space="0" w:color="auto"/>
        <w:right w:val="none" w:sz="0" w:space="0" w:color="auto"/>
      </w:divBdr>
    </w:div>
    <w:div w:id="1627003933">
      <w:bodyDiv w:val="1"/>
      <w:marLeft w:val="0"/>
      <w:marRight w:val="0"/>
      <w:marTop w:val="0"/>
      <w:marBottom w:val="0"/>
      <w:divBdr>
        <w:top w:val="none" w:sz="0" w:space="0" w:color="auto"/>
        <w:left w:val="none" w:sz="0" w:space="0" w:color="auto"/>
        <w:bottom w:val="none" w:sz="0" w:space="0" w:color="auto"/>
        <w:right w:val="none" w:sz="0" w:space="0" w:color="auto"/>
      </w:divBdr>
    </w:div>
    <w:div w:id="1631007656">
      <w:bodyDiv w:val="1"/>
      <w:marLeft w:val="0"/>
      <w:marRight w:val="0"/>
      <w:marTop w:val="0"/>
      <w:marBottom w:val="0"/>
      <w:divBdr>
        <w:top w:val="none" w:sz="0" w:space="0" w:color="auto"/>
        <w:left w:val="none" w:sz="0" w:space="0" w:color="auto"/>
        <w:bottom w:val="none" w:sz="0" w:space="0" w:color="auto"/>
        <w:right w:val="none" w:sz="0" w:space="0" w:color="auto"/>
      </w:divBdr>
    </w:div>
    <w:div w:id="1638027340">
      <w:bodyDiv w:val="1"/>
      <w:marLeft w:val="0"/>
      <w:marRight w:val="0"/>
      <w:marTop w:val="0"/>
      <w:marBottom w:val="0"/>
      <w:divBdr>
        <w:top w:val="none" w:sz="0" w:space="0" w:color="auto"/>
        <w:left w:val="none" w:sz="0" w:space="0" w:color="auto"/>
        <w:bottom w:val="none" w:sz="0" w:space="0" w:color="auto"/>
        <w:right w:val="none" w:sz="0" w:space="0" w:color="auto"/>
      </w:divBdr>
    </w:div>
    <w:div w:id="1645313439">
      <w:bodyDiv w:val="1"/>
      <w:marLeft w:val="0"/>
      <w:marRight w:val="0"/>
      <w:marTop w:val="0"/>
      <w:marBottom w:val="0"/>
      <w:divBdr>
        <w:top w:val="none" w:sz="0" w:space="0" w:color="auto"/>
        <w:left w:val="none" w:sz="0" w:space="0" w:color="auto"/>
        <w:bottom w:val="none" w:sz="0" w:space="0" w:color="auto"/>
        <w:right w:val="none" w:sz="0" w:space="0" w:color="auto"/>
      </w:divBdr>
    </w:div>
    <w:div w:id="1645357533">
      <w:bodyDiv w:val="1"/>
      <w:marLeft w:val="0"/>
      <w:marRight w:val="0"/>
      <w:marTop w:val="0"/>
      <w:marBottom w:val="0"/>
      <w:divBdr>
        <w:top w:val="none" w:sz="0" w:space="0" w:color="auto"/>
        <w:left w:val="none" w:sz="0" w:space="0" w:color="auto"/>
        <w:bottom w:val="none" w:sz="0" w:space="0" w:color="auto"/>
        <w:right w:val="none" w:sz="0" w:space="0" w:color="auto"/>
      </w:divBdr>
    </w:div>
    <w:div w:id="1646003595">
      <w:bodyDiv w:val="1"/>
      <w:marLeft w:val="0"/>
      <w:marRight w:val="0"/>
      <w:marTop w:val="0"/>
      <w:marBottom w:val="0"/>
      <w:divBdr>
        <w:top w:val="none" w:sz="0" w:space="0" w:color="auto"/>
        <w:left w:val="none" w:sz="0" w:space="0" w:color="auto"/>
        <w:bottom w:val="none" w:sz="0" w:space="0" w:color="auto"/>
        <w:right w:val="none" w:sz="0" w:space="0" w:color="auto"/>
      </w:divBdr>
    </w:div>
    <w:div w:id="1646935964">
      <w:bodyDiv w:val="1"/>
      <w:marLeft w:val="0"/>
      <w:marRight w:val="0"/>
      <w:marTop w:val="0"/>
      <w:marBottom w:val="0"/>
      <w:divBdr>
        <w:top w:val="none" w:sz="0" w:space="0" w:color="auto"/>
        <w:left w:val="none" w:sz="0" w:space="0" w:color="auto"/>
        <w:bottom w:val="none" w:sz="0" w:space="0" w:color="auto"/>
        <w:right w:val="none" w:sz="0" w:space="0" w:color="auto"/>
      </w:divBdr>
    </w:div>
    <w:div w:id="1647589957">
      <w:bodyDiv w:val="1"/>
      <w:marLeft w:val="0"/>
      <w:marRight w:val="0"/>
      <w:marTop w:val="0"/>
      <w:marBottom w:val="0"/>
      <w:divBdr>
        <w:top w:val="none" w:sz="0" w:space="0" w:color="auto"/>
        <w:left w:val="none" w:sz="0" w:space="0" w:color="auto"/>
        <w:bottom w:val="none" w:sz="0" w:space="0" w:color="auto"/>
        <w:right w:val="none" w:sz="0" w:space="0" w:color="auto"/>
      </w:divBdr>
    </w:div>
    <w:div w:id="1647733380">
      <w:bodyDiv w:val="1"/>
      <w:marLeft w:val="0"/>
      <w:marRight w:val="0"/>
      <w:marTop w:val="0"/>
      <w:marBottom w:val="0"/>
      <w:divBdr>
        <w:top w:val="none" w:sz="0" w:space="0" w:color="auto"/>
        <w:left w:val="none" w:sz="0" w:space="0" w:color="auto"/>
        <w:bottom w:val="none" w:sz="0" w:space="0" w:color="auto"/>
        <w:right w:val="none" w:sz="0" w:space="0" w:color="auto"/>
      </w:divBdr>
    </w:div>
    <w:div w:id="1650090906">
      <w:bodyDiv w:val="1"/>
      <w:marLeft w:val="0"/>
      <w:marRight w:val="0"/>
      <w:marTop w:val="0"/>
      <w:marBottom w:val="0"/>
      <w:divBdr>
        <w:top w:val="none" w:sz="0" w:space="0" w:color="auto"/>
        <w:left w:val="none" w:sz="0" w:space="0" w:color="auto"/>
        <w:bottom w:val="none" w:sz="0" w:space="0" w:color="auto"/>
        <w:right w:val="none" w:sz="0" w:space="0" w:color="auto"/>
      </w:divBdr>
    </w:div>
    <w:div w:id="1654598189">
      <w:bodyDiv w:val="1"/>
      <w:marLeft w:val="0"/>
      <w:marRight w:val="0"/>
      <w:marTop w:val="0"/>
      <w:marBottom w:val="0"/>
      <w:divBdr>
        <w:top w:val="none" w:sz="0" w:space="0" w:color="auto"/>
        <w:left w:val="none" w:sz="0" w:space="0" w:color="auto"/>
        <w:bottom w:val="none" w:sz="0" w:space="0" w:color="auto"/>
        <w:right w:val="none" w:sz="0" w:space="0" w:color="auto"/>
      </w:divBdr>
    </w:div>
    <w:div w:id="1655259814">
      <w:bodyDiv w:val="1"/>
      <w:marLeft w:val="0"/>
      <w:marRight w:val="0"/>
      <w:marTop w:val="0"/>
      <w:marBottom w:val="0"/>
      <w:divBdr>
        <w:top w:val="none" w:sz="0" w:space="0" w:color="auto"/>
        <w:left w:val="none" w:sz="0" w:space="0" w:color="auto"/>
        <w:bottom w:val="none" w:sz="0" w:space="0" w:color="auto"/>
        <w:right w:val="none" w:sz="0" w:space="0" w:color="auto"/>
      </w:divBdr>
    </w:div>
    <w:div w:id="1661301995">
      <w:bodyDiv w:val="1"/>
      <w:marLeft w:val="0"/>
      <w:marRight w:val="0"/>
      <w:marTop w:val="0"/>
      <w:marBottom w:val="0"/>
      <w:divBdr>
        <w:top w:val="none" w:sz="0" w:space="0" w:color="auto"/>
        <w:left w:val="none" w:sz="0" w:space="0" w:color="auto"/>
        <w:bottom w:val="none" w:sz="0" w:space="0" w:color="auto"/>
        <w:right w:val="none" w:sz="0" w:space="0" w:color="auto"/>
      </w:divBdr>
    </w:div>
    <w:div w:id="1663772622">
      <w:bodyDiv w:val="1"/>
      <w:marLeft w:val="0"/>
      <w:marRight w:val="0"/>
      <w:marTop w:val="0"/>
      <w:marBottom w:val="0"/>
      <w:divBdr>
        <w:top w:val="none" w:sz="0" w:space="0" w:color="auto"/>
        <w:left w:val="none" w:sz="0" w:space="0" w:color="auto"/>
        <w:bottom w:val="none" w:sz="0" w:space="0" w:color="auto"/>
        <w:right w:val="none" w:sz="0" w:space="0" w:color="auto"/>
      </w:divBdr>
    </w:div>
    <w:div w:id="1664821877">
      <w:bodyDiv w:val="1"/>
      <w:marLeft w:val="0"/>
      <w:marRight w:val="0"/>
      <w:marTop w:val="0"/>
      <w:marBottom w:val="0"/>
      <w:divBdr>
        <w:top w:val="none" w:sz="0" w:space="0" w:color="auto"/>
        <w:left w:val="none" w:sz="0" w:space="0" w:color="auto"/>
        <w:bottom w:val="none" w:sz="0" w:space="0" w:color="auto"/>
        <w:right w:val="none" w:sz="0" w:space="0" w:color="auto"/>
      </w:divBdr>
    </w:div>
    <w:div w:id="1665358987">
      <w:bodyDiv w:val="1"/>
      <w:marLeft w:val="0"/>
      <w:marRight w:val="0"/>
      <w:marTop w:val="0"/>
      <w:marBottom w:val="0"/>
      <w:divBdr>
        <w:top w:val="none" w:sz="0" w:space="0" w:color="auto"/>
        <w:left w:val="none" w:sz="0" w:space="0" w:color="auto"/>
        <w:bottom w:val="none" w:sz="0" w:space="0" w:color="auto"/>
        <w:right w:val="none" w:sz="0" w:space="0" w:color="auto"/>
      </w:divBdr>
    </w:div>
    <w:div w:id="1666587903">
      <w:bodyDiv w:val="1"/>
      <w:marLeft w:val="0"/>
      <w:marRight w:val="0"/>
      <w:marTop w:val="0"/>
      <w:marBottom w:val="0"/>
      <w:divBdr>
        <w:top w:val="none" w:sz="0" w:space="0" w:color="auto"/>
        <w:left w:val="none" w:sz="0" w:space="0" w:color="auto"/>
        <w:bottom w:val="none" w:sz="0" w:space="0" w:color="auto"/>
        <w:right w:val="none" w:sz="0" w:space="0" w:color="auto"/>
      </w:divBdr>
    </w:div>
    <w:div w:id="1667587468">
      <w:bodyDiv w:val="1"/>
      <w:marLeft w:val="0"/>
      <w:marRight w:val="0"/>
      <w:marTop w:val="0"/>
      <w:marBottom w:val="0"/>
      <w:divBdr>
        <w:top w:val="none" w:sz="0" w:space="0" w:color="auto"/>
        <w:left w:val="none" w:sz="0" w:space="0" w:color="auto"/>
        <w:bottom w:val="none" w:sz="0" w:space="0" w:color="auto"/>
        <w:right w:val="none" w:sz="0" w:space="0" w:color="auto"/>
      </w:divBdr>
    </w:div>
    <w:div w:id="1673873234">
      <w:bodyDiv w:val="1"/>
      <w:marLeft w:val="0"/>
      <w:marRight w:val="0"/>
      <w:marTop w:val="0"/>
      <w:marBottom w:val="0"/>
      <w:divBdr>
        <w:top w:val="none" w:sz="0" w:space="0" w:color="auto"/>
        <w:left w:val="none" w:sz="0" w:space="0" w:color="auto"/>
        <w:bottom w:val="none" w:sz="0" w:space="0" w:color="auto"/>
        <w:right w:val="none" w:sz="0" w:space="0" w:color="auto"/>
      </w:divBdr>
    </w:div>
    <w:div w:id="1674527194">
      <w:bodyDiv w:val="1"/>
      <w:marLeft w:val="0"/>
      <w:marRight w:val="0"/>
      <w:marTop w:val="0"/>
      <w:marBottom w:val="0"/>
      <w:divBdr>
        <w:top w:val="none" w:sz="0" w:space="0" w:color="auto"/>
        <w:left w:val="none" w:sz="0" w:space="0" w:color="auto"/>
        <w:bottom w:val="none" w:sz="0" w:space="0" w:color="auto"/>
        <w:right w:val="none" w:sz="0" w:space="0" w:color="auto"/>
      </w:divBdr>
    </w:div>
    <w:div w:id="1682900611">
      <w:bodyDiv w:val="1"/>
      <w:marLeft w:val="0"/>
      <w:marRight w:val="0"/>
      <w:marTop w:val="0"/>
      <w:marBottom w:val="0"/>
      <w:divBdr>
        <w:top w:val="none" w:sz="0" w:space="0" w:color="auto"/>
        <w:left w:val="none" w:sz="0" w:space="0" w:color="auto"/>
        <w:bottom w:val="none" w:sz="0" w:space="0" w:color="auto"/>
        <w:right w:val="none" w:sz="0" w:space="0" w:color="auto"/>
      </w:divBdr>
    </w:div>
    <w:div w:id="1684548186">
      <w:bodyDiv w:val="1"/>
      <w:marLeft w:val="0"/>
      <w:marRight w:val="0"/>
      <w:marTop w:val="0"/>
      <w:marBottom w:val="0"/>
      <w:divBdr>
        <w:top w:val="none" w:sz="0" w:space="0" w:color="auto"/>
        <w:left w:val="none" w:sz="0" w:space="0" w:color="auto"/>
        <w:bottom w:val="none" w:sz="0" w:space="0" w:color="auto"/>
        <w:right w:val="none" w:sz="0" w:space="0" w:color="auto"/>
      </w:divBdr>
    </w:div>
    <w:div w:id="1685285531">
      <w:bodyDiv w:val="1"/>
      <w:marLeft w:val="0"/>
      <w:marRight w:val="0"/>
      <w:marTop w:val="0"/>
      <w:marBottom w:val="0"/>
      <w:divBdr>
        <w:top w:val="none" w:sz="0" w:space="0" w:color="auto"/>
        <w:left w:val="none" w:sz="0" w:space="0" w:color="auto"/>
        <w:bottom w:val="none" w:sz="0" w:space="0" w:color="auto"/>
        <w:right w:val="none" w:sz="0" w:space="0" w:color="auto"/>
      </w:divBdr>
    </w:div>
    <w:div w:id="1687051675">
      <w:bodyDiv w:val="1"/>
      <w:marLeft w:val="0"/>
      <w:marRight w:val="0"/>
      <w:marTop w:val="0"/>
      <w:marBottom w:val="0"/>
      <w:divBdr>
        <w:top w:val="none" w:sz="0" w:space="0" w:color="auto"/>
        <w:left w:val="none" w:sz="0" w:space="0" w:color="auto"/>
        <w:bottom w:val="none" w:sz="0" w:space="0" w:color="auto"/>
        <w:right w:val="none" w:sz="0" w:space="0" w:color="auto"/>
      </w:divBdr>
    </w:div>
    <w:div w:id="1693341912">
      <w:bodyDiv w:val="1"/>
      <w:marLeft w:val="0"/>
      <w:marRight w:val="0"/>
      <w:marTop w:val="0"/>
      <w:marBottom w:val="0"/>
      <w:divBdr>
        <w:top w:val="none" w:sz="0" w:space="0" w:color="auto"/>
        <w:left w:val="none" w:sz="0" w:space="0" w:color="auto"/>
        <w:bottom w:val="none" w:sz="0" w:space="0" w:color="auto"/>
        <w:right w:val="none" w:sz="0" w:space="0" w:color="auto"/>
      </w:divBdr>
    </w:div>
    <w:div w:id="1701011828">
      <w:bodyDiv w:val="1"/>
      <w:marLeft w:val="0"/>
      <w:marRight w:val="0"/>
      <w:marTop w:val="0"/>
      <w:marBottom w:val="0"/>
      <w:divBdr>
        <w:top w:val="none" w:sz="0" w:space="0" w:color="auto"/>
        <w:left w:val="none" w:sz="0" w:space="0" w:color="auto"/>
        <w:bottom w:val="none" w:sz="0" w:space="0" w:color="auto"/>
        <w:right w:val="none" w:sz="0" w:space="0" w:color="auto"/>
      </w:divBdr>
    </w:div>
    <w:div w:id="1709524338">
      <w:bodyDiv w:val="1"/>
      <w:marLeft w:val="0"/>
      <w:marRight w:val="0"/>
      <w:marTop w:val="0"/>
      <w:marBottom w:val="0"/>
      <w:divBdr>
        <w:top w:val="none" w:sz="0" w:space="0" w:color="auto"/>
        <w:left w:val="none" w:sz="0" w:space="0" w:color="auto"/>
        <w:bottom w:val="none" w:sz="0" w:space="0" w:color="auto"/>
        <w:right w:val="none" w:sz="0" w:space="0" w:color="auto"/>
      </w:divBdr>
    </w:div>
    <w:div w:id="1718047511">
      <w:bodyDiv w:val="1"/>
      <w:marLeft w:val="0"/>
      <w:marRight w:val="0"/>
      <w:marTop w:val="0"/>
      <w:marBottom w:val="0"/>
      <w:divBdr>
        <w:top w:val="none" w:sz="0" w:space="0" w:color="auto"/>
        <w:left w:val="none" w:sz="0" w:space="0" w:color="auto"/>
        <w:bottom w:val="none" w:sz="0" w:space="0" w:color="auto"/>
        <w:right w:val="none" w:sz="0" w:space="0" w:color="auto"/>
      </w:divBdr>
    </w:div>
    <w:div w:id="1718510468">
      <w:bodyDiv w:val="1"/>
      <w:marLeft w:val="0"/>
      <w:marRight w:val="0"/>
      <w:marTop w:val="0"/>
      <w:marBottom w:val="0"/>
      <w:divBdr>
        <w:top w:val="none" w:sz="0" w:space="0" w:color="auto"/>
        <w:left w:val="none" w:sz="0" w:space="0" w:color="auto"/>
        <w:bottom w:val="none" w:sz="0" w:space="0" w:color="auto"/>
        <w:right w:val="none" w:sz="0" w:space="0" w:color="auto"/>
      </w:divBdr>
    </w:div>
    <w:div w:id="1720131556">
      <w:bodyDiv w:val="1"/>
      <w:marLeft w:val="0"/>
      <w:marRight w:val="0"/>
      <w:marTop w:val="0"/>
      <w:marBottom w:val="0"/>
      <w:divBdr>
        <w:top w:val="none" w:sz="0" w:space="0" w:color="auto"/>
        <w:left w:val="none" w:sz="0" w:space="0" w:color="auto"/>
        <w:bottom w:val="none" w:sz="0" w:space="0" w:color="auto"/>
        <w:right w:val="none" w:sz="0" w:space="0" w:color="auto"/>
      </w:divBdr>
    </w:div>
    <w:div w:id="1720739539">
      <w:bodyDiv w:val="1"/>
      <w:marLeft w:val="0"/>
      <w:marRight w:val="0"/>
      <w:marTop w:val="0"/>
      <w:marBottom w:val="0"/>
      <w:divBdr>
        <w:top w:val="none" w:sz="0" w:space="0" w:color="auto"/>
        <w:left w:val="none" w:sz="0" w:space="0" w:color="auto"/>
        <w:bottom w:val="none" w:sz="0" w:space="0" w:color="auto"/>
        <w:right w:val="none" w:sz="0" w:space="0" w:color="auto"/>
      </w:divBdr>
    </w:div>
    <w:div w:id="1722052160">
      <w:bodyDiv w:val="1"/>
      <w:marLeft w:val="0"/>
      <w:marRight w:val="0"/>
      <w:marTop w:val="0"/>
      <w:marBottom w:val="0"/>
      <w:divBdr>
        <w:top w:val="none" w:sz="0" w:space="0" w:color="auto"/>
        <w:left w:val="none" w:sz="0" w:space="0" w:color="auto"/>
        <w:bottom w:val="none" w:sz="0" w:space="0" w:color="auto"/>
        <w:right w:val="none" w:sz="0" w:space="0" w:color="auto"/>
      </w:divBdr>
    </w:div>
    <w:div w:id="1722289292">
      <w:bodyDiv w:val="1"/>
      <w:marLeft w:val="0"/>
      <w:marRight w:val="0"/>
      <w:marTop w:val="0"/>
      <w:marBottom w:val="0"/>
      <w:divBdr>
        <w:top w:val="none" w:sz="0" w:space="0" w:color="auto"/>
        <w:left w:val="none" w:sz="0" w:space="0" w:color="auto"/>
        <w:bottom w:val="none" w:sz="0" w:space="0" w:color="auto"/>
        <w:right w:val="none" w:sz="0" w:space="0" w:color="auto"/>
      </w:divBdr>
    </w:div>
    <w:div w:id="1722631845">
      <w:bodyDiv w:val="1"/>
      <w:marLeft w:val="0"/>
      <w:marRight w:val="0"/>
      <w:marTop w:val="0"/>
      <w:marBottom w:val="0"/>
      <w:divBdr>
        <w:top w:val="none" w:sz="0" w:space="0" w:color="auto"/>
        <w:left w:val="none" w:sz="0" w:space="0" w:color="auto"/>
        <w:bottom w:val="none" w:sz="0" w:space="0" w:color="auto"/>
        <w:right w:val="none" w:sz="0" w:space="0" w:color="auto"/>
      </w:divBdr>
    </w:div>
    <w:div w:id="1723556620">
      <w:bodyDiv w:val="1"/>
      <w:marLeft w:val="0"/>
      <w:marRight w:val="0"/>
      <w:marTop w:val="0"/>
      <w:marBottom w:val="0"/>
      <w:divBdr>
        <w:top w:val="none" w:sz="0" w:space="0" w:color="auto"/>
        <w:left w:val="none" w:sz="0" w:space="0" w:color="auto"/>
        <w:bottom w:val="none" w:sz="0" w:space="0" w:color="auto"/>
        <w:right w:val="none" w:sz="0" w:space="0" w:color="auto"/>
      </w:divBdr>
    </w:div>
    <w:div w:id="1729644641">
      <w:bodyDiv w:val="1"/>
      <w:marLeft w:val="0"/>
      <w:marRight w:val="0"/>
      <w:marTop w:val="0"/>
      <w:marBottom w:val="0"/>
      <w:divBdr>
        <w:top w:val="none" w:sz="0" w:space="0" w:color="auto"/>
        <w:left w:val="none" w:sz="0" w:space="0" w:color="auto"/>
        <w:bottom w:val="none" w:sz="0" w:space="0" w:color="auto"/>
        <w:right w:val="none" w:sz="0" w:space="0" w:color="auto"/>
      </w:divBdr>
    </w:div>
    <w:div w:id="1731416837">
      <w:bodyDiv w:val="1"/>
      <w:marLeft w:val="0"/>
      <w:marRight w:val="0"/>
      <w:marTop w:val="0"/>
      <w:marBottom w:val="0"/>
      <w:divBdr>
        <w:top w:val="none" w:sz="0" w:space="0" w:color="auto"/>
        <w:left w:val="none" w:sz="0" w:space="0" w:color="auto"/>
        <w:bottom w:val="none" w:sz="0" w:space="0" w:color="auto"/>
        <w:right w:val="none" w:sz="0" w:space="0" w:color="auto"/>
      </w:divBdr>
    </w:div>
    <w:div w:id="1732575262">
      <w:bodyDiv w:val="1"/>
      <w:marLeft w:val="0"/>
      <w:marRight w:val="0"/>
      <w:marTop w:val="0"/>
      <w:marBottom w:val="0"/>
      <w:divBdr>
        <w:top w:val="none" w:sz="0" w:space="0" w:color="auto"/>
        <w:left w:val="none" w:sz="0" w:space="0" w:color="auto"/>
        <w:bottom w:val="none" w:sz="0" w:space="0" w:color="auto"/>
        <w:right w:val="none" w:sz="0" w:space="0" w:color="auto"/>
      </w:divBdr>
    </w:div>
    <w:div w:id="1733694791">
      <w:bodyDiv w:val="1"/>
      <w:marLeft w:val="0"/>
      <w:marRight w:val="0"/>
      <w:marTop w:val="0"/>
      <w:marBottom w:val="0"/>
      <w:divBdr>
        <w:top w:val="none" w:sz="0" w:space="0" w:color="auto"/>
        <w:left w:val="none" w:sz="0" w:space="0" w:color="auto"/>
        <w:bottom w:val="none" w:sz="0" w:space="0" w:color="auto"/>
        <w:right w:val="none" w:sz="0" w:space="0" w:color="auto"/>
      </w:divBdr>
    </w:div>
    <w:div w:id="1748722859">
      <w:bodyDiv w:val="1"/>
      <w:marLeft w:val="0"/>
      <w:marRight w:val="0"/>
      <w:marTop w:val="0"/>
      <w:marBottom w:val="0"/>
      <w:divBdr>
        <w:top w:val="none" w:sz="0" w:space="0" w:color="auto"/>
        <w:left w:val="none" w:sz="0" w:space="0" w:color="auto"/>
        <w:bottom w:val="none" w:sz="0" w:space="0" w:color="auto"/>
        <w:right w:val="none" w:sz="0" w:space="0" w:color="auto"/>
      </w:divBdr>
    </w:div>
    <w:div w:id="1750955757">
      <w:bodyDiv w:val="1"/>
      <w:marLeft w:val="0"/>
      <w:marRight w:val="0"/>
      <w:marTop w:val="0"/>
      <w:marBottom w:val="0"/>
      <w:divBdr>
        <w:top w:val="none" w:sz="0" w:space="0" w:color="auto"/>
        <w:left w:val="none" w:sz="0" w:space="0" w:color="auto"/>
        <w:bottom w:val="none" w:sz="0" w:space="0" w:color="auto"/>
        <w:right w:val="none" w:sz="0" w:space="0" w:color="auto"/>
      </w:divBdr>
    </w:div>
    <w:div w:id="1755205660">
      <w:bodyDiv w:val="1"/>
      <w:marLeft w:val="0"/>
      <w:marRight w:val="0"/>
      <w:marTop w:val="0"/>
      <w:marBottom w:val="0"/>
      <w:divBdr>
        <w:top w:val="none" w:sz="0" w:space="0" w:color="auto"/>
        <w:left w:val="none" w:sz="0" w:space="0" w:color="auto"/>
        <w:bottom w:val="none" w:sz="0" w:space="0" w:color="auto"/>
        <w:right w:val="none" w:sz="0" w:space="0" w:color="auto"/>
      </w:divBdr>
    </w:div>
    <w:div w:id="1772386451">
      <w:bodyDiv w:val="1"/>
      <w:marLeft w:val="0"/>
      <w:marRight w:val="0"/>
      <w:marTop w:val="0"/>
      <w:marBottom w:val="0"/>
      <w:divBdr>
        <w:top w:val="none" w:sz="0" w:space="0" w:color="auto"/>
        <w:left w:val="none" w:sz="0" w:space="0" w:color="auto"/>
        <w:bottom w:val="none" w:sz="0" w:space="0" w:color="auto"/>
        <w:right w:val="none" w:sz="0" w:space="0" w:color="auto"/>
      </w:divBdr>
    </w:div>
    <w:div w:id="1775049828">
      <w:bodyDiv w:val="1"/>
      <w:marLeft w:val="0"/>
      <w:marRight w:val="0"/>
      <w:marTop w:val="0"/>
      <w:marBottom w:val="0"/>
      <w:divBdr>
        <w:top w:val="none" w:sz="0" w:space="0" w:color="auto"/>
        <w:left w:val="none" w:sz="0" w:space="0" w:color="auto"/>
        <w:bottom w:val="none" w:sz="0" w:space="0" w:color="auto"/>
        <w:right w:val="none" w:sz="0" w:space="0" w:color="auto"/>
      </w:divBdr>
    </w:div>
    <w:div w:id="1775322102">
      <w:bodyDiv w:val="1"/>
      <w:marLeft w:val="0"/>
      <w:marRight w:val="0"/>
      <w:marTop w:val="0"/>
      <w:marBottom w:val="0"/>
      <w:divBdr>
        <w:top w:val="none" w:sz="0" w:space="0" w:color="auto"/>
        <w:left w:val="none" w:sz="0" w:space="0" w:color="auto"/>
        <w:bottom w:val="none" w:sz="0" w:space="0" w:color="auto"/>
        <w:right w:val="none" w:sz="0" w:space="0" w:color="auto"/>
      </w:divBdr>
    </w:div>
    <w:div w:id="1777288456">
      <w:bodyDiv w:val="1"/>
      <w:marLeft w:val="0"/>
      <w:marRight w:val="0"/>
      <w:marTop w:val="0"/>
      <w:marBottom w:val="0"/>
      <w:divBdr>
        <w:top w:val="none" w:sz="0" w:space="0" w:color="auto"/>
        <w:left w:val="none" w:sz="0" w:space="0" w:color="auto"/>
        <w:bottom w:val="none" w:sz="0" w:space="0" w:color="auto"/>
        <w:right w:val="none" w:sz="0" w:space="0" w:color="auto"/>
      </w:divBdr>
    </w:div>
    <w:div w:id="1789422726">
      <w:bodyDiv w:val="1"/>
      <w:marLeft w:val="0"/>
      <w:marRight w:val="0"/>
      <w:marTop w:val="0"/>
      <w:marBottom w:val="0"/>
      <w:divBdr>
        <w:top w:val="none" w:sz="0" w:space="0" w:color="auto"/>
        <w:left w:val="none" w:sz="0" w:space="0" w:color="auto"/>
        <w:bottom w:val="none" w:sz="0" w:space="0" w:color="auto"/>
        <w:right w:val="none" w:sz="0" w:space="0" w:color="auto"/>
      </w:divBdr>
    </w:div>
    <w:div w:id="1789932007">
      <w:bodyDiv w:val="1"/>
      <w:marLeft w:val="0"/>
      <w:marRight w:val="0"/>
      <w:marTop w:val="0"/>
      <w:marBottom w:val="0"/>
      <w:divBdr>
        <w:top w:val="none" w:sz="0" w:space="0" w:color="auto"/>
        <w:left w:val="none" w:sz="0" w:space="0" w:color="auto"/>
        <w:bottom w:val="none" w:sz="0" w:space="0" w:color="auto"/>
        <w:right w:val="none" w:sz="0" w:space="0" w:color="auto"/>
      </w:divBdr>
    </w:div>
    <w:div w:id="1791972078">
      <w:bodyDiv w:val="1"/>
      <w:marLeft w:val="0"/>
      <w:marRight w:val="0"/>
      <w:marTop w:val="0"/>
      <w:marBottom w:val="0"/>
      <w:divBdr>
        <w:top w:val="none" w:sz="0" w:space="0" w:color="auto"/>
        <w:left w:val="none" w:sz="0" w:space="0" w:color="auto"/>
        <w:bottom w:val="none" w:sz="0" w:space="0" w:color="auto"/>
        <w:right w:val="none" w:sz="0" w:space="0" w:color="auto"/>
      </w:divBdr>
    </w:div>
    <w:div w:id="1797795620">
      <w:bodyDiv w:val="1"/>
      <w:marLeft w:val="0"/>
      <w:marRight w:val="0"/>
      <w:marTop w:val="0"/>
      <w:marBottom w:val="0"/>
      <w:divBdr>
        <w:top w:val="none" w:sz="0" w:space="0" w:color="auto"/>
        <w:left w:val="none" w:sz="0" w:space="0" w:color="auto"/>
        <w:bottom w:val="none" w:sz="0" w:space="0" w:color="auto"/>
        <w:right w:val="none" w:sz="0" w:space="0" w:color="auto"/>
      </w:divBdr>
    </w:div>
    <w:div w:id="1799566166">
      <w:bodyDiv w:val="1"/>
      <w:marLeft w:val="0"/>
      <w:marRight w:val="0"/>
      <w:marTop w:val="0"/>
      <w:marBottom w:val="0"/>
      <w:divBdr>
        <w:top w:val="none" w:sz="0" w:space="0" w:color="auto"/>
        <w:left w:val="none" w:sz="0" w:space="0" w:color="auto"/>
        <w:bottom w:val="none" w:sz="0" w:space="0" w:color="auto"/>
        <w:right w:val="none" w:sz="0" w:space="0" w:color="auto"/>
      </w:divBdr>
    </w:div>
    <w:div w:id="1802574571">
      <w:bodyDiv w:val="1"/>
      <w:marLeft w:val="0"/>
      <w:marRight w:val="0"/>
      <w:marTop w:val="0"/>
      <w:marBottom w:val="0"/>
      <w:divBdr>
        <w:top w:val="none" w:sz="0" w:space="0" w:color="auto"/>
        <w:left w:val="none" w:sz="0" w:space="0" w:color="auto"/>
        <w:bottom w:val="none" w:sz="0" w:space="0" w:color="auto"/>
        <w:right w:val="none" w:sz="0" w:space="0" w:color="auto"/>
      </w:divBdr>
    </w:div>
    <w:div w:id="1803033923">
      <w:bodyDiv w:val="1"/>
      <w:marLeft w:val="0"/>
      <w:marRight w:val="0"/>
      <w:marTop w:val="0"/>
      <w:marBottom w:val="0"/>
      <w:divBdr>
        <w:top w:val="none" w:sz="0" w:space="0" w:color="auto"/>
        <w:left w:val="none" w:sz="0" w:space="0" w:color="auto"/>
        <w:bottom w:val="none" w:sz="0" w:space="0" w:color="auto"/>
        <w:right w:val="none" w:sz="0" w:space="0" w:color="auto"/>
      </w:divBdr>
    </w:div>
    <w:div w:id="1805930035">
      <w:bodyDiv w:val="1"/>
      <w:marLeft w:val="0"/>
      <w:marRight w:val="0"/>
      <w:marTop w:val="0"/>
      <w:marBottom w:val="0"/>
      <w:divBdr>
        <w:top w:val="none" w:sz="0" w:space="0" w:color="auto"/>
        <w:left w:val="none" w:sz="0" w:space="0" w:color="auto"/>
        <w:bottom w:val="none" w:sz="0" w:space="0" w:color="auto"/>
        <w:right w:val="none" w:sz="0" w:space="0" w:color="auto"/>
      </w:divBdr>
    </w:div>
    <w:div w:id="1808618434">
      <w:bodyDiv w:val="1"/>
      <w:marLeft w:val="0"/>
      <w:marRight w:val="0"/>
      <w:marTop w:val="0"/>
      <w:marBottom w:val="0"/>
      <w:divBdr>
        <w:top w:val="none" w:sz="0" w:space="0" w:color="auto"/>
        <w:left w:val="none" w:sz="0" w:space="0" w:color="auto"/>
        <w:bottom w:val="none" w:sz="0" w:space="0" w:color="auto"/>
        <w:right w:val="none" w:sz="0" w:space="0" w:color="auto"/>
      </w:divBdr>
    </w:div>
    <w:div w:id="1813861501">
      <w:bodyDiv w:val="1"/>
      <w:marLeft w:val="0"/>
      <w:marRight w:val="0"/>
      <w:marTop w:val="0"/>
      <w:marBottom w:val="0"/>
      <w:divBdr>
        <w:top w:val="none" w:sz="0" w:space="0" w:color="auto"/>
        <w:left w:val="none" w:sz="0" w:space="0" w:color="auto"/>
        <w:bottom w:val="none" w:sz="0" w:space="0" w:color="auto"/>
        <w:right w:val="none" w:sz="0" w:space="0" w:color="auto"/>
      </w:divBdr>
    </w:div>
    <w:div w:id="1814712504">
      <w:bodyDiv w:val="1"/>
      <w:marLeft w:val="0"/>
      <w:marRight w:val="0"/>
      <w:marTop w:val="0"/>
      <w:marBottom w:val="0"/>
      <w:divBdr>
        <w:top w:val="none" w:sz="0" w:space="0" w:color="auto"/>
        <w:left w:val="none" w:sz="0" w:space="0" w:color="auto"/>
        <w:bottom w:val="none" w:sz="0" w:space="0" w:color="auto"/>
        <w:right w:val="none" w:sz="0" w:space="0" w:color="auto"/>
      </w:divBdr>
    </w:div>
    <w:div w:id="1816142031">
      <w:bodyDiv w:val="1"/>
      <w:marLeft w:val="0"/>
      <w:marRight w:val="0"/>
      <w:marTop w:val="0"/>
      <w:marBottom w:val="0"/>
      <w:divBdr>
        <w:top w:val="none" w:sz="0" w:space="0" w:color="auto"/>
        <w:left w:val="none" w:sz="0" w:space="0" w:color="auto"/>
        <w:bottom w:val="none" w:sz="0" w:space="0" w:color="auto"/>
        <w:right w:val="none" w:sz="0" w:space="0" w:color="auto"/>
      </w:divBdr>
    </w:div>
    <w:div w:id="1818060715">
      <w:bodyDiv w:val="1"/>
      <w:marLeft w:val="0"/>
      <w:marRight w:val="0"/>
      <w:marTop w:val="0"/>
      <w:marBottom w:val="0"/>
      <w:divBdr>
        <w:top w:val="none" w:sz="0" w:space="0" w:color="auto"/>
        <w:left w:val="none" w:sz="0" w:space="0" w:color="auto"/>
        <w:bottom w:val="none" w:sz="0" w:space="0" w:color="auto"/>
        <w:right w:val="none" w:sz="0" w:space="0" w:color="auto"/>
      </w:divBdr>
    </w:div>
    <w:div w:id="1820923536">
      <w:bodyDiv w:val="1"/>
      <w:marLeft w:val="0"/>
      <w:marRight w:val="0"/>
      <w:marTop w:val="0"/>
      <w:marBottom w:val="0"/>
      <w:divBdr>
        <w:top w:val="none" w:sz="0" w:space="0" w:color="auto"/>
        <w:left w:val="none" w:sz="0" w:space="0" w:color="auto"/>
        <w:bottom w:val="none" w:sz="0" w:space="0" w:color="auto"/>
        <w:right w:val="none" w:sz="0" w:space="0" w:color="auto"/>
      </w:divBdr>
    </w:div>
    <w:div w:id="1821728537">
      <w:bodyDiv w:val="1"/>
      <w:marLeft w:val="0"/>
      <w:marRight w:val="0"/>
      <w:marTop w:val="0"/>
      <w:marBottom w:val="0"/>
      <w:divBdr>
        <w:top w:val="none" w:sz="0" w:space="0" w:color="auto"/>
        <w:left w:val="none" w:sz="0" w:space="0" w:color="auto"/>
        <w:bottom w:val="none" w:sz="0" w:space="0" w:color="auto"/>
        <w:right w:val="none" w:sz="0" w:space="0" w:color="auto"/>
      </w:divBdr>
    </w:div>
    <w:div w:id="1824656502">
      <w:bodyDiv w:val="1"/>
      <w:marLeft w:val="0"/>
      <w:marRight w:val="0"/>
      <w:marTop w:val="0"/>
      <w:marBottom w:val="0"/>
      <w:divBdr>
        <w:top w:val="none" w:sz="0" w:space="0" w:color="auto"/>
        <w:left w:val="none" w:sz="0" w:space="0" w:color="auto"/>
        <w:bottom w:val="none" w:sz="0" w:space="0" w:color="auto"/>
        <w:right w:val="none" w:sz="0" w:space="0" w:color="auto"/>
      </w:divBdr>
    </w:div>
    <w:div w:id="1825927013">
      <w:bodyDiv w:val="1"/>
      <w:marLeft w:val="0"/>
      <w:marRight w:val="0"/>
      <w:marTop w:val="0"/>
      <w:marBottom w:val="0"/>
      <w:divBdr>
        <w:top w:val="none" w:sz="0" w:space="0" w:color="auto"/>
        <w:left w:val="none" w:sz="0" w:space="0" w:color="auto"/>
        <w:bottom w:val="none" w:sz="0" w:space="0" w:color="auto"/>
        <w:right w:val="none" w:sz="0" w:space="0" w:color="auto"/>
      </w:divBdr>
    </w:div>
    <w:div w:id="1828932885">
      <w:bodyDiv w:val="1"/>
      <w:marLeft w:val="0"/>
      <w:marRight w:val="0"/>
      <w:marTop w:val="0"/>
      <w:marBottom w:val="0"/>
      <w:divBdr>
        <w:top w:val="none" w:sz="0" w:space="0" w:color="auto"/>
        <w:left w:val="none" w:sz="0" w:space="0" w:color="auto"/>
        <w:bottom w:val="none" w:sz="0" w:space="0" w:color="auto"/>
        <w:right w:val="none" w:sz="0" w:space="0" w:color="auto"/>
      </w:divBdr>
    </w:div>
    <w:div w:id="1834449901">
      <w:bodyDiv w:val="1"/>
      <w:marLeft w:val="0"/>
      <w:marRight w:val="0"/>
      <w:marTop w:val="0"/>
      <w:marBottom w:val="0"/>
      <w:divBdr>
        <w:top w:val="none" w:sz="0" w:space="0" w:color="auto"/>
        <w:left w:val="none" w:sz="0" w:space="0" w:color="auto"/>
        <w:bottom w:val="none" w:sz="0" w:space="0" w:color="auto"/>
        <w:right w:val="none" w:sz="0" w:space="0" w:color="auto"/>
      </w:divBdr>
    </w:div>
    <w:div w:id="1837303424">
      <w:bodyDiv w:val="1"/>
      <w:marLeft w:val="0"/>
      <w:marRight w:val="0"/>
      <w:marTop w:val="0"/>
      <w:marBottom w:val="0"/>
      <w:divBdr>
        <w:top w:val="none" w:sz="0" w:space="0" w:color="auto"/>
        <w:left w:val="none" w:sz="0" w:space="0" w:color="auto"/>
        <w:bottom w:val="none" w:sz="0" w:space="0" w:color="auto"/>
        <w:right w:val="none" w:sz="0" w:space="0" w:color="auto"/>
      </w:divBdr>
    </w:div>
    <w:div w:id="1839147588">
      <w:bodyDiv w:val="1"/>
      <w:marLeft w:val="0"/>
      <w:marRight w:val="0"/>
      <w:marTop w:val="0"/>
      <w:marBottom w:val="0"/>
      <w:divBdr>
        <w:top w:val="none" w:sz="0" w:space="0" w:color="auto"/>
        <w:left w:val="none" w:sz="0" w:space="0" w:color="auto"/>
        <w:bottom w:val="none" w:sz="0" w:space="0" w:color="auto"/>
        <w:right w:val="none" w:sz="0" w:space="0" w:color="auto"/>
      </w:divBdr>
    </w:div>
    <w:div w:id="1841118721">
      <w:bodyDiv w:val="1"/>
      <w:marLeft w:val="0"/>
      <w:marRight w:val="0"/>
      <w:marTop w:val="0"/>
      <w:marBottom w:val="0"/>
      <w:divBdr>
        <w:top w:val="none" w:sz="0" w:space="0" w:color="auto"/>
        <w:left w:val="none" w:sz="0" w:space="0" w:color="auto"/>
        <w:bottom w:val="none" w:sz="0" w:space="0" w:color="auto"/>
        <w:right w:val="none" w:sz="0" w:space="0" w:color="auto"/>
      </w:divBdr>
    </w:div>
    <w:div w:id="1845052859">
      <w:bodyDiv w:val="1"/>
      <w:marLeft w:val="0"/>
      <w:marRight w:val="0"/>
      <w:marTop w:val="0"/>
      <w:marBottom w:val="0"/>
      <w:divBdr>
        <w:top w:val="none" w:sz="0" w:space="0" w:color="auto"/>
        <w:left w:val="none" w:sz="0" w:space="0" w:color="auto"/>
        <w:bottom w:val="none" w:sz="0" w:space="0" w:color="auto"/>
        <w:right w:val="none" w:sz="0" w:space="0" w:color="auto"/>
      </w:divBdr>
    </w:div>
    <w:div w:id="1849786310">
      <w:bodyDiv w:val="1"/>
      <w:marLeft w:val="0"/>
      <w:marRight w:val="0"/>
      <w:marTop w:val="0"/>
      <w:marBottom w:val="0"/>
      <w:divBdr>
        <w:top w:val="none" w:sz="0" w:space="0" w:color="auto"/>
        <w:left w:val="none" w:sz="0" w:space="0" w:color="auto"/>
        <w:bottom w:val="none" w:sz="0" w:space="0" w:color="auto"/>
        <w:right w:val="none" w:sz="0" w:space="0" w:color="auto"/>
      </w:divBdr>
    </w:div>
    <w:div w:id="1855806438">
      <w:bodyDiv w:val="1"/>
      <w:marLeft w:val="0"/>
      <w:marRight w:val="0"/>
      <w:marTop w:val="0"/>
      <w:marBottom w:val="0"/>
      <w:divBdr>
        <w:top w:val="none" w:sz="0" w:space="0" w:color="auto"/>
        <w:left w:val="none" w:sz="0" w:space="0" w:color="auto"/>
        <w:bottom w:val="none" w:sz="0" w:space="0" w:color="auto"/>
        <w:right w:val="none" w:sz="0" w:space="0" w:color="auto"/>
      </w:divBdr>
    </w:div>
    <w:div w:id="1857424226">
      <w:bodyDiv w:val="1"/>
      <w:marLeft w:val="0"/>
      <w:marRight w:val="0"/>
      <w:marTop w:val="0"/>
      <w:marBottom w:val="0"/>
      <w:divBdr>
        <w:top w:val="none" w:sz="0" w:space="0" w:color="auto"/>
        <w:left w:val="none" w:sz="0" w:space="0" w:color="auto"/>
        <w:bottom w:val="none" w:sz="0" w:space="0" w:color="auto"/>
        <w:right w:val="none" w:sz="0" w:space="0" w:color="auto"/>
      </w:divBdr>
    </w:div>
    <w:div w:id="1861163401">
      <w:bodyDiv w:val="1"/>
      <w:marLeft w:val="0"/>
      <w:marRight w:val="0"/>
      <w:marTop w:val="0"/>
      <w:marBottom w:val="0"/>
      <w:divBdr>
        <w:top w:val="none" w:sz="0" w:space="0" w:color="auto"/>
        <w:left w:val="none" w:sz="0" w:space="0" w:color="auto"/>
        <w:bottom w:val="none" w:sz="0" w:space="0" w:color="auto"/>
        <w:right w:val="none" w:sz="0" w:space="0" w:color="auto"/>
      </w:divBdr>
    </w:div>
    <w:div w:id="1861236560">
      <w:bodyDiv w:val="1"/>
      <w:marLeft w:val="0"/>
      <w:marRight w:val="0"/>
      <w:marTop w:val="0"/>
      <w:marBottom w:val="0"/>
      <w:divBdr>
        <w:top w:val="none" w:sz="0" w:space="0" w:color="auto"/>
        <w:left w:val="none" w:sz="0" w:space="0" w:color="auto"/>
        <w:bottom w:val="none" w:sz="0" w:space="0" w:color="auto"/>
        <w:right w:val="none" w:sz="0" w:space="0" w:color="auto"/>
      </w:divBdr>
    </w:div>
    <w:div w:id="1865636072">
      <w:bodyDiv w:val="1"/>
      <w:marLeft w:val="0"/>
      <w:marRight w:val="0"/>
      <w:marTop w:val="0"/>
      <w:marBottom w:val="0"/>
      <w:divBdr>
        <w:top w:val="none" w:sz="0" w:space="0" w:color="auto"/>
        <w:left w:val="none" w:sz="0" w:space="0" w:color="auto"/>
        <w:bottom w:val="none" w:sz="0" w:space="0" w:color="auto"/>
        <w:right w:val="none" w:sz="0" w:space="0" w:color="auto"/>
      </w:divBdr>
    </w:div>
    <w:div w:id="1866674995">
      <w:bodyDiv w:val="1"/>
      <w:marLeft w:val="0"/>
      <w:marRight w:val="0"/>
      <w:marTop w:val="0"/>
      <w:marBottom w:val="0"/>
      <w:divBdr>
        <w:top w:val="none" w:sz="0" w:space="0" w:color="auto"/>
        <w:left w:val="none" w:sz="0" w:space="0" w:color="auto"/>
        <w:bottom w:val="none" w:sz="0" w:space="0" w:color="auto"/>
        <w:right w:val="none" w:sz="0" w:space="0" w:color="auto"/>
      </w:divBdr>
    </w:div>
    <w:div w:id="1866822232">
      <w:bodyDiv w:val="1"/>
      <w:marLeft w:val="0"/>
      <w:marRight w:val="0"/>
      <w:marTop w:val="0"/>
      <w:marBottom w:val="0"/>
      <w:divBdr>
        <w:top w:val="none" w:sz="0" w:space="0" w:color="auto"/>
        <w:left w:val="none" w:sz="0" w:space="0" w:color="auto"/>
        <w:bottom w:val="none" w:sz="0" w:space="0" w:color="auto"/>
        <w:right w:val="none" w:sz="0" w:space="0" w:color="auto"/>
      </w:divBdr>
    </w:div>
    <w:div w:id="1871913900">
      <w:bodyDiv w:val="1"/>
      <w:marLeft w:val="0"/>
      <w:marRight w:val="0"/>
      <w:marTop w:val="0"/>
      <w:marBottom w:val="0"/>
      <w:divBdr>
        <w:top w:val="none" w:sz="0" w:space="0" w:color="auto"/>
        <w:left w:val="none" w:sz="0" w:space="0" w:color="auto"/>
        <w:bottom w:val="none" w:sz="0" w:space="0" w:color="auto"/>
        <w:right w:val="none" w:sz="0" w:space="0" w:color="auto"/>
      </w:divBdr>
    </w:div>
    <w:div w:id="1874345244">
      <w:bodyDiv w:val="1"/>
      <w:marLeft w:val="0"/>
      <w:marRight w:val="0"/>
      <w:marTop w:val="0"/>
      <w:marBottom w:val="0"/>
      <w:divBdr>
        <w:top w:val="none" w:sz="0" w:space="0" w:color="auto"/>
        <w:left w:val="none" w:sz="0" w:space="0" w:color="auto"/>
        <w:bottom w:val="none" w:sz="0" w:space="0" w:color="auto"/>
        <w:right w:val="none" w:sz="0" w:space="0" w:color="auto"/>
      </w:divBdr>
    </w:div>
    <w:div w:id="1876498440">
      <w:bodyDiv w:val="1"/>
      <w:marLeft w:val="0"/>
      <w:marRight w:val="0"/>
      <w:marTop w:val="0"/>
      <w:marBottom w:val="0"/>
      <w:divBdr>
        <w:top w:val="none" w:sz="0" w:space="0" w:color="auto"/>
        <w:left w:val="none" w:sz="0" w:space="0" w:color="auto"/>
        <w:bottom w:val="none" w:sz="0" w:space="0" w:color="auto"/>
        <w:right w:val="none" w:sz="0" w:space="0" w:color="auto"/>
      </w:divBdr>
    </w:div>
    <w:div w:id="1877230425">
      <w:bodyDiv w:val="1"/>
      <w:marLeft w:val="0"/>
      <w:marRight w:val="0"/>
      <w:marTop w:val="0"/>
      <w:marBottom w:val="0"/>
      <w:divBdr>
        <w:top w:val="none" w:sz="0" w:space="0" w:color="auto"/>
        <w:left w:val="none" w:sz="0" w:space="0" w:color="auto"/>
        <w:bottom w:val="none" w:sz="0" w:space="0" w:color="auto"/>
        <w:right w:val="none" w:sz="0" w:space="0" w:color="auto"/>
      </w:divBdr>
    </w:div>
    <w:div w:id="1877965917">
      <w:bodyDiv w:val="1"/>
      <w:marLeft w:val="0"/>
      <w:marRight w:val="0"/>
      <w:marTop w:val="0"/>
      <w:marBottom w:val="0"/>
      <w:divBdr>
        <w:top w:val="none" w:sz="0" w:space="0" w:color="auto"/>
        <w:left w:val="none" w:sz="0" w:space="0" w:color="auto"/>
        <w:bottom w:val="none" w:sz="0" w:space="0" w:color="auto"/>
        <w:right w:val="none" w:sz="0" w:space="0" w:color="auto"/>
      </w:divBdr>
    </w:div>
    <w:div w:id="1878347203">
      <w:bodyDiv w:val="1"/>
      <w:marLeft w:val="0"/>
      <w:marRight w:val="0"/>
      <w:marTop w:val="0"/>
      <w:marBottom w:val="0"/>
      <w:divBdr>
        <w:top w:val="none" w:sz="0" w:space="0" w:color="auto"/>
        <w:left w:val="none" w:sz="0" w:space="0" w:color="auto"/>
        <w:bottom w:val="none" w:sz="0" w:space="0" w:color="auto"/>
        <w:right w:val="none" w:sz="0" w:space="0" w:color="auto"/>
      </w:divBdr>
    </w:div>
    <w:div w:id="1882397680">
      <w:bodyDiv w:val="1"/>
      <w:marLeft w:val="0"/>
      <w:marRight w:val="0"/>
      <w:marTop w:val="0"/>
      <w:marBottom w:val="0"/>
      <w:divBdr>
        <w:top w:val="none" w:sz="0" w:space="0" w:color="auto"/>
        <w:left w:val="none" w:sz="0" w:space="0" w:color="auto"/>
        <w:bottom w:val="none" w:sz="0" w:space="0" w:color="auto"/>
        <w:right w:val="none" w:sz="0" w:space="0" w:color="auto"/>
      </w:divBdr>
    </w:div>
    <w:div w:id="1890528282">
      <w:bodyDiv w:val="1"/>
      <w:marLeft w:val="0"/>
      <w:marRight w:val="0"/>
      <w:marTop w:val="0"/>
      <w:marBottom w:val="0"/>
      <w:divBdr>
        <w:top w:val="none" w:sz="0" w:space="0" w:color="auto"/>
        <w:left w:val="none" w:sz="0" w:space="0" w:color="auto"/>
        <w:bottom w:val="none" w:sz="0" w:space="0" w:color="auto"/>
        <w:right w:val="none" w:sz="0" w:space="0" w:color="auto"/>
      </w:divBdr>
    </w:div>
    <w:div w:id="1898324032">
      <w:bodyDiv w:val="1"/>
      <w:marLeft w:val="0"/>
      <w:marRight w:val="0"/>
      <w:marTop w:val="0"/>
      <w:marBottom w:val="0"/>
      <w:divBdr>
        <w:top w:val="none" w:sz="0" w:space="0" w:color="auto"/>
        <w:left w:val="none" w:sz="0" w:space="0" w:color="auto"/>
        <w:bottom w:val="none" w:sz="0" w:space="0" w:color="auto"/>
        <w:right w:val="none" w:sz="0" w:space="0" w:color="auto"/>
      </w:divBdr>
    </w:div>
    <w:div w:id="1900746037">
      <w:bodyDiv w:val="1"/>
      <w:marLeft w:val="0"/>
      <w:marRight w:val="0"/>
      <w:marTop w:val="0"/>
      <w:marBottom w:val="0"/>
      <w:divBdr>
        <w:top w:val="none" w:sz="0" w:space="0" w:color="auto"/>
        <w:left w:val="none" w:sz="0" w:space="0" w:color="auto"/>
        <w:bottom w:val="none" w:sz="0" w:space="0" w:color="auto"/>
        <w:right w:val="none" w:sz="0" w:space="0" w:color="auto"/>
      </w:divBdr>
    </w:div>
    <w:div w:id="1900819757">
      <w:bodyDiv w:val="1"/>
      <w:marLeft w:val="0"/>
      <w:marRight w:val="0"/>
      <w:marTop w:val="0"/>
      <w:marBottom w:val="0"/>
      <w:divBdr>
        <w:top w:val="none" w:sz="0" w:space="0" w:color="auto"/>
        <w:left w:val="none" w:sz="0" w:space="0" w:color="auto"/>
        <w:bottom w:val="none" w:sz="0" w:space="0" w:color="auto"/>
        <w:right w:val="none" w:sz="0" w:space="0" w:color="auto"/>
      </w:divBdr>
    </w:div>
    <w:div w:id="1901285520">
      <w:bodyDiv w:val="1"/>
      <w:marLeft w:val="0"/>
      <w:marRight w:val="0"/>
      <w:marTop w:val="0"/>
      <w:marBottom w:val="0"/>
      <w:divBdr>
        <w:top w:val="none" w:sz="0" w:space="0" w:color="auto"/>
        <w:left w:val="none" w:sz="0" w:space="0" w:color="auto"/>
        <w:bottom w:val="none" w:sz="0" w:space="0" w:color="auto"/>
        <w:right w:val="none" w:sz="0" w:space="0" w:color="auto"/>
      </w:divBdr>
    </w:div>
    <w:div w:id="1902593203">
      <w:bodyDiv w:val="1"/>
      <w:marLeft w:val="0"/>
      <w:marRight w:val="0"/>
      <w:marTop w:val="0"/>
      <w:marBottom w:val="0"/>
      <w:divBdr>
        <w:top w:val="none" w:sz="0" w:space="0" w:color="auto"/>
        <w:left w:val="none" w:sz="0" w:space="0" w:color="auto"/>
        <w:bottom w:val="none" w:sz="0" w:space="0" w:color="auto"/>
        <w:right w:val="none" w:sz="0" w:space="0" w:color="auto"/>
      </w:divBdr>
    </w:div>
    <w:div w:id="1906186441">
      <w:bodyDiv w:val="1"/>
      <w:marLeft w:val="0"/>
      <w:marRight w:val="0"/>
      <w:marTop w:val="0"/>
      <w:marBottom w:val="0"/>
      <w:divBdr>
        <w:top w:val="none" w:sz="0" w:space="0" w:color="auto"/>
        <w:left w:val="none" w:sz="0" w:space="0" w:color="auto"/>
        <w:bottom w:val="none" w:sz="0" w:space="0" w:color="auto"/>
        <w:right w:val="none" w:sz="0" w:space="0" w:color="auto"/>
      </w:divBdr>
    </w:div>
    <w:div w:id="1908374108">
      <w:bodyDiv w:val="1"/>
      <w:marLeft w:val="0"/>
      <w:marRight w:val="0"/>
      <w:marTop w:val="0"/>
      <w:marBottom w:val="0"/>
      <w:divBdr>
        <w:top w:val="none" w:sz="0" w:space="0" w:color="auto"/>
        <w:left w:val="none" w:sz="0" w:space="0" w:color="auto"/>
        <w:bottom w:val="none" w:sz="0" w:space="0" w:color="auto"/>
        <w:right w:val="none" w:sz="0" w:space="0" w:color="auto"/>
      </w:divBdr>
    </w:div>
    <w:div w:id="1918174071">
      <w:bodyDiv w:val="1"/>
      <w:marLeft w:val="0"/>
      <w:marRight w:val="0"/>
      <w:marTop w:val="0"/>
      <w:marBottom w:val="0"/>
      <w:divBdr>
        <w:top w:val="none" w:sz="0" w:space="0" w:color="auto"/>
        <w:left w:val="none" w:sz="0" w:space="0" w:color="auto"/>
        <w:bottom w:val="none" w:sz="0" w:space="0" w:color="auto"/>
        <w:right w:val="none" w:sz="0" w:space="0" w:color="auto"/>
      </w:divBdr>
    </w:div>
    <w:div w:id="1920672085">
      <w:bodyDiv w:val="1"/>
      <w:marLeft w:val="0"/>
      <w:marRight w:val="0"/>
      <w:marTop w:val="0"/>
      <w:marBottom w:val="0"/>
      <w:divBdr>
        <w:top w:val="none" w:sz="0" w:space="0" w:color="auto"/>
        <w:left w:val="none" w:sz="0" w:space="0" w:color="auto"/>
        <w:bottom w:val="none" w:sz="0" w:space="0" w:color="auto"/>
        <w:right w:val="none" w:sz="0" w:space="0" w:color="auto"/>
      </w:divBdr>
    </w:div>
    <w:div w:id="1924491888">
      <w:bodyDiv w:val="1"/>
      <w:marLeft w:val="0"/>
      <w:marRight w:val="0"/>
      <w:marTop w:val="0"/>
      <w:marBottom w:val="0"/>
      <w:divBdr>
        <w:top w:val="none" w:sz="0" w:space="0" w:color="auto"/>
        <w:left w:val="none" w:sz="0" w:space="0" w:color="auto"/>
        <w:bottom w:val="none" w:sz="0" w:space="0" w:color="auto"/>
        <w:right w:val="none" w:sz="0" w:space="0" w:color="auto"/>
      </w:divBdr>
    </w:div>
    <w:div w:id="1925409450">
      <w:bodyDiv w:val="1"/>
      <w:marLeft w:val="0"/>
      <w:marRight w:val="0"/>
      <w:marTop w:val="0"/>
      <w:marBottom w:val="0"/>
      <w:divBdr>
        <w:top w:val="none" w:sz="0" w:space="0" w:color="auto"/>
        <w:left w:val="none" w:sz="0" w:space="0" w:color="auto"/>
        <w:bottom w:val="none" w:sz="0" w:space="0" w:color="auto"/>
        <w:right w:val="none" w:sz="0" w:space="0" w:color="auto"/>
      </w:divBdr>
    </w:div>
    <w:div w:id="1925456667">
      <w:bodyDiv w:val="1"/>
      <w:marLeft w:val="0"/>
      <w:marRight w:val="0"/>
      <w:marTop w:val="0"/>
      <w:marBottom w:val="0"/>
      <w:divBdr>
        <w:top w:val="none" w:sz="0" w:space="0" w:color="auto"/>
        <w:left w:val="none" w:sz="0" w:space="0" w:color="auto"/>
        <w:bottom w:val="none" w:sz="0" w:space="0" w:color="auto"/>
        <w:right w:val="none" w:sz="0" w:space="0" w:color="auto"/>
      </w:divBdr>
    </w:div>
    <w:div w:id="1925608169">
      <w:bodyDiv w:val="1"/>
      <w:marLeft w:val="0"/>
      <w:marRight w:val="0"/>
      <w:marTop w:val="0"/>
      <w:marBottom w:val="0"/>
      <w:divBdr>
        <w:top w:val="none" w:sz="0" w:space="0" w:color="auto"/>
        <w:left w:val="none" w:sz="0" w:space="0" w:color="auto"/>
        <w:bottom w:val="none" w:sz="0" w:space="0" w:color="auto"/>
        <w:right w:val="none" w:sz="0" w:space="0" w:color="auto"/>
      </w:divBdr>
      <w:divsChild>
        <w:div w:id="564536105">
          <w:marLeft w:val="0"/>
          <w:marRight w:val="0"/>
          <w:marTop w:val="0"/>
          <w:marBottom w:val="0"/>
          <w:divBdr>
            <w:top w:val="none" w:sz="0" w:space="0" w:color="auto"/>
            <w:left w:val="none" w:sz="0" w:space="0" w:color="auto"/>
            <w:bottom w:val="none" w:sz="0" w:space="0" w:color="auto"/>
            <w:right w:val="none" w:sz="0" w:space="0" w:color="auto"/>
          </w:divBdr>
          <w:divsChild>
            <w:div w:id="2122261604">
              <w:marLeft w:val="0"/>
              <w:marRight w:val="0"/>
              <w:marTop w:val="0"/>
              <w:marBottom w:val="0"/>
              <w:divBdr>
                <w:top w:val="none" w:sz="0" w:space="0" w:color="auto"/>
                <w:left w:val="none" w:sz="0" w:space="0" w:color="auto"/>
                <w:bottom w:val="none" w:sz="0" w:space="0" w:color="auto"/>
                <w:right w:val="none" w:sz="0" w:space="0" w:color="auto"/>
              </w:divBdr>
              <w:divsChild>
                <w:div w:id="1058674599">
                  <w:marLeft w:val="0"/>
                  <w:marRight w:val="0"/>
                  <w:marTop w:val="0"/>
                  <w:marBottom w:val="0"/>
                  <w:divBdr>
                    <w:top w:val="none" w:sz="0" w:space="0" w:color="auto"/>
                    <w:left w:val="none" w:sz="0" w:space="0" w:color="auto"/>
                    <w:bottom w:val="none" w:sz="0" w:space="0" w:color="auto"/>
                    <w:right w:val="none" w:sz="0" w:space="0" w:color="auto"/>
                  </w:divBdr>
                  <w:divsChild>
                    <w:div w:id="951588600">
                      <w:marLeft w:val="0"/>
                      <w:marRight w:val="0"/>
                      <w:marTop w:val="0"/>
                      <w:marBottom w:val="0"/>
                      <w:divBdr>
                        <w:top w:val="none" w:sz="0" w:space="0" w:color="auto"/>
                        <w:left w:val="none" w:sz="0" w:space="0" w:color="auto"/>
                        <w:bottom w:val="none" w:sz="0" w:space="0" w:color="auto"/>
                        <w:right w:val="none" w:sz="0" w:space="0" w:color="auto"/>
                      </w:divBdr>
                      <w:divsChild>
                        <w:div w:id="32704374">
                          <w:marLeft w:val="0"/>
                          <w:marRight w:val="0"/>
                          <w:marTop w:val="0"/>
                          <w:marBottom w:val="0"/>
                          <w:divBdr>
                            <w:top w:val="none" w:sz="0" w:space="0" w:color="auto"/>
                            <w:left w:val="none" w:sz="0" w:space="0" w:color="auto"/>
                            <w:bottom w:val="none" w:sz="0" w:space="0" w:color="auto"/>
                            <w:right w:val="none" w:sz="0" w:space="0" w:color="auto"/>
                          </w:divBdr>
                          <w:divsChild>
                            <w:div w:id="2144233129">
                              <w:marLeft w:val="0"/>
                              <w:marRight w:val="0"/>
                              <w:marTop w:val="0"/>
                              <w:marBottom w:val="0"/>
                              <w:divBdr>
                                <w:top w:val="none" w:sz="0" w:space="0" w:color="auto"/>
                                <w:left w:val="none" w:sz="0" w:space="0" w:color="auto"/>
                                <w:bottom w:val="none" w:sz="0" w:space="0" w:color="auto"/>
                                <w:right w:val="none" w:sz="0" w:space="0" w:color="auto"/>
                              </w:divBdr>
                              <w:divsChild>
                                <w:div w:id="231430914">
                                  <w:marLeft w:val="0"/>
                                  <w:marRight w:val="0"/>
                                  <w:marTop w:val="0"/>
                                  <w:marBottom w:val="0"/>
                                  <w:divBdr>
                                    <w:top w:val="none" w:sz="0" w:space="0" w:color="auto"/>
                                    <w:left w:val="none" w:sz="0" w:space="0" w:color="auto"/>
                                    <w:bottom w:val="none" w:sz="0" w:space="0" w:color="auto"/>
                                    <w:right w:val="none" w:sz="0" w:space="0" w:color="auto"/>
                                  </w:divBdr>
                                  <w:divsChild>
                                    <w:div w:id="944966217">
                                      <w:marLeft w:val="0"/>
                                      <w:marRight w:val="0"/>
                                      <w:marTop w:val="0"/>
                                      <w:marBottom w:val="0"/>
                                      <w:divBdr>
                                        <w:top w:val="none" w:sz="0" w:space="0" w:color="auto"/>
                                        <w:left w:val="none" w:sz="0" w:space="0" w:color="auto"/>
                                        <w:bottom w:val="none" w:sz="0" w:space="0" w:color="auto"/>
                                        <w:right w:val="none" w:sz="0" w:space="0" w:color="auto"/>
                                      </w:divBdr>
                                      <w:divsChild>
                                        <w:div w:id="553004764">
                                          <w:marLeft w:val="0"/>
                                          <w:marRight w:val="0"/>
                                          <w:marTop w:val="0"/>
                                          <w:marBottom w:val="0"/>
                                          <w:divBdr>
                                            <w:top w:val="none" w:sz="0" w:space="0" w:color="auto"/>
                                            <w:left w:val="none" w:sz="0" w:space="0" w:color="auto"/>
                                            <w:bottom w:val="none" w:sz="0" w:space="0" w:color="auto"/>
                                            <w:right w:val="none" w:sz="0" w:space="0" w:color="auto"/>
                                          </w:divBdr>
                                          <w:divsChild>
                                            <w:div w:id="385302363">
                                              <w:marLeft w:val="0"/>
                                              <w:marRight w:val="0"/>
                                              <w:marTop w:val="0"/>
                                              <w:marBottom w:val="0"/>
                                              <w:divBdr>
                                                <w:top w:val="none" w:sz="0" w:space="0" w:color="auto"/>
                                                <w:left w:val="none" w:sz="0" w:space="0" w:color="auto"/>
                                                <w:bottom w:val="none" w:sz="0" w:space="0" w:color="auto"/>
                                                <w:right w:val="none" w:sz="0" w:space="0" w:color="auto"/>
                                              </w:divBdr>
                                              <w:divsChild>
                                                <w:div w:id="860632879">
                                                  <w:marLeft w:val="0"/>
                                                  <w:marRight w:val="0"/>
                                                  <w:marTop w:val="0"/>
                                                  <w:marBottom w:val="0"/>
                                                  <w:divBdr>
                                                    <w:top w:val="none" w:sz="0" w:space="0" w:color="auto"/>
                                                    <w:left w:val="none" w:sz="0" w:space="0" w:color="auto"/>
                                                    <w:bottom w:val="none" w:sz="0" w:space="0" w:color="auto"/>
                                                    <w:right w:val="none" w:sz="0" w:space="0" w:color="auto"/>
                                                  </w:divBdr>
                                                  <w:divsChild>
                                                    <w:div w:id="1131629248">
                                                      <w:marLeft w:val="0"/>
                                                      <w:marRight w:val="0"/>
                                                      <w:marTop w:val="0"/>
                                                      <w:marBottom w:val="0"/>
                                                      <w:divBdr>
                                                        <w:top w:val="none" w:sz="0" w:space="0" w:color="auto"/>
                                                        <w:left w:val="none" w:sz="0" w:space="0" w:color="auto"/>
                                                        <w:bottom w:val="none" w:sz="0" w:space="0" w:color="auto"/>
                                                        <w:right w:val="none" w:sz="0" w:space="0" w:color="auto"/>
                                                      </w:divBdr>
                                                      <w:divsChild>
                                                        <w:div w:id="1863352234">
                                                          <w:marLeft w:val="0"/>
                                                          <w:marRight w:val="0"/>
                                                          <w:marTop w:val="0"/>
                                                          <w:marBottom w:val="0"/>
                                                          <w:divBdr>
                                                            <w:top w:val="none" w:sz="0" w:space="0" w:color="auto"/>
                                                            <w:left w:val="none" w:sz="0" w:space="0" w:color="auto"/>
                                                            <w:bottom w:val="none" w:sz="0" w:space="0" w:color="auto"/>
                                                            <w:right w:val="none" w:sz="0" w:space="0" w:color="auto"/>
                                                          </w:divBdr>
                                                          <w:divsChild>
                                                            <w:div w:id="111440823">
                                                              <w:marLeft w:val="0"/>
                                                              <w:marRight w:val="0"/>
                                                              <w:marTop w:val="0"/>
                                                              <w:marBottom w:val="0"/>
                                                              <w:divBdr>
                                                                <w:top w:val="none" w:sz="0" w:space="0" w:color="auto"/>
                                                                <w:left w:val="none" w:sz="0" w:space="0" w:color="auto"/>
                                                                <w:bottom w:val="none" w:sz="0" w:space="0" w:color="auto"/>
                                                                <w:right w:val="none" w:sz="0" w:space="0" w:color="auto"/>
                                                              </w:divBdr>
                                                              <w:divsChild>
                                                                <w:div w:id="1886674507">
                                                                  <w:marLeft w:val="0"/>
                                                                  <w:marRight w:val="0"/>
                                                                  <w:marTop w:val="0"/>
                                                                  <w:marBottom w:val="0"/>
                                                                  <w:divBdr>
                                                                    <w:top w:val="none" w:sz="0" w:space="0" w:color="auto"/>
                                                                    <w:left w:val="none" w:sz="0" w:space="0" w:color="auto"/>
                                                                    <w:bottom w:val="none" w:sz="0" w:space="0" w:color="auto"/>
                                                                    <w:right w:val="none" w:sz="0" w:space="0" w:color="auto"/>
                                                                  </w:divBdr>
                                                                  <w:divsChild>
                                                                    <w:div w:id="1866092529">
                                                                      <w:marLeft w:val="0"/>
                                                                      <w:marRight w:val="0"/>
                                                                      <w:marTop w:val="0"/>
                                                                      <w:marBottom w:val="0"/>
                                                                      <w:divBdr>
                                                                        <w:top w:val="none" w:sz="0" w:space="0" w:color="auto"/>
                                                                        <w:left w:val="none" w:sz="0" w:space="0" w:color="auto"/>
                                                                        <w:bottom w:val="none" w:sz="0" w:space="0" w:color="auto"/>
                                                                        <w:right w:val="none" w:sz="0" w:space="0" w:color="auto"/>
                                                                      </w:divBdr>
                                                                      <w:divsChild>
                                                                        <w:div w:id="1440025603">
                                                                          <w:marLeft w:val="0"/>
                                                                          <w:marRight w:val="0"/>
                                                                          <w:marTop w:val="0"/>
                                                                          <w:marBottom w:val="0"/>
                                                                          <w:divBdr>
                                                                            <w:top w:val="none" w:sz="0" w:space="0" w:color="auto"/>
                                                                            <w:left w:val="none" w:sz="0" w:space="0" w:color="auto"/>
                                                                            <w:bottom w:val="none" w:sz="0" w:space="0" w:color="auto"/>
                                                                            <w:right w:val="none" w:sz="0" w:space="0" w:color="auto"/>
                                                                          </w:divBdr>
                                                                          <w:divsChild>
                                                                            <w:div w:id="1189291420">
                                                                              <w:marLeft w:val="0"/>
                                                                              <w:marRight w:val="0"/>
                                                                              <w:marTop w:val="0"/>
                                                                              <w:marBottom w:val="0"/>
                                                                              <w:divBdr>
                                                                                <w:top w:val="none" w:sz="0" w:space="0" w:color="auto"/>
                                                                                <w:left w:val="none" w:sz="0" w:space="0" w:color="auto"/>
                                                                                <w:bottom w:val="none" w:sz="0" w:space="0" w:color="auto"/>
                                                                                <w:right w:val="none" w:sz="0" w:space="0" w:color="auto"/>
                                                                              </w:divBdr>
                                                                              <w:divsChild>
                                                                                <w:div w:id="1566800486">
                                                                                  <w:marLeft w:val="0"/>
                                                                                  <w:marRight w:val="0"/>
                                                                                  <w:marTop w:val="0"/>
                                                                                  <w:marBottom w:val="0"/>
                                                                                  <w:divBdr>
                                                                                    <w:top w:val="none" w:sz="0" w:space="0" w:color="auto"/>
                                                                                    <w:left w:val="none" w:sz="0" w:space="0" w:color="auto"/>
                                                                                    <w:bottom w:val="none" w:sz="0" w:space="0" w:color="auto"/>
                                                                                    <w:right w:val="none" w:sz="0" w:space="0" w:color="auto"/>
                                                                                  </w:divBdr>
                                                                                  <w:divsChild>
                                                                                    <w:div w:id="1163207388">
                                                                                      <w:marLeft w:val="0"/>
                                                                                      <w:marRight w:val="0"/>
                                                                                      <w:marTop w:val="0"/>
                                                                                      <w:marBottom w:val="0"/>
                                                                                      <w:divBdr>
                                                                                        <w:top w:val="none" w:sz="0" w:space="0" w:color="auto"/>
                                                                                        <w:left w:val="none" w:sz="0" w:space="0" w:color="auto"/>
                                                                                        <w:bottom w:val="none" w:sz="0" w:space="0" w:color="auto"/>
                                                                                        <w:right w:val="none" w:sz="0" w:space="0" w:color="auto"/>
                                                                                      </w:divBdr>
                                                                                      <w:divsChild>
                                                                                        <w:div w:id="1816872289">
                                                                                          <w:marLeft w:val="0"/>
                                                                                          <w:marRight w:val="0"/>
                                                                                          <w:marTop w:val="0"/>
                                                                                          <w:marBottom w:val="0"/>
                                                                                          <w:divBdr>
                                                                                            <w:top w:val="none" w:sz="0" w:space="0" w:color="auto"/>
                                                                                            <w:left w:val="none" w:sz="0" w:space="0" w:color="auto"/>
                                                                                            <w:bottom w:val="none" w:sz="0" w:space="0" w:color="auto"/>
                                                                                            <w:right w:val="none" w:sz="0" w:space="0" w:color="auto"/>
                                                                                          </w:divBdr>
                                                                                          <w:divsChild>
                                                                                            <w:div w:id="191769175">
                                                                                              <w:marLeft w:val="0"/>
                                                                                              <w:marRight w:val="120"/>
                                                                                              <w:marTop w:val="0"/>
                                                                                              <w:marBottom w:val="150"/>
                                                                                              <w:divBdr>
                                                                                                <w:top w:val="single" w:sz="2" w:space="0" w:color="EFEFEF"/>
                                                                                                <w:left w:val="single" w:sz="6" w:space="0" w:color="EFEFEF"/>
                                                                                                <w:bottom w:val="single" w:sz="6" w:space="0" w:color="E2E2E2"/>
                                                                                                <w:right w:val="single" w:sz="6" w:space="0" w:color="EFEFEF"/>
                                                                                              </w:divBdr>
                                                                                              <w:divsChild>
                                                                                                <w:div w:id="607659094">
                                                                                                  <w:marLeft w:val="0"/>
                                                                                                  <w:marRight w:val="0"/>
                                                                                                  <w:marTop w:val="0"/>
                                                                                                  <w:marBottom w:val="0"/>
                                                                                                  <w:divBdr>
                                                                                                    <w:top w:val="none" w:sz="0" w:space="0" w:color="auto"/>
                                                                                                    <w:left w:val="none" w:sz="0" w:space="0" w:color="auto"/>
                                                                                                    <w:bottom w:val="none" w:sz="0" w:space="0" w:color="auto"/>
                                                                                                    <w:right w:val="none" w:sz="0" w:space="0" w:color="auto"/>
                                                                                                  </w:divBdr>
                                                                                                  <w:divsChild>
                                                                                                    <w:div w:id="961303429">
                                                                                                      <w:marLeft w:val="0"/>
                                                                                                      <w:marRight w:val="0"/>
                                                                                                      <w:marTop w:val="0"/>
                                                                                                      <w:marBottom w:val="0"/>
                                                                                                      <w:divBdr>
                                                                                                        <w:top w:val="none" w:sz="0" w:space="0" w:color="auto"/>
                                                                                                        <w:left w:val="none" w:sz="0" w:space="0" w:color="auto"/>
                                                                                                        <w:bottom w:val="none" w:sz="0" w:space="0" w:color="auto"/>
                                                                                                        <w:right w:val="none" w:sz="0" w:space="0" w:color="auto"/>
                                                                                                      </w:divBdr>
                                                                                                      <w:divsChild>
                                                                                                        <w:div w:id="239288272">
                                                                                                          <w:marLeft w:val="0"/>
                                                                                                          <w:marRight w:val="0"/>
                                                                                                          <w:marTop w:val="0"/>
                                                                                                          <w:marBottom w:val="0"/>
                                                                                                          <w:divBdr>
                                                                                                            <w:top w:val="none" w:sz="0" w:space="0" w:color="auto"/>
                                                                                                            <w:left w:val="none" w:sz="0" w:space="0" w:color="auto"/>
                                                                                                            <w:bottom w:val="none" w:sz="0" w:space="0" w:color="auto"/>
                                                                                                            <w:right w:val="none" w:sz="0" w:space="0" w:color="auto"/>
                                                                                                          </w:divBdr>
                                                                                                          <w:divsChild>
                                                                                                            <w:div w:id="1002314647">
                                                                                                              <w:marLeft w:val="0"/>
                                                                                                              <w:marRight w:val="0"/>
                                                                                                              <w:marTop w:val="0"/>
                                                                                                              <w:marBottom w:val="0"/>
                                                                                                              <w:divBdr>
                                                                                                                <w:top w:val="none" w:sz="0" w:space="0" w:color="auto"/>
                                                                                                                <w:left w:val="none" w:sz="0" w:space="0" w:color="auto"/>
                                                                                                                <w:bottom w:val="none" w:sz="0" w:space="0" w:color="auto"/>
                                                                                                                <w:right w:val="none" w:sz="0" w:space="0" w:color="auto"/>
                                                                                                              </w:divBdr>
                                                                                                              <w:divsChild>
                                                                                                                <w:div w:id="1461218333">
                                                                                                                  <w:marLeft w:val="-570"/>
                                                                                                                  <w:marRight w:val="0"/>
                                                                                                                  <w:marTop w:val="150"/>
                                                                                                                  <w:marBottom w:val="225"/>
                                                                                                                  <w:divBdr>
                                                                                                                    <w:top w:val="single" w:sz="6" w:space="2" w:color="AAAAAA"/>
                                                                                                                    <w:left w:val="single" w:sz="6" w:space="2" w:color="AAAAAA"/>
                                                                                                                    <w:bottom w:val="single" w:sz="6" w:space="2" w:color="AAAAAA"/>
                                                                                                                    <w:right w:val="single" w:sz="6" w:space="2" w:color="AAAAAA"/>
                                                                                                                  </w:divBdr>
                                                                                                                  <w:divsChild>
                                                                                                                    <w:div w:id="1382553944">
                                                                                                                      <w:marLeft w:val="225"/>
                                                                                                                      <w:marRight w:val="225"/>
                                                                                                                      <w:marTop w:val="75"/>
                                                                                                                      <w:marBottom w:val="75"/>
                                                                                                                      <w:divBdr>
                                                                                                                        <w:top w:val="none" w:sz="0" w:space="0" w:color="auto"/>
                                                                                                                        <w:left w:val="none" w:sz="0" w:space="0" w:color="auto"/>
                                                                                                                        <w:bottom w:val="none" w:sz="0" w:space="0" w:color="auto"/>
                                                                                                                        <w:right w:val="none" w:sz="0" w:space="0" w:color="auto"/>
                                                                                                                      </w:divBdr>
                                                                                                                      <w:divsChild>
                                                                                                                        <w:div w:id="1609658551">
                                                                                                                          <w:marLeft w:val="0"/>
                                                                                                                          <w:marRight w:val="0"/>
                                                                                                                          <w:marTop w:val="0"/>
                                                                                                                          <w:marBottom w:val="0"/>
                                                                                                                          <w:divBdr>
                                                                                                                            <w:top w:val="single" w:sz="6" w:space="0" w:color="auto"/>
                                                                                                                            <w:left w:val="single" w:sz="6" w:space="0" w:color="auto"/>
                                                                                                                            <w:bottom w:val="single" w:sz="6" w:space="0" w:color="auto"/>
                                                                                                                            <w:right w:val="single" w:sz="6" w:space="0" w:color="auto"/>
                                                                                                                          </w:divBdr>
                                                                                                                          <w:divsChild>
                                                                                                                            <w:div w:id="1185092291">
                                                                                                                              <w:marLeft w:val="0"/>
                                                                                                                              <w:marRight w:val="0"/>
                                                                                                                              <w:marTop w:val="0"/>
                                                                                                                              <w:marBottom w:val="0"/>
                                                                                                                              <w:divBdr>
                                                                                                                                <w:top w:val="none" w:sz="0" w:space="0" w:color="auto"/>
                                                                                                                                <w:left w:val="none" w:sz="0" w:space="0" w:color="auto"/>
                                                                                                                                <w:bottom w:val="none" w:sz="0" w:space="0" w:color="auto"/>
                                                                                                                                <w:right w:val="none" w:sz="0" w:space="0" w:color="auto"/>
                                                                                                                              </w:divBdr>
                                                                                                                              <w:divsChild>
                                                                                                                                <w:div w:id="156190246">
                                                                                                                                  <w:marLeft w:val="0"/>
                                                                                                                                  <w:marRight w:val="0"/>
                                                                                                                                  <w:marTop w:val="0"/>
                                                                                                                                  <w:marBottom w:val="0"/>
                                                                                                                                  <w:divBdr>
                                                                                                                                    <w:top w:val="none" w:sz="0" w:space="0" w:color="auto"/>
                                                                                                                                    <w:left w:val="none" w:sz="0" w:space="0" w:color="auto"/>
                                                                                                                                    <w:bottom w:val="none" w:sz="0" w:space="0" w:color="auto"/>
                                                                                                                                    <w:right w:val="none" w:sz="0" w:space="0" w:color="auto"/>
                                                                                                                                  </w:divBdr>
                                                                                                                                </w:div>
                                                                                                                                <w:div w:id="306668659">
                                                                                                                                  <w:marLeft w:val="0"/>
                                                                                                                                  <w:marRight w:val="0"/>
                                                                                                                                  <w:marTop w:val="0"/>
                                                                                                                                  <w:marBottom w:val="0"/>
                                                                                                                                  <w:divBdr>
                                                                                                                                    <w:top w:val="none" w:sz="0" w:space="0" w:color="auto"/>
                                                                                                                                    <w:left w:val="none" w:sz="0" w:space="0" w:color="auto"/>
                                                                                                                                    <w:bottom w:val="none" w:sz="0" w:space="0" w:color="auto"/>
                                                                                                                                    <w:right w:val="none" w:sz="0" w:space="0" w:color="auto"/>
                                                                                                                                  </w:divBdr>
                                                                                                                                </w:div>
                                                                                                                                <w:div w:id="670260174">
                                                                                                                                  <w:marLeft w:val="0"/>
                                                                                                                                  <w:marRight w:val="0"/>
                                                                                                                                  <w:marTop w:val="0"/>
                                                                                                                                  <w:marBottom w:val="0"/>
                                                                                                                                  <w:divBdr>
                                                                                                                                    <w:top w:val="none" w:sz="0" w:space="0" w:color="auto"/>
                                                                                                                                    <w:left w:val="none" w:sz="0" w:space="0" w:color="auto"/>
                                                                                                                                    <w:bottom w:val="none" w:sz="0" w:space="0" w:color="auto"/>
                                                                                                                                    <w:right w:val="none" w:sz="0" w:space="0" w:color="auto"/>
                                                                                                                                  </w:divBdr>
                                                                                                                                </w:div>
                                                                                                                                <w:div w:id="98890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9731644">
      <w:bodyDiv w:val="1"/>
      <w:marLeft w:val="0"/>
      <w:marRight w:val="0"/>
      <w:marTop w:val="0"/>
      <w:marBottom w:val="0"/>
      <w:divBdr>
        <w:top w:val="none" w:sz="0" w:space="0" w:color="auto"/>
        <w:left w:val="none" w:sz="0" w:space="0" w:color="auto"/>
        <w:bottom w:val="none" w:sz="0" w:space="0" w:color="auto"/>
        <w:right w:val="none" w:sz="0" w:space="0" w:color="auto"/>
      </w:divBdr>
    </w:div>
    <w:div w:id="1930389147">
      <w:bodyDiv w:val="1"/>
      <w:marLeft w:val="0"/>
      <w:marRight w:val="0"/>
      <w:marTop w:val="0"/>
      <w:marBottom w:val="0"/>
      <w:divBdr>
        <w:top w:val="none" w:sz="0" w:space="0" w:color="auto"/>
        <w:left w:val="none" w:sz="0" w:space="0" w:color="auto"/>
        <w:bottom w:val="none" w:sz="0" w:space="0" w:color="auto"/>
        <w:right w:val="none" w:sz="0" w:space="0" w:color="auto"/>
      </w:divBdr>
    </w:div>
    <w:div w:id="1939630191">
      <w:bodyDiv w:val="1"/>
      <w:marLeft w:val="0"/>
      <w:marRight w:val="0"/>
      <w:marTop w:val="0"/>
      <w:marBottom w:val="0"/>
      <w:divBdr>
        <w:top w:val="none" w:sz="0" w:space="0" w:color="auto"/>
        <w:left w:val="none" w:sz="0" w:space="0" w:color="auto"/>
        <w:bottom w:val="none" w:sz="0" w:space="0" w:color="auto"/>
        <w:right w:val="none" w:sz="0" w:space="0" w:color="auto"/>
      </w:divBdr>
    </w:div>
    <w:div w:id="1944146395">
      <w:bodyDiv w:val="1"/>
      <w:marLeft w:val="0"/>
      <w:marRight w:val="0"/>
      <w:marTop w:val="0"/>
      <w:marBottom w:val="0"/>
      <w:divBdr>
        <w:top w:val="none" w:sz="0" w:space="0" w:color="auto"/>
        <w:left w:val="none" w:sz="0" w:space="0" w:color="auto"/>
        <w:bottom w:val="none" w:sz="0" w:space="0" w:color="auto"/>
        <w:right w:val="none" w:sz="0" w:space="0" w:color="auto"/>
      </w:divBdr>
    </w:div>
    <w:div w:id="1956400250">
      <w:bodyDiv w:val="1"/>
      <w:marLeft w:val="0"/>
      <w:marRight w:val="0"/>
      <w:marTop w:val="0"/>
      <w:marBottom w:val="0"/>
      <w:divBdr>
        <w:top w:val="none" w:sz="0" w:space="0" w:color="auto"/>
        <w:left w:val="none" w:sz="0" w:space="0" w:color="auto"/>
        <w:bottom w:val="none" w:sz="0" w:space="0" w:color="auto"/>
        <w:right w:val="none" w:sz="0" w:space="0" w:color="auto"/>
      </w:divBdr>
    </w:div>
    <w:div w:id="1958679308">
      <w:bodyDiv w:val="1"/>
      <w:marLeft w:val="0"/>
      <w:marRight w:val="0"/>
      <w:marTop w:val="0"/>
      <w:marBottom w:val="0"/>
      <w:divBdr>
        <w:top w:val="none" w:sz="0" w:space="0" w:color="auto"/>
        <w:left w:val="none" w:sz="0" w:space="0" w:color="auto"/>
        <w:bottom w:val="none" w:sz="0" w:space="0" w:color="auto"/>
        <w:right w:val="none" w:sz="0" w:space="0" w:color="auto"/>
      </w:divBdr>
    </w:div>
    <w:div w:id="1960187760">
      <w:bodyDiv w:val="1"/>
      <w:marLeft w:val="0"/>
      <w:marRight w:val="0"/>
      <w:marTop w:val="0"/>
      <w:marBottom w:val="0"/>
      <w:divBdr>
        <w:top w:val="none" w:sz="0" w:space="0" w:color="auto"/>
        <w:left w:val="none" w:sz="0" w:space="0" w:color="auto"/>
        <w:bottom w:val="none" w:sz="0" w:space="0" w:color="auto"/>
        <w:right w:val="none" w:sz="0" w:space="0" w:color="auto"/>
      </w:divBdr>
    </w:div>
    <w:div w:id="1965184983">
      <w:bodyDiv w:val="1"/>
      <w:marLeft w:val="0"/>
      <w:marRight w:val="0"/>
      <w:marTop w:val="0"/>
      <w:marBottom w:val="0"/>
      <w:divBdr>
        <w:top w:val="none" w:sz="0" w:space="0" w:color="auto"/>
        <w:left w:val="none" w:sz="0" w:space="0" w:color="auto"/>
        <w:bottom w:val="none" w:sz="0" w:space="0" w:color="auto"/>
        <w:right w:val="none" w:sz="0" w:space="0" w:color="auto"/>
      </w:divBdr>
    </w:div>
    <w:div w:id="1970821484">
      <w:bodyDiv w:val="1"/>
      <w:marLeft w:val="0"/>
      <w:marRight w:val="0"/>
      <w:marTop w:val="0"/>
      <w:marBottom w:val="0"/>
      <w:divBdr>
        <w:top w:val="none" w:sz="0" w:space="0" w:color="auto"/>
        <w:left w:val="none" w:sz="0" w:space="0" w:color="auto"/>
        <w:bottom w:val="none" w:sz="0" w:space="0" w:color="auto"/>
        <w:right w:val="none" w:sz="0" w:space="0" w:color="auto"/>
      </w:divBdr>
    </w:div>
    <w:div w:id="1971203001">
      <w:bodyDiv w:val="1"/>
      <w:marLeft w:val="0"/>
      <w:marRight w:val="0"/>
      <w:marTop w:val="0"/>
      <w:marBottom w:val="0"/>
      <w:divBdr>
        <w:top w:val="none" w:sz="0" w:space="0" w:color="auto"/>
        <w:left w:val="none" w:sz="0" w:space="0" w:color="auto"/>
        <w:bottom w:val="none" w:sz="0" w:space="0" w:color="auto"/>
        <w:right w:val="none" w:sz="0" w:space="0" w:color="auto"/>
      </w:divBdr>
    </w:div>
    <w:div w:id="1974745851">
      <w:bodyDiv w:val="1"/>
      <w:marLeft w:val="0"/>
      <w:marRight w:val="0"/>
      <w:marTop w:val="0"/>
      <w:marBottom w:val="0"/>
      <w:divBdr>
        <w:top w:val="none" w:sz="0" w:space="0" w:color="auto"/>
        <w:left w:val="none" w:sz="0" w:space="0" w:color="auto"/>
        <w:bottom w:val="none" w:sz="0" w:space="0" w:color="auto"/>
        <w:right w:val="none" w:sz="0" w:space="0" w:color="auto"/>
      </w:divBdr>
    </w:div>
    <w:div w:id="1977954152">
      <w:bodyDiv w:val="1"/>
      <w:marLeft w:val="0"/>
      <w:marRight w:val="0"/>
      <w:marTop w:val="0"/>
      <w:marBottom w:val="0"/>
      <w:divBdr>
        <w:top w:val="none" w:sz="0" w:space="0" w:color="auto"/>
        <w:left w:val="none" w:sz="0" w:space="0" w:color="auto"/>
        <w:bottom w:val="none" w:sz="0" w:space="0" w:color="auto"/>
        <w:right w:val="none" w:sz="0" w:space="0" w:color="auto"/>
      </w:divBdr>
    </w:div>
    <w:div w:id="1978291210">
      <w:bodyDiv w:val="1"/>
      <w:marLeft w:val="0"/>
      <w:marRight w:val="0"/>
      <w:marTop w:val="0"/>
      <w:marBottom w:val="0"/>
      <w:divBdr>
        <w:top w:val="none" w:sz="0" w:space="0" w:color="auto"/>
        <w:left w:val="none" w:sz="0" w:space="0" w:color="auto"/>
        <w:bottom w:val="none" w:sz="0" w:space="0" w:color="auto"/>
        <w:right w:val="none" w:sz="0" w:space="0" w:color="auto"/>
      </w:divBdr>
    </w:div>
    <w:div w:id="1978294171">
      <w:bodyDiv w:val="1"/>
      <w:marLeft w:val="0"/>
      <w:marRight w:val="0"/>
      <w:marTop w:val="0"/>
      <w:marBottom w:val="0"/>
      <w:divBdr>
        <w:top w:val="none" w:sz="0" w:space="0" w:color="auto"/>
        <w:left w:val="none" w:sz="0" w:space="0" w:color="auto"/>
        <w:bottom w:val="none" w:sz="0" w:space="0" w:color="auto"/>
        <w:right w:val="none" w:sz="0" w:space="0" w:color="auto"/>
      </w:divBdr>
    </w:div>
    <w:div w:id="1980576890">
      <w:bodyDiv w:val="1"/>
      <w:marLeft w:val="0"/>
      <w:marRight w:val="0"/>
      <w:marTop w:val="0"/>
      <w:marBottom w:val="0"/>
      <w:divBdr>
        <w:top w:val="none" w:sz="0" w:space="0" w:color="auto"/>
        <w:left w:val="none" w:sz="0" w:space="0" w:color="auto"/>
        <w:bottom w:val="none" w:sz="0" w:space="0" w:color="auto"/>
        <w:right w:val="none" w:sz="0" w:space="0" w:color="auto"/>
      </w:divBdr>
    </w:div>
    <w:div w:id="1986422474">
      <w:bodyDiv w:val="1"/>
      <w:marLeft w:val="0"/>
      <w:marRight w:val="0"/>
      <w:marTop w:val="0"/>
      <w:marBottom w:val="0"/>
      <w:divBdr>
        <w:top w:val="none" w:sz="0" w:space="0" w:color="auto"/>
        <w:left w:val="none" w:sz="0" w:space="0" w:color="auto"/>
        <w:bottom w:val="none" w:sz="0" w:space="0" w:color="auto"/>
        <w:right w:val="none" w:sz="0" w:space="0" w:color="auto"/>
      </w:divBdr>
    </w:div>
    <w:div w:id="1992588649">
      <w:bodyDiv w:val="1"/>
      <w:marLeft w:val="0"/>
      <w:marRight w:val="0"/>
      <w:marTop w:val="0"/>
      <w:marBottom w:val="0"/>
      <w:divBdr>
        <w:top w:val="none" w:sz="0" w:space="0" w:color="auto"/>
        <w:left w:val="none" w:sz="0" w:space="0" w:color="auto"/>
        <w:bottom w:val="none" w:sz="0" w:space="0" w:color="auto"/>
        <w:right w:val="none" w:sz="0" w:space="0" w:color="auto"/>
      </w:divBdr>
    </w:div>
    <w:div w:id="1996182705">
      <w:bodyDiv w:val="1"/>
      <w:marLeft w:val="0"/>
      <w:marRight w:val="0"/>
      <w:marTop w:val="0"/>
      <w:marBottom w:val="0"/>
      <w:divBdr>
        <w:top w:val="none" w:sz="0" w:space="0" w:color="auto"/>
        <w:left w:val="none" w:sz="0" w:space="0" w:color="auto"/>
        <w:bottom w:val="none" w:sz="0" w:space="0" w:color="auto"/>
        <w:right w:val="none" w:sz="0" w:space="0" w:color="auto"/>
      </w:divBdr>
    </w:div>
    <w:div w:id="2002389440">
      <w:bodyDiv w:val="1"/>
      <w:marLeft w:val="0"/>
      <w:marRight w:val="0"/>
      <w:marTop w:val="0"/>
      <w:marBottom w:val="0"/>
      <w:divBdr>
        <w:top w:val="none" w:sz="0" w:space="0" w:color="auto"/>
        <w:left w:val="none" w:sz="0" w:space="0" w:color="auto"/>
        <w:bottom w:val="none" w:sz="0" w:space="0" w:color="auto"/>
        <w:right w:val="none" w:sz="0" w:space="0" w:color="auto"/>
      </w:divBdr>
    </w:div>
    <w:div w:id="2016229153">
      <w:bodyDiv w:val="1"/>
      <w:marLeft w:val="0"/>
      <w:marRight w:val="0"/>
      <w:marTop w:val="0"/>
      <w:marBottom w:val="0"/>
      <w:divBdr>
        <w:top w:val="none" w:sz="0" w:space="0" w:color="auto"/>
        <w:left w:val="none" w:sz="0" w:space="0" w:color="auto"/>
        <w:bottom w:val="none" w:sz="0" w:space="0" w:color="auto"/>
        <w:right w:val="none" w:sz="0" w:space="0" w:color="auto"/>
      </w:divBdr>
    </w:div>
    <w:div w:id="2017724663">
      <w:bodyDiv w:val="1"/>
      <w:marLeft w:val="0"/>
      <w:marRight w:val="0"/>
      <w:marTop w:val="0"/>
      <w:marBottom w:val="0"/>
      <w:divBdr>
        <w:top w:val="none" w:sz="0" w:space="0" w:color="auto"/>
        <w:left w:val="none" w:sz="0" w:space="0" w:color="auto"/>
        <w:bottom w:val="none" w:sz="0" w:space="0" w:color="auto"/>
        <w:right w:val="none" w:sz="0" w:space="0" w:color="auto"/>
      </w:divBdr>
    </w:div>
    <w:div w:id="2025210742">
      <w:bodyDiv w:val="1"/>
      <w:marLeft w:val="0"/>
      <w:marRight w:val="0"/>
      <w:marTop w:val="0"/>
      <w:marBottom w:val="0"/>
      <w:divBdr>
        <w:top w:val="none" w:sz="0" w:space="0" w:color="auto"/>
        <w:left w:val="none" w:sz="0" w:space="0" w:color="auto"/>
        <w:bottom w:val="none" w:sz="0" w:space="0" w:color="auto"/>
        <w:right w:val="none" w:sz="0" w:space="0" w:color="auto"/>
      </w:divBdr>
    </w:div>
    <w:div w:id="2029520828">
      <w:bodyDiv w:val="1"/>
      <w:marLeft w:val="0"/>
      <w:marRight w:val="0"/>
      <w:marTop w:val="0"/>
      <w:marBottom w:val="0"/>
      <w:divBdr>
        <w:top w:val="none" w:sz="0" w:space="0" w:color="auto"/>
        <w:left w:val="none" w:sz="0" w:space="0" w:color="auto"/>
        <w:bottom w:val="none" w:sz="0" w:space="0" w:color="auto"/>
        <w:right w:val="none" w:sz="0" w:space="0" w:color="auto"/>
      </w:divBdr>
    </w:div>
    <w:div w:id="2036230340">
      <w:bodyDiv w:val="1"/>
      <w:marLeft w:val="0"/>
      <w:marRight w:val="0"/>
      <w:marTop w:val="0"/>
      <w:marBottom w:val="0"/>
      <w:divBdr>
        <w:top w:val="none" w:sz="0" w:space="0" w:color="auto"/>
        <w:left w:val="none" w:sz="0" w:space="0" w:color="auto"/>
        <w:bottom w:val="none" w:sz="0" w:space="0" w:color="auto"/>
        <w:right w:val="none" w:sz="0" w:space="0" w:color="auto"/>
      </w:divBdr>
    </w:div>
    <w:div w:id="2040934560">
      <w:bodyDiv w:val="1"/>
      <w:marLeft w:val="0"/>
      <w:marRight w:val="0"/>
      <w:marTop w:val="0"/>
      <w:marBottom w:val="0"/>
      <w:divBdr>
        <w:top w:val="none" w:sz="0" w:space="0" w:color="auto"/>
        <w:left w:val="none" w:sz="0" w:space="0" w:color="auto"/>
        <w:bottom w:val="none" w:sz="0" w:space="0" w:color="auto"/>
        <w:right w:val="none" w:sz="0" w:space="0" w:color="auto"/>
      </w:divBdr>
    </w:div>
    <w:div w:id="2043360320">
      <w:bodyDiv w:val="1"/>
      <w:marLeft w:val="0"/>
      <w:marRight w:val="0"/>
      <w:marTop w:val="0"/>
      <w:marBottom w:val="0"/>
      <w:divBdr>
        <w:top w:val="none" w:sz="0" w:space="0" w:color="auto"/>
        <w:left w:val="none" w:sz="0" w:space="0" w:color="auto"/>
        <w:bottom w:val="none" w:sz="0" w:space="0" w:color="auto"/>
        <w:right w:val="none" w:sz="0" w:space="0" w:color="auto"/>
      </w:divBdr>
    </w:div>
    <w:div w:id="2043629080">
      <w:bodyDiv w:val="1"/>
      <w:marLeft w:val="0"/>
      <w:marRight w:val="0"/>
      <w:marTop w:val="0"/>
      <w:marBottom w:val="0"/>
      <w:divBdr>
        <w:top w:val="none" w:sz="0" w:space="0" w:color="auto"/>
        <w:left w:val="none" w:sz="0" w:space="0" w:color="auto"/>
        <w:bottom w:val="none" w:sz="0" w:space="0" w:color="auto"/>
        <w:right w:val="none" w:sz="0" w:space="0" w:color="auto"/>
      </w:divBdr>
      <w:divsChild>
        <w:div w:id="306781699">
          <w:marLeft w:val="0"/>
          <w:marRight w:val="0"/>
          <w:marTop w:val="0"/>
          <w:marBottom w:val="0"/>
          <w:divBdr>
            <w:top w:val="none" w:sz="0" w:space="0" w:color="auto"/>
            <w:left w:val="none" w:sz="0" w:space="0" w:color="auto"/>
            <w:bottom w:val="none" w:sz="0" w:space="0" w:color="auto"/>
            <w:right w:val="none" w:sz="0" w:space="0" w:color="auto"/>
          </w:divBdr>
          <w:divsChild>
            <w:div w:id="801926195">
              <w:marLeft w:val="0"/>
              <w:marRight w:val="0"/>
              <w:marTop w:val="0"/>
              <w:marBottom w:val="0"/>
              <w:divBdr>
                <w:top w:val="none" w:sz="0" w:space="0" w:color="auto"/>
                <w:left w:val="none" w:sz="0" w:space="0" w:color="auto"/>
                <w:bottom w:val="none" w:sz="0" w:space="0" w:color="auto"/>
                <w:right w:val="none" w:sz="0" w:space="0" w:color="auto"/>
              </w:divBdr>
              <w:divsChild>
                <w:div w:id="772045574">
                  <w:marLeft w:val="0"/>
                  <w:marRight w:val="0"/>
                  <w:marTop w:val="0"/>
                  <w:marBottom w:val="150"/>
                  <w:divBdr>
                    <w:top w:val="none" w:sz="0" w:space="0" w:color="auto"/>
                    <w:left w:val="none" w:sz="0" w:space="0" w:color="auto"/>
                    <w:bottom w:val="none" w:sz="0" w:space="0" w:color="auto"/>
                    <w:right w:val="none" w:sz="0" w:space="0" w:color="auto"/>
                  </w:divBdr>
                  <w:divsChild>
                    <w:div w:id="1277786465">
                      <w:marLeft w:val="0"/>
                      <w:marRight w:val="0"/>
                      <w:marTop w:val="0"/>
                      <w:marBottom w:val="0"/>
                      <w:divBdr>
                        <w:top w:val="none" w:sz="0" w:space="0" w:color="auto"/>
                        <w:left w:val="none" w:sz="0" w:space="0" w:color="auto"/>
                        <w:bottom w:val="none" w:sz="0" w:space="0" w:color="auto"/>
                        <w:right w:val="none" w:sz="0" w:space="0" w:color="auto"/>
                      </w:divBdr>
                      <w:divsChild>
                        <w:div w:id="1927809513">
                          <w:marLeft w:val="0"/>
                          <w:marRight w:val="0"/>
                          <w:marTop w:val="0"/>
                          <w:marBottom w:val="0"/>
                          <w:divBdr>
                            <w:top w:val="none" w:sz="0" w:space="0" w:color="auto"/>
                            <w:left w:val="none" w:sz="0" w:space="0" w:color="auto"/>
                            <w:bottom w:val="none" w:sz="0" w:space="0" w:color="auto"/>
                            <w:right w:val="none" w:sz="0" w:space="0" w:color="auto"/>
                          </w:divBdr>
                          <w:divsChild>
                            <w:div w:id="17897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7487620">
      <w:bodyDiv w:val="1"/>
      <w:marLeft w:val="0"/>
      <w:marRight w:val="0"/>
      <w:marTop w:val="0"/>
      <w:marBottom w:val="0"/>
      <w:divBdr>
        <w:top w:val="none" w:sz="0" w:space="0" w:color="auto"/>
        <w:left w:val="none" w:sz="0" w:space="0" w:color="auto"/>
        <w:bottom w:val="none" w:sz="0" w:space="0" w:color="auto"/>
        <w:right w:val="none" w:sz="0" w:space="0" w:color="auto"/>
      </w:divBdr>
    </w:div>
    <w:div w:id="2050298951">
      <w:bodyDiv w:val="1"/>
      <w:marLeft w:val="0"/>
      <w:marRight w:val="0"/>
      <w:marTop w:val="0"/>
      <w:marBottom w:val="0"/>
      <w:divBdr>
        <w:top w:val="none" w:sz="0" w:space="0" w:color="auto"/>
        <w:left w:val="none" w:sz="0" w:space="0" w:color="auto"/>
        <w:bottom w:val="none" w:sz="0" w:space="0" w:color="auto"/>
        <w:right w:val="none" w:sz="0" w:space="0" w:color="auto"/>
      </w:divBdr>
    </w:div>
    <w:div w:id="2050453453">
      <w:bodyDiv w:val="1"/>
      <w:marLeft w:val="0"/>
      <w:marRight w:val="0"/>
      <w:marTop w:val="0"/>
      <w:marBottom w:val="0"/>
      <w:divBdr>
        <w:top w:val="none" w:sz="0" w:space="0" w:color="auto"/>
        <w:left w:val="none" w:sz="0" w:space="0" w:color="auto"/>
        <w:bottom w:val="none" w:sz="0" w:space="0" w:color="auto"/>
        <w:right w:val="none" w:sz="0" w:space="0" w:color="auto"/>
      </w:divBdr>
    </w:div>
    <w:div w:id="2050759649">
      <w:bodyDiv w:val="1"/>
      <w:marLeft w:val="0"/>
      <w:marRight w:val="0"/>
      <w:marTop w:val="0"/>
      <w:marBottom w:val="0"/>
      <w:divBdr>
        <w:top w:val="none" w:sz="0" w:space="0" w:color="auto"/>
        <w:left w:val="none" w:sz="0" w:space="0" w:color="auto"/>
        <w:bottom w:val="none" w:sz="0" w:space="0" w:color="auto"/>
        <w:right w:val="none" w:sz="0" w:space="0" w:color="auto"/>
      </w:divBdr>
    </w:div>
    <w:div w:id="2050959479">
      <w:bodyDiv w:val="1"/>
      <w:marLeft w:val="0"/>
      <w:marRight w:val="0"/>
      <w:marTop w:val="0"/>
      <w:marBottom w:val="0"/>
      <w:divBdr>
        <w:top w:val="none" w:sz="0" w:space="0" w:color="auto"/>
        <w:left w:val="none" w:sz="0" w:space="0" w:color="auto"/>
        <w:bottom w:val="none" w:sz="0" w:space="0" w:color="auto"/>
        <w:right w:val="none" w:sz="0" w:space="0" w:color="auto"/>
      </w:divBdr>
    </w:div>
    <w:div w:id="2060548235">
      <w:bodyDiv w:val="1"/>
      <w:marLeft w:val="0"/>
      <w:marRight w:val="0"/>
      <w:marTop w:val="0"/>
      <w:marBottom w:val="0"/>
      <w:divBdr>
        <w:top w:val="none" w:sz="0" w:space="0" w:color="auto"/>
        <w:left w:val="none" w:sz="0" w:space="0" w:color="auto"/>
        <w:bottom w:val="none" w:sz="0" w:space="0" w:color="auto"/>
        <w:right w:val="none" w:sz="0" w:space="0" w:color="auto"/>
      </w:divBdr>
    </w:div>
    <w:div w:id="2062287222">
      <w:bodyDiv w:val="1"/>
      <w:marLeft w:val="0"/>
      <w:marRight w:val="0"/>
      <w:marTop w:val="0"/>
      <w:marBottom w:val="0"/>
      <w:divBdr>
        <w:top w:val="none" w:sz="0" w:space="0" w:color="auto"/>
        <w:left w:val="none" w:sz="0" w:space="0" w:color="auto"/>
        <w:bottom w:val="none" w:sz="0" w:space="0" w:color="auto"/>
        <w:right w:val="none" w:sz="0" w:space="0" w:color="auto"/>
      </w:divBdr>
    </w:div>
    <w:div w:id="2064982555">
      <w:bodyDiv w:val="1"/>
      <w:marLeft w:val="0"/>
      <w:marRight w:val="0"/>
      <w:marTop w:val="0"/>
      <w:marBottom w:val="0"/>
      <w:divBdr>
        <w:top w:val="none" w:sz="0" w:space="0" w:color="auto"/>
        <w:left w:val="none" w:sz="0" w:space="0" w:color="auto"/>
        <w:bottom w:val="none" w:sz="0" w:space="0" w:color="auto"/>
        <w:right w:val="none" w:sz="0" w:space="0" w:color="auto"/>
      </w:divBdr>
    </w:div>
    <w:div w:id="2068533799">
      <w:bodyDiv w:val="1"/>
      <w:marLeft w:val="0"/>
      <w:marRight w:val="0"/>
      <w:marTop w:val="0"/>
      <w:marBottom w:val="0"/>
      <w:divBdr>
        <w:top w:val="none" w:sz="0" w:space="0" w:color="auto"/>
        <w:left w:val="none" w:sz="0" w:space="0" w:color="auto"/>
        <w:bottom w:val="none" w:sz="0" w:space="0" w:color="auto"/>
        <w:right w:val="none" w:sz="0" w:space="0" w:color="auto"/>
      </w:divBdr>
    </w:div>
    <w:div w:id="2070687758">
      <w:bodyDiv w:val="1"/>
      <w:marLeft w:val="0"/>
      <w:marRight w:val="0"/>
      <w:marTop w:val="0"/>
      <w:marBottom w:val="0"/>
      <w:divBdr>
        <w:top w:val="none" w:sz="0" w:space="0" w:color="auto"/>
        <w:left w:val="none" w:sz="0" w:space="0" w:color="auto"/>
        <w:bottom w:val="none" w:sz="0" w:space="0" w:color="auto"/>
        <w:right w:val="none" w:sz="0" w:space="0" w:color="auto"/>
      </w:divBdr>
    </w:div>
    <w:div w:id="2079473746">
      <w:bodyDiv w:val="1"/>
      <w:marLeft w:val="0"/>
      <w:marRight w:val="0"/>
      <w:marTop w:val="0"/>
      <w:marBottom w:val="0"/>
      <w:divBdr>
        <w:top w:val="none" w:sz="0" w:space="0" w:color="auto"/>
        <w:left w:val="none" w:sz="0" w:space="0" w:color="auto"/>
        <w:bottom w:val="none" w:sz="0" w:space="0" w:color="auto"/>
        <w:right w:val="none" w:sz="0" w:space="0" w:color="auto"/>
      </w:divBdr>
    </w:div>
    <w:div w:id="2093161698">
      <w:bodyDiv w:val="1"/>
      <w:marLeft w:val="0"/>
      <w:marRight w:val="0"/>
      <w:marTop w:val="0"/>
      <w:marBottom w:val="0"/>
      <w:divBdr>
        <w:top w:val="none" w:sz="0" w:space="0" w:color="auto"/>
        <w:left w:val="none" w:sz="0" w:space="0" w:color="auto"/>
        <w:bottom w:val="none" w:sz="0" w:space="0" w:color="auto"/>
        <w:right w:val="none" w:sz="0" w:space="0" w:color="auto"/>
      </w:divBdr>
    </w:div>
    <w:div w:id="2098332140">
      <w:bodyDiv w:val="1"/>
      <w:marLeft w:val="0"/>
      <w:marRight w:val="0"/>
      <w:marTop w:val="0"/>
      <w:marBottom w:val="0"/>
      <w:divBdr>
        <w:top w:val="none" w:sz="0" w:space="0" w:color="auto"/>
        <w:left w:val="none" w:sz="0" w:space="0" w:color="auto"/>
        <w:bottom w:val="none" w:sz="0" w:space="0" w:color="auto"/>
        <w:right w:val="none" w:sz="0" w:space="0" w:color="auto"/>
      </w:divBdr>
    </w:div>
    <w:div w:id="2104177511">
      <w:bodyDiv w:val="1"/>
      <w:marLeft w:val="0"/>
      <w:marRight w:val="0"/>
      <w:marTop w:val="0"/>
      <w:marBottom w:val="0"/>
      <w:divBdr>
        <w:top w:val="none" w:sz="0" w:space="0" w:color="auto"/>
        <w:left w:val="none" w:sz="0" w:space="0" w:color="auto"/>
        <w:bottom w:val="none" w:sz="0" w:space="0" w:color="auto"/>
        <w:right w:val="none" w:sz="0" w:space="0" w:color="auto"/>
      </w:divBdr>
    </w:div>
    <w:div w:id="2104449844">
      <w:bodyDiv w:val="1"/>
      <w:marLeft w:val="0"/>
      <w:marRight w:val="0"/>
      <w:marTop w:val="0"/>
      <w:marBottom w:val="0"/>
      <w:divBdr>
        <w:top w:val="none" w:sz="0" w:space="0" w:color="auto"/>
        <w:left w:val="none" w:sz="0" w:space="0" w:color="auto"/>
        <w:bottom w:val="none" w:sz="0" w:space="0" w:color="auto"/>
        <w:right w:val="none" w:sz="0" w:space="0" w:color="auto"/>
      </w:divBdr>
    </w:div>
    <w:div w:id="2105761144">
      <w:bodyDiv w:val="1"/>
      <w:marLeft w:val="0"/>
      <w:marRight w:val="0"/>
      <w:marTop w:val="0"/>
      <w:marBottom w:val="0"/>
      <w:divBdr>
        <w:top w:val="none" w:sz="0" w:space="0" w:color="auto"/>
        <w:left w:val="none" w:sz="0" w:space="0" w:color="auto"/>
        <w:bottom w:val="none" w:sz="0" w:space="0" w:color="auto"/>
        <w:right w:val="none" w:sz="0" w:space="0" w:color="auto"/>
      </w:divBdr>
    </w:div>
    <w:div w:id="2107576616">
      <w:bodyDiv w:val="1"/>
      <w:marLeft w:val="0"/>
      <w:marRight w:val="0"/>
      <w:marTop w:val="0"/>
      <w:marBottom w:val="0"/>
      <w:divBdr>
        <w:top w:val="none" w:sz="0" w:space="0" w:color="auto"/>
        <w:left w:val="none" w:sz="0" w:space="0" w:color="auto"/>
        <w:bottom w:val="none" w:sz="0" w:space="0" w:color="auto"/>
        <w:right w:val="none" w:sz="0" w:space="0" w:color="auto"/>
      </w:divBdr>
    </w:div>
    <w:div w:id="2109766853">
      <w:bodyDiv w:val="1"/>
      <w:marLeft w:val="0"/>
      <w:marRight w:val="0"/>
      <w:marTop w:val="0"/>
      <w:marBottom w:val="0"/>
      <w:divBdr>
        <w:top w:val="none" w:sz="0" w:space="0" w:color="auto"/>
        <w:left w:val="none" w:sz="0" w:space="0" w:color="auto"/>
        <w:bottom w:val="none" w:sz="0" w:space="0" w:color="auto"/>
        <w:right w:val="none" w:sz="0" w:space="0" w:color="auto"/>
      </w:divBdr>
    </w:div>
    <w:div w:id="2116823159">
      <w:bodyDiv w:val="1"/>
      <w:marLeft w:val="0"/>
      <w:marRight w:val="0"/>
      <w:marTop w:val="0"/>
      <w:marBottom w:val="0"/>
      <w:divBdr>
        <w:top w:val="none" w:sz="0" w:space="0" w:color="auto"/>
        <w:left w:val="none" w:sz="0" w:space="0" w:color="auto"/>
        <w:bottom w:val="none" w:sz="0" w:space="0" w:color="auto"/>
        <w:right w:val="none" w:sz="0" w:space="0" w:color="auto"/>
      </w:divBdr>
    </w:div>
    <w:div w:id="2116905313">
      <w:bodyDiv w:val="1"/>
      <w:marLeft w:val="0"/>
      <w:marRight w:val="0"/>
      <w:marTop w:val="0"/>
      <w:marBottom w:val="0"/>
      <w:divBdr>
        <w:top w:val="none" w:sz="0" w:space="0" w:color="auto"/>
        <w:left w:val="none" w:sz="0" w:space="0" w:color="auto"/>
        <w:bottom w:val="none" w:sz="0" w:space="0" w:color="auto"/>
        <w:right w:val="none" w:sz="0" w:space="0" w:color="auto"/>
      </w:divBdr>
    </w:div>
    <w:div w:id="2122913743">
      <w:bodyDiv w:val="1"/>
      <w:marLeft w:val="0"/>
      <w:marRight w:val="0"/>
      <w:marTop w:val="0"/>
      <w:marBottom w:val="0"/>
      <w:divBdr>
        <w:top w:val="none" w:sz="0" w:space="0" w:color="auto"/>
        <w:left w:val="none" w:sz="0" w:space="0" w:color="auto"/>
        <w:bottom w:val="none" w:sz="0" w:space="0" w:color="auto"/>
        <w:right w:val="none" w:sz="0" w:space="0" w:color="auto"/>
      </w:divBdr>
    </w:div>
    <w:div w:id="2123913821">
      <w:bodyDiv w:val="1"/>
      <w:marLeft w:val="0"/>
      <w:marRight w:val="0"/>
      <w:marTop w:val="0"/>
      <w:marBottom w:val="0"/>
      <w:divBdr>
        <w:top w:val="none" w:sz="0" w:space="0" w:color="auto"/>
        <w:left w:val="none" w:sz="0" w:space="0" w:color="auto"/>
        <w:bottom w:val="none" w:sz="0" w:space="0" w:color="auto"/>
        <w:right w:val="none" w:sz="0" w:space="0" w:color="auto"/>
      </w:divBdr>
    </w:div>
    <w:div w:id="2129228445">
      <w:bodyDiv w:val="1"/>
      <w:marLeft w:val="0"/>
      <w:marRight w:val="0"/>
      <w:marTop w:val="0"/>
      <w:marBottom w:val="0"/>
      <w:divBdr>
        <w:top w:val="none" w:sz="0" w:space="0" w:color="auto"/>
        <w:left w:val="none" w:sz="0" w:space="0" w:color="auto"/>
        <w:bottom w:val="none" w:sz="0" w:space="0" w:color="auto"/>
        <w:right w:val="none" w:sz="0" w:space="0" w:color="auto"/>
      </w:divBdr>
    </w:div>
    <w:div w:id="2131626063">
      <w:bodyDiv w:val="1"/>
      <w:marLeft w:val="0"/>
      <w:marRight w:val="0"/>
      <w:marTop w:val="0"/>
      <w:marBottom w:val="0"/>
      <w:divBdr>
        <w:top w:val="none" w:sz="0" w:space="0" w:color="auto"/>
        <w:left w:val="none" w:sz="0" w:space="0" w:color="auto"/>
        <w:bottom w:val="none" w:sz="0" w:space="0" w:color="auto"/>
        <w:right w:val="none" w:sz="0" w:space="0" w:color="auto"/>
      </w:divBdr>
    </w:div>
    <w:div w:id="2135169039">
      <w:bodyDiv w:val="1"/>
      <w:marLeft w:val="0"/>
      <w:marRight w:val="0"/>
      <w:marTop w:val="0"/>
      <w:marBottom w:val="0"/>
      <w:divBdr>
        <w:top w:val="none" w:sz="0" w:space="0" w:color="auto"/>
        <w:left w:val="none" w:sz="0" w:space="0" w:color="auto"/>
        <w:bottom w:val="none" w:sz="0" w:space="0" w:color="auto"/>
        <w:right w:val="none" w:sz="0" w:space="0" w:color="auto"/>
      </w:divBdr>
    </w:div>
    <w:div w:id="2136755464">
      <w:bodyDiv w:val="1"/>
      <w:marLeft w:val="0"/>
      <w:marRight w:val="0"/>
      <w:marTop w:val="0"/>
      <w:marBottom w:val="0"/>
      <w:divBdr>
        <w:top w:val="none" w:sz="0" w:space="0" w:color="auto"/>
        <w:left w:val="none" w:sz="0" w:space="0" w:color="auto"/>
        <w:bottom w:val="none" w:sz="0" w:space="0" w:color="auto"/>
        <w:right w:val="none" w:sz="0" w:space="0" w:color="auto"/>
      </w:divBdr>
    </w:div>
    <w:div w:id="2136942786">
      <w:bodyDiv w:val="1"/>
      <w:marLeft w:val="0"/>
      <w:marRight w:val="0"/>
      <w:marTop w:val="0"/>
      <w:marBottom w:val="0"/>
      <w:divBdr>
        <w:top w:val="none" w:sz="0" w:space="0" w:color="auto"/>
        <w:left w:val="none" w:sz="0" w:space="0" w:color="auto"/>
        <w:bottom w:val="none" w:sz="0" w:space="0" w:color="auto"/>
        <w:right w:val="none" w:sz="0" w:space="0" w:color="auto"/>
      </w:divBdr>
    </w:div>
    <w:div w:id="2137482163">
      <w:bodyDiv w:val="1"/>
      <w:marLeft w:val="0"/>
      <w:marRight w:val="0"/>
      <w:marTop w:val="0"/>
      <w:marBottom w:val="0"/>
      <w:divBdr>
        <w:top w:val="none" w:sz="0" w:space="0" w:color="auto"/>
        <w:left w:val="none" w:sz="0" w:space="0" w:color="auto"/>
        <w:bottom w:val="none" w:sz="0" w:space="0" w:color="auto"/>
        <w:right w:val="none" w:sz="0" w:space="0" w:color="auto"/>
      </w:divBdr>
    </w:div>
    <w:div w:id="2144300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rc4.co.uk" TargetMode="External"/><Relationship Id="rId18" Type="http://schemas.openxmlformats.org/officeDocument/2006/relationships/chart" Target="charts/chart1.xml"/><Relationship Id="rId26" Type="http://schemas.openxmlformats.org/officeDocument/2006/relationships/header" Target="header5.xml"/><Relationship Id="rId39" Type="http://schemas.openxmlformats.org/officeDocument/2006/relationships/footer" Target="footer11.xml"/><Relationship Id="rId21" Type="http://schemas.openxmlformats.org/officeDocument/2006/relationships/footer" Target="footer4.xml"/><Relationship Id="rId34" Type="http://schemas.openxmlformats.org/officeDocument/2006/relationships/footer" Target="footer9.xml"/><Relationship Id="rId42" Type="http://schemas.openxmlformats.org/officeDocument/2006/relationships/image" Target="media/image9.emf"/><Relationship Id="rId47" Type="http://schemas.openxmlformats.org/officeDocument/2006/relationships/header" Target="header14.xml"/><Relationship Id="rId50" Type="http://schemas.openxmlformats.org/officeDocument/2006/relationships/header" Target="header15.xml"/><Relationship Id="rId55" Type="http://schemas.openxmlformats.org/officeDocument/2006/relationships/image" Target="media/image11.png"/><Relationship Id="rId63" Type="http://schemas.openxmlformats.org/officeDocument/2006/relationships/image" Target="media/image14.emf"/><Relationship Id="rId68" Type="http://schemas.openxmlformats.org/officeDocument/2006/relationships/footer" Target="footer22.xml"/><Relationship Id="rId76" Type="http://schemas.openxmlformats.org/officeDocument/2006/relationships/header" Target="header24.xm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22.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footer" Target="footer7.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image" Target="media/image7.emf"/><Relationship Id="rId37" Type="http://schemas.openxmlformats.org/officeDocument/2006/relationships/image" Target="media/image8.emf"/><Relationship Id="rId40" Type="http://schemas.openxmlformats.org/officeDocument/2006/relationships/header" Target="header11.xml"/><Relationship Id="rId45" Type="http://schemas.openxmlformats.org/officeDocument/2006/relationships/header" Target="header13.xml"/><Relationship Id="rId53" Type="http://schemas.openxmlformats.org/officeDocument/2006/relationships/footer" Target="footer17.xml"/><Relationship Id="rId58" Type="http://schemas.openxmlformats.org/officeDocument/2006/relationships/footer" Target="footer19.xml"/><Relationship Id="rId66" Type="http://schemas.openxmlformats.org/officeDocument/2006/relationships/image" Target="media/image15.emf"/><Relationship Id="rId74" Type="http://schemas.openxmlformats.org/officeDocument/2006/relationships/header" Target="header23.xml"/><Relationship Id="rId79" Type="http://schemas.openxmlformats.org/officeDocument/2006/relationships/footer" Target="footer27.xml"/><Relationship Id="rId5" Type="http://schemas.openxmlformats.org/officeDocument/2006/relationships/webSettings" Target="webSettings.xml"/><Relationship Id="rId61" Type="http://schemas.openxmlformats.org/officeDocument/2006/relationships/image" Target="media/image12.emf"/><Relationship Id="rId82" Type="http://schemas.openxmlformats.org/officeDocument/2006/relationships/footer" Target="footer29.xm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footer" Target="footer8.xml"/><Relationship Id="rId44" Type="http://schemas.openxmlformats.org/officeDocument/2006/relationships/footer" Target="footer13.xml"/><Relationship Id="rId52" Type="http://schemas.openxmlformats.org/officeDocument/2006/relationships/header" Target="header16.xml"/><Relationship Id="rId60" Type="http://schemas.openxmlformats.org/officeDocument/2006/relationships/footer" Target="footer20.xml"/><Relationship Id="rId65" Type="http://schemas.openxmlformats.org/officeDocument/2006/relationships/footer" Target="footer21.xml"/><Relationship Id="rId73" Type="http://schemas.openxmlformats.org/officeDocument/2006/relationships/image" Target="media/image16.emf"/><Relationship Id="rId78" Type="http://schemas.openxmlformats.org/officeDocument/2006/relationships/header" Target="header25.xml"/><Relationship Id="rId81" Type="http://schemas.openxmlformats.org/officeDocument/2006/relationships/footer" Target="footer28.xml"/><Relationship Id="rId4" Type="http://schemas.openxmlformats.org/officeDocument/2006/relationships/settings" Target="settings.xml"/><Relationship Id="rId9" Type="http://schemas.openxmlformats.org/officeDocument/2006/relationships/hyperlink" Target="http://www.arc4.co.uk" TargetMode="Externa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footer" Target="footer6.xml"/><Relationship Id="rId30" Type="http://schemas.openxmlformats.org/officeDocument/2006/relationships/header" Target="header7.xml"/><Relationship Id="rId35" Type="http://schemas.openxmlformats.org/officeDocument/2006/relationships/header" Target="header9.xml"/><Relationship Id="rId43" Type="http://schemas.openxmlformats.org/officeDocument/2006/relationships/header" Target="header12.xml"/><Relationship Id="rId48" Type="http://schemas.openxmlformats.org/officeDocument/2006/relationships/footer" Target="footer15.xml"/><Relationship Id="rId56" Type="http://schemas.openxmlformats.org/officeDocument/2006/relationships/header" Target="header17.xml"/><Relationship Id="rId64" Type="http://schemas.openxmlformats.org/officeDocument/2006/relationships/header" Target="header19.xml"/><Relationship Id="rId69" Type="http://schemas.openxmlformats.org/officeDocument/2006/relationships/header" Target="header21.xml"/><Relationship Id="rId77" Type="http://schemas.openxmlformats.org/officeDocument/2006/relationships/footer" Target="footer26.xml"/><Relationship Id="rId8" Type="http://schemas.openxmlformats.org/officeDocument/2006/relationships/image" Target="media/image1.png"/><Relationship Id="rId51" Type="http://schemas.openxmlformats.org/officeDocument/2006/relationships/footer" Target="footer16.xml"/><Relationship Id="rId72" Type="http://schemas.openxmlformats.org/officeDocument/2006/relationships/footer" Target="footer24.xml"/><Relationship Id="rId80" Type="http://schemas.openxmlformats.org/officeDocument/2006/relationships/header" Target="header26.xml"/><Relationship Id="rId3" Type="http://schemas.openxmlformats.org/officeDocument/2006/relationships/styles" Target="styles.xml"/><Relationship Id="rId12" Type="http://schemas.openxmlformats.org/officeDocument/2006/relationships/hyperlink" Target="mailto:contact@arc4.co.uk" TargetMode="External"/><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header" Target="header8.xml"/><Relationship Id="rId38" Type="http://schemas.openxmlformats.org/officeDocument/2006/relationships/header" Target="header10.xml"/><Relationship Id="rId46" Type="http://schemas.openxmlformats.org/officeDocument/2006/relationships/footer" Target="footer14.xml"/><Relationship Id="rId59" Type="http://schemas.openxmlformats.org/officeDocument/2006/relationships/header" Target="header18.xml"/><Relationship Id="rId67" Type="http://schemas.openxmlformats.org/officeDocument/2006/relationships/header" Target="header20.xml"/><Relationship Id="rId20" Type="http://schemas.openxmlformats.org/officeDocument/2006/relationships/footer" Target="footer3.xml"/><Relationship Id="rId41" Type="http://schemas.openxmlformats.org/officeDocument/2006/relationships/footer" Target="footer12.xml"/><Relationship Id="rId54" Type="http://schemas.openxmlformats.org/officeDocument/2006/relationships/image" Target="media/image10.png"/><Relationship Id="rId62" Type="http://schemas.openxmlformats.org/officeDocument/2006/relationships/image" Target="media/image13.emf"/><Relationship Id="rId70" Type="http://schemas.openxmlformats.org/officeDocument/2006/relationships/footer" Target="footer23.xml"/><Relationship Id="rId75" Type="http://schemas.openxmlformats.org/officeDocument/2006/relationships/footer" Target="footer25.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4.xml"/><Relationship Id="rId28" Type="http://schemas.openxmlformats.org/officeDocument/2006/relationships/header" Target="header6.xml"/><Relationship Id="rId36" Type="http://schemas.openxmlformats.org/officeDocument/2006/relationships/footer" Target="footer10.xml"/><Relationship Id="rId49" Type="http://schemas.openxmlformats.org/officeDocument/2006/relationships/chart" Target="charts/chart2.xml"/><Relationship Id="rId57" Type="http://schemas.openxmlformats.org/officeDocument/2006/relationships/footer" Target="footer18.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10.xml.rels><?xml version="1.0" encoding="UTF-8" standalone="yes"?>
<Relationships xmlns="http://schemas.openxmlformats.org/package/2006/relationships"><Relationship Id="rId1" Type="http://schemas.openxmlformats.org/officeDocument/2006/relationships/image" Target="media/image2.jpeg"/></Relationships>
</file>

<file path=word/_rels/footer11.xml.rels><?xml version="1.0" encoding="UTF-8" standalone="yes"?>
<Relationships xmlns="http://schemas.openxmlformats.org/package/2006/relationships"><Relationship Id="rId1" Type="http://schemas.openxmlformats.org/officeDocument/2006/relationships/image" Target="media/image2.jpeg"/></Relationships>
</file>

<file path=word/_rels/footer12.xml.rels><?xml version="1.0" encoding="UTF-8" standalone="yes"?>
<Relationships xmlns="http://schemas.openxmlformats.org/package/2006/relationships"><Relationship Id="rId1" Type="http://schemas.openxmlformats.org/officeDocument/2006/relationships/image" Target="media/image2.jpeg"/></Relationships>
</file>

<file path=word/_rels/footer13.xml.rels><?xml version="1.0" encoding="UTF-8" standalone="yes"?>
<Relationships xmlns="http://schemas.openxmlformats.org/package/2006/relationships"><Relationship Id="rId1" Type="http://schemas.openxmlformats.org/officeDocument/2006/relationships/image" Target="media/image2.jpeg"/></Relationships>
</file>

<file path=word/_rels/footer14.xml.rels><?xml version="1.0" encoding="UTF-8" standalone="yes"?>
<Relationships xmlns="http://schemas.openxmlformats.org/package/2006/relationships"><Relationship Id="rId1" Type="http://schemas.openxmlformats.org/officeDocument/2006/relationships/image" Target="media/image2.jpeg"/></Relationships>
</file>

<file path=word/_rels/footer15.xml.rels><?xml version="1.0" encoding="UTF-8" standalone="yes"?>
<Relationships xmlns="http://schemas.openxmlformats.org/package/2006/relationships"><Relationship Id="rId1" Type="http://schemas.openxmlformats.org/officeDocument/2006/relationships/image" Target="media/image2.jpeg"/></Relationships>
</file>

<file path=word/_rels/footer16.xml.rels><?xml version="1.0" encoding="UTF-8" standalone="yes"?>
<Relationships xmlns="http://schemas.openxmlformats.org/package/2006/relationships"><Relationship Id="rId1" Type="http://schemas.openxmlformats.org/officeDocument/2006/relationships/image" Target="media/image2.jpeg"/></Relationships>
</file>

<file path=word/_rels/footer17.xml.rels><?xml version="1.0" encoding="UTF-8" standalone="yes"?>
<Relationships xmlns="http://schemas.openxmlformats.org/package/2006/relationships"><Relationship Id="rId1" Type="http://schemas.openxmlformats.org/officeDocument/2006/relationships/image" Target="media/image2.jpeg"/></Relationships>
</file>

<file path=word/_rels/footer18.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20.xml.rels><?xml version="1.0" encoding="UTF-8" standalone="yes"?>
<Relationships xmlns="http://schemas.openxmlformats.org/package/2006/relationships"><Relationship Id="rId1" Type="http://schemas.openxmlformats.org/officeDocument/2006/relationships/image" Target="media/image2.jpeg"/></Relationships>
</file>

<file path=word/_rels/footer21.xml.rels><?xml version="1.0" encoding="UTF-8" standalone="yes"?>
<Relationships xmlns="http://schemas.openxmlformats.org/package/2006/relationships"><Relationship Id="rId1" Type="http://schemas.openxmlformats.org/officeDocument/2006/relationships/image" Target="media/image2.jpeg"/></Relationships>
</file>

<file path=word/_rels/footer22.xml.rels><?xml version="1.0" encoding="UTF-8" standalone="yes"?>
<Relationships xmlns="http://schemas.openxmlformats.org/package/2006/relationships"><Relationship Id="rId1" Type="http://schemas.openxmlformats.org/officeDocument/2006/relationships/image" Target="media/image2.jpeg"/></Relationships>
</file>

<file path=word/_rels/footer23.xml.rels><?xml version="1.0" encoding="UTF-8" standalone="yes"?>
<Relationships xmlns="http://schemas.openxmlformats.org/package/2006/relationships"><Relationship Id="rId1" Type="http://schemas.openxmlformats.org/officeDocument/2006/relationships/image" Target="media/image2.jpeg"/></Relationships>
</file>

<file path=word/_rels/footer24.xml.rels><?xml version="1.0" encoding="UTF-8" standalone="yes"?>
<Relationships xmlns="http://schemas.openxmlformats.org/package/2006/relationships"><Relationship Id="rId1" Type="http://schemas.openxmlformats.org/officeDocument/2006/relationships/image" Target="media/image2.jpeg"/></Relationships>
</file>

<file path=word/_rels/footer25.xml.rels><?xml version="1.0" encoding="UTF-8" standalone="yes"?>
<Relationships xmlns="http://schemas.openxmlformats.org/package/2006/relationships"><Relationship Id="rId1" Type="http://schemas.openxmlformats.org/officeDocument/2006/relationships/image" Target="media/image2.jpeg"/></Relationships>
</file>

<file path=word/_rels/footer26.xml.rels><?xml version="1.0" encoding="UTF-8" standalone="yes"?>
<Relationships xmlns="http://schemas.openxmlformats.org/package/2006/relationships"><Relationship Id="rId1" Type="http://schemas.openxmlformats.org/officeDocument/2006/relationships/image" Target="media/image2.jpeg"/></Relationships>
</file>

<file path=word/_rels/footer27.xml.rels><?xml version="1.0" encoding="UTF-8" standalone="yes"?>
<Relationships xmlns="http://schemas.openxmlformats.org/package/2006/relationships"><Relationship Id="rId1" Type="http://schemas.openxmlformats.org/officeDocument/2006/relationships/image" Target="media/image2.jpeg"/></Relationships>
</file>

<file path=word/_rels/footer28.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_rels/footer8.xml.rels><?xml version="1.0" encoding="UTF-8" standalone="yes"?>
<Relationships xmlns="http://schemas.openxmlformats.org/package/2006/relationships"><Relationship Id="rId1" Type="http://schemas.openxmlformats.org/officeDocument/2006/relationships/image" Target="media/image2.jpeg"/></Relationships>
</file>

<file path=word/_rels/footer9.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die%20Brand\Documents\ARC4\Styles\SHMA%20Template%20V2.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Users\jenniehainsworth\OneDrive\Documents\arc4\Eden%20HNS\Secondary%20data%20analysis%20template%20Ede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jenniehainsworth\OneDrive\Documents\arc4\Eden%20HNS\Secondary%20data%20analysis%20template%20Ede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'301 LandRegSummary'!$A$11</c:f>
              <c:strCache>
                <c:ptCount val="1"/>
                <c:pt idx="0">
                  <c:v>North West</c:v>
                </c:pt>
              </c:strCache>
            </c:strRef>
          </c:tx>
          <c:spPr>
            <a:ln w="28575" cmpd="sng"/>
          </c:spPr>
          <c:marker>
            <c:symbol val="none"/>
          </c:marker>
          <c:cat>
            <c:numRef>
              <c:f>'301 LandRegSummary'!$B$10:$S$10</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'301 LandRegSummary'!$B$11:$S$11</c:f>
              <c:numCache>
                <c:formatCode>#,##0</c:formatCode>
                <c:ptCount val="18"/>
                <c:pt idx="0">
                  <c:v>56250</c:v>
                </c:pt>
                <c:pt idx="1">
                  <c:v>59995</c:v>
                </c:pt>
                <c:pt idx="2">
                  <c:v>70000</c:v>
                </c:pt>
                <c:pt idx="3">
                  <c:v>85000</c:v>
                </c:pt>
                <c:pt idx="4">
                  <c:v>107000</c:v>
                </c:pt>
                <c:pt idx="5">
                  <c:v>118000</c:v>
                </c:pt>
                <c:pt idx="6">
                  <c:v>127000</c:v>
                </c:pt>
                <c:pt idx="7">
                  <c:v>134750</c:v>
                </c:pt>
                <c:pt idx="8">
                  <c:v>129950</c:v>
                </c:pt>
                <c:pt idx="9">
                  <c:v>130000</c:v>
                </c:pt>
                <c:pt idx="10">
                  <c:v>130000</c:v>
                </c:pt>
                <c:pt idx="11" formatCode="###0">
                  <c:v>127000</c:v>
                </c:pt>
                <c:pt idx="12" formatCode="###0">
                  <c:v>130000</c:v>
                </c:pt>
                <c:pt idx="13" formatCode="###0">
                  <c:v>132000</c:v>
                </c:pt>
                <c:pt idx="14" formatCode="###0">
                  <c:v>138500</c:v>
                </c:pt>
                <c:pt idx="15" formatCode="###0">
                  <c:v>139950</c:v>
                </c:pt>
                <c:pt idx="16" formatCode="###0">
                  <c:v>142000</c:v>
                </c:pt>
                <c:pt idx="17" formatCode="###0">
                  <c:v>143000</c:v>
                </c:pt>
              </c:numCache>
            </c:numRef>
          </c:val>
          <c:smooth val="0"/>
          <c:extLst xmlns:c16r2="http://schemas.microsoft.com/office/drawing/2015/06/chart">
            <c:ext xmlns:c16="http://schemas.microsoft.com/office/drawing/2014/chart" uri="{C3380CC4-5D6E-409C-BE32-E72D297353CC}">
              <c16:uniqueId val="{00000000-E793-455F-87E4-5E7B06D93C08}"/>
            </c:ext>
          </c:extLst>
        </c:ser>
        <c:ser>
          <c:idx val="1"/>
          <c:order val="1"/>
          <c:tx>
            <c:strRef>
              <c:f>'301 LandRegSummary'!$A$12</c:f>
              <c:strCache>
                <c:ptCount val="1"/>
                <c:pt idx="0">
                  <c:v>ENGLAND</c:v>
                </c:pt>
              </c:strCache>
            </c:strRef>
          </c:tx>
          <c:spPr>
            <a:ln w="28575" cmpd="sng"/>
          </c:spPr>
          <c:marker>
            <c:symbol val="none"/>
          </c:marker>
          <c:cat>
            <c:numRef>
              <c:f>'301 LandRegSummary'!$B$10:$S$10</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'301 LandRegSummary'!$B$12:$S$12</c:f>
              <c:numCache>
                <c:formatCode>#,##0</c:formatCode>
                <c:ptCount val="18"/>
                <c:pt idx="0">
                  <c:v>82000</c:v>
                </c:pt>
                <c:pt idx="1">
                  <c:v>92000</c:v>
                </c:pt>
                <c:pt idx="2">
                  <c:v>114000</c:v>
                </c:pt>
                <c:pt idx="3">
                  <c:v>132500</c:v>
                </c:pt>
                <c:pt idx="4">
                  <c:v>151500</c:v>
                </c:pt>
                <c:pt idx="5">
                  <c:v>159950</c:v>
                </c:pt>
                <c:pt idx="6">
                  <c:v>168500</c:v>
                </c:pt>
                <c:pt idx="7">
                  <c:v>178000</c:v>
                </c:pt>
                <c:pt idx="8">
                  <c:v>174000</c:v>
                </c:pt>
                <c:pt idx="9">
                  <c:v>170000</c:v>
                </c:pt>
                <c:pt idx="10">
                  <c:v>185000</c:v>
                </c:pt>
                <c:pt idx="11">
                  <c:v>180000</c:v>
                </c:pt>
                <c:pt idx="12">
                  <c:v>183500</c:v>
                </c:pt>
                <c:pt idx="13">
                  <c:v>187000</c:v>
                </c:pt>
                <c:pt idx="14">
                  <c:v>195000</c:v>
                </c:pt>
                <c:pt idx="15">
                  <c:v>210000</c:v>
                </c:pt>
                <c:pt idx="16">
                  <c:v>218500</c:v>
                </c:pt>
                <c:pt idx="17">
                  <c:v>240000</c:v>
                </c:pt>
              </c:numCache>
            </c:numRef>
          </c:val>
          <c:smooth val="0"/>
          <c:extLst xmlns:c16r2="http://schemas.microsoft.com/office/drawing/2015/06/chart">
            <c:ext xmlns:c16="http://schemas.microsoft.com/office/drawing/2014/chart" uri="{C3380CC4-5D6E-409C-BE32-E72D297353CC}">
              <c16:uniqueId val="{00000001-E793-455F-87E4-5E7B06D93C08}"/>
            </c:ext>
          </c:extLst>
        </c:ser>
        <c:ser>
          <c:idx val="2"/>
          <c:order val="2"/>
          <c:tx>
            <c:strRef>
              <c:f>'301 LandRegSummary'!$A$13</c:f>
              <c:strCache>
                <c:ptCount val="1"/>
                <c:pt idx="0">
                  <c:v>Eden</c:v>
                </c:pt>
              </c:strCache>
            </c:strRef>
          </c:tx>
          <c:spPr>
            <a:ln w="28575" cmpd="sng"/>
          </c:spPr>
          <c:marker>
            <c:symbol val="none"/>
          </c:marker>
          <c:cat>
            <c:numRef>
              <c:f>'301 LandRegSummary'!$B$10:$S$10</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'301 LandRegSummary'!$B$13:$S$13</c:f>
              <c:numCache>
                <c:formatCode>#,##0</c:formatCode>
                <c:ptCount val="18"/>
                <c:pt idx="0">
                  <c:v>71000</c:v>
                </c:pt>
                <c:pt idx="1">
                  <c:v>76850</c:v>
                </c:pt>
                <c:pt idx="2">
                  <c:v>92000</c:v>
                </c:pt>
                <c:pt idx="3">
                  <c:v>120000</c:v>
                </c:pt>
                <c:pt idx="4">
                  <c:v>160000</c:v>
                </c:pt>
                <c:pt idx="5">
                  <c:v>170000</c:v>
                </c:pt>
                <c:pt idx="6">
                  <c:v>180000</c:v>
                </c:pt>
                <c:pt idx="7">
                  <c:v>185000</c:v>
                </c:pt>
                <c:pt idx="8">
                  <c:v>189375</c:v>
                </c:pt>
                <c:pt idx="9">
                  <c:v>172500</c:v>
                </c:pt>
                <c:pt idx="10">
                  <c:v>180000</c:v>
                </c:pt>
                <c:pt idx="11" formatCode="###0">
                  <c:v>170000</c:v>
                </c:pt>
                <c:pt idx="12" formatCode="###0">
                  <c:v>167500</c:v>
                </c:pt>
                <c:pt idx="13" formatCode="###0">
                  <c:v>171975</c:v>
                </c:pt>
                <c:pt idx="14" formatCode="###0">
                  <c:v>175000</c:v>
                </c:pt>
                <c:pt idx="15" formatCode="###0">
                  <c:v>185000</c:v>
                </c:pt>
                <c:pt idx="16" formatCode="###0">
                  <c:v>181997.5</c:v>
                </c:pt>
                <c:pt idx="17" formatCode="###0">
                  <c:v>187475</c:v>
                </c:pt>
              </c:numCache>
            </c:numRef>
          </c:val>
          <c:smooth val="0"/>
          <c:extLst xmlns:c16r2="http://schemas.microsoft.com/office/drawing/2015/06/chart">
            <c:ext xmlns:c16="http://schemas.microsoft.com/office/drawing/2014/chart" uri="{C3380CC4-5D6E-409C-BE32-E72D297353CC}">
              <c16:uniqueId val="{00000002-E793-455F-87E4-5E7B06D93C08}"/>
            </c:ext>
          </c:extLst>
        </c:ser>
        <c:dLbls>
          <c:showLegendKey val="0"/>
          <c:showVal val="0"/>
          <c:showCatName val="0"/>
          <c:showSerName val="0"/>
          <c:showPercent val="0"/>
          <c:showBubbleSize val="0"/>
        </c:dLbls>
        <c:smooth val="0"/>
        <c:axId val="500622432"/>
        <c:axId val="500622824"/>
      </c:lineChart>
      <c:catAx>
        <c:axId val="500622432"/>
        <c:scaling>
          <c:orientation val="minMax"/>
        </c:scaling>
        <c:delete val="0"/>
        <c:axPos val="b"/>
        <c:majorGridlines/>
        <c:title>
          <c:tx>
            <c:rich>
              <a:bodyPr/>
              <a:lstStyle/>
              <a:p>
                <a:pPr>
                  <a:defRPr/>
                </a:pPr>
                <a:r>
                  <a:rPr lang="en-US"/>
                  <a:t>Year</a:t>
                </a:r>
              </a:p>
            </c:rich>
          </c:tx>
          <c:overlay val="0"/>
        </c:title>
        <c:numFmt formatCode="General" sourceLinked="1"/>
        <c:majorTickMark val="out"/>
        <c:minorTickMark val="none"/>
        <c:tickLblPos val="nextTo"/>
        <c:crossAx val="500622824"/>
        <c:crosses val="autoZero"/>
        <c:auto val="1"/>
        <c:lblAlgn val="ctr"/>
        <c:lblOffset val="100"/>
        <c:noMultiLvlLbl val="0"/>
      </c:catAx>
      <c:valAx>
        <c:axId val="500622824"/>
        <c:scaling>
          <c:orientation val="minMax"/>
        </c:scaling>
        <c:delete val="0"/>
        <c:axPos val="l"/>
        <c:majorGridlines/>
        <c:title>
          <c:tx>
            <c:rich>
              <a:bodyPr rot="-5400000" vert="horz"/>
              <a:lstStyle/>
              <a:p>
                <a:pPr>
                  <a:defRPr/>
                </a:pPr>
                <a:r>
                  <a:rPr lang="en-US"/>
                  <a:t>Median house price</a:t>
                </a:r>
                <a:r>
                  <a:rPr lang="en-US" baseline="0"/>
                  <a:t> £</a:t>
                </a:r>
                <a:endParaRPr lang="en-US"/>
              </a:p>
            </c:rich>
          </c:tx>
          <c:overlay val="0"/>
        </c:title>
        <c:numFmt formatCode="#,##0" sourceLinked="1"/>
        <c:majorTickMark val="out"/>
        <c:minorTickMark val="none"/>
        <c:tickLblPos val="nextTo"/>
        <c:crossAx val="500622432"/>
        <c:crosses val="autoZero"/>
        <c:crossBetween val="between"/>
      </c:valAx>
      <c:spPr>
        <a:ln w="6350" cmpd="sng"/>
      </c:spPr>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'1101 Completions'!$B$22</c:f>
              <c:strCache>
                <c:ptCount val="1"/>
                <c:pt idx="0">
                  <c:v>Total Completions</c:v>
                </c:pt>
              </c:strCache>
            </c:strRef>
          </c:tx>
          <c:spPr>
            <a:solidFill>
              <a:srgbClr val="008080"/>
            </a:solidFill>
          </c:spPr>
          <c:invertIfNegative val="0"/>
          <c:cat>
            <c:strRef>
              <c:f>'1101 Completions'!$A$23:$A$37</c:f>
              <c:strCache>
                <c:ptCount val="15"/>
                <c:pt idx="0">
                  <c:v>2003/4</c:v>
                </c:pt>
                <c:pt idx="1">
                  <c:v>2004/5</c:v>
                </c:pt>
                <c:pt idx="2">
                  <c:v>2005/6</c:v>
                </c:pt>
                <c:pt idx="3">
                  <c:v>2006/7</c:v>
                </c:pt>
                <c:pt idx="4">
                  <c:v>2007/8</c:v>
                </c:pt>
                <c:pt idx="5">
                  <c:v>2008/9</c:v>
                </c:pt>
                <c:pt idx="6">
                  <c:v>2009/10</c:v>
                </c:pt>
                <c:pt idx="7">
                  <c:v>2010/11</c:v>
                </c:pt>
                <c:pt idx="8">
                  <c:v>2011/12</c:v>
                </c:pt>
                <c:pt idx="9">
                  <c:v>2012/13</c:v>
                </c:pt>
                <c:pt idx="10">
                  <c:v>2013/14</c:v>
                </c:pt>
                <c:pt idx="11">
                  <c:v>2014/15</c:v>
                </c:pt>
                <c:pt idx="12">
                  <c:v>2015/16</c:v>
                </c:pt>
                <c:pt idx="13">
                  <c:v>2016/17</c:v>
                </c:pt>
                <c:pt idx="14">
                  <c:v>2017/18</c:v>
                </c:pt>
              </c:strCache>
            </c:strRef>
          </c:cat>
          <c:val>
            <c:numRef>
              <c:f>'1101 Completions'!$B$23:$B$37</c:f>
              <c:numCache>
                <c:formatCode>General</c:formatCode>
                <c:ptCount val="15"/>
                <c:pt idx="0">
                  <c:v>186</c:v>
                </c:pt>
                <c:pt idx="1">
                  <c:v>210</c:v>
                </c:pt>
                <c:pt idx="2">
                  <c:v>148</c:v>
                </c:pt>
                <c:pt idx="3">
                  <c:v>165</c:v>
                </c:pt>
                <c:pt idx="4">
                  <c:v>159</c:v>
                </c:pt>
                <c:pt idx="5">
                  <c:v>154</c:v>
                </c:pt>
                <c:pt idx="6">
                  <c:v>104</c:v>
                </c:pt>
                <c:pt idx="7">
                  <c:v>129</c:v>
                </c:pt>
                <c:pt idx="8">
                  <c:v>121</c:v>
                </c:pt>
                <c:pt idx="9">
                  <c:v>237</c:v>
                </c:pt>
                <c:pt idx="10">
                  <c:v>175</c:v>
                </c:pt>
                <c:pt idx="11">
                  <c:v>129</c:v>
                </c:pt>
                <c:pt idx="12">
                  <c:v>258</c:v>
                </c:pt>
                <c:pt idx="13">
                  <c:v>198</c:v>
                </c:pt>
                <c:pt idx="14">
                  <c:v>188</c:v>
                </c:pt>
              </c:numCache>
            </c:numRef>
          </c:val>
          <c:extLst xmlns:c16r2="http://schemas.microsoft.com/office/drawing/2015/06/chart">
            <c:ext xmlns:c16="http://schemas.microsoft.com/office/drawing/2014/chart" uri="{C3380CC4-5D6E-409C-BE32-E72D297353CC}">
              <c16:uniqueId val="{00000000-9702-41CE-A7CE-46657F5A6AD3}"/>
            </c:ext>
          </c:extLst>
        </c:ser>
        <c:dLbls>
          <c:showLegendKey val="0"/>
          <c:showVal val="0"/>
          <c:showCatName val="0"/>
          <c:showSerName val="0"/>
          <c:showPercent val="0"/>
          <c:showBubbleSize val="0"/>
        </c:dLbls>
        <c:gapWidth val="150"/>
        <c:axId val="500625176"/>
        <c:axId val="500623216"/>
      </c:barChart>
      <c:lineChart>
        <c:grouping val="standard"/>
        <c:varyColors val="0"/>
        <c:ser>
          <c:idx val="1"/>
          <c:order val="1"/>
          <c:tx>
            <c:strRef>
              <c:f>'1101 Completions'!$C$22</c:f>
              <c:strCache>
                <c:ptCount val="1"/>
                <c:pt idx="0">
                  <c:v>Policy Target</c:v>
                </c:pt>
              </c:strCache>
            </c:strRef>
          </c:tx>
          <c:marker>
            <c:symbol val="none"/>
          </c:marker>
          <c:cat>
            <c:strRef>
              <c:f>'1101 Completions'!$A$23:$A$37</c:f>
              <c:strCache>
                <c:ptCount val="15"/>
                <c:pt idx="0">
                  <c:v>2003/4</c:v>
                </c:pt>
                <c:pt idx="1">
                  <c:v>2004/5</c:v>
                </c:pt>
                <c:pt idx="2">
                  <c:v>2005/6</c:v>
                </c:pt>
                <c:pt idx="3">
                  <c:v>2006/7</c:v>
                </c:pt>
                <c:pt idx="4">
                  <c:v>2007/8</c:v>
                </c:pt>
                <c:pt idx="5">
                  <c:v>2008/9</c:v>
                </c:pt>
                <c:pt idx="6">
                  <c:v>2009/10</c:v>
                </c:pt>
                <c:pt idx="7">
                  <c:v>2010/11</c:v>
                </c:pt>
                <c:pt idx="8">
                  <c:v>2011/12</c:v>
                </c:pt>
                <c:pt idx="9">
                  <c:v>2012/13</c:v>
                </c:pt>
                <c:pt idx="10">
                  <c:v>2013/14</c:v>
                </c:pt>
                <c:pt idx="11">
                  <c:v>2014/15</c:v>
                </c:pt>
                <c:pt idx="12">
                  <c:v>2015/16</c:v>
                </c:pt>
                <c:pt idx="13">
                  <c:v>2016/17</c:v>
                </c:pt>
                <c:pt idx="14">
                  <c:v>2017/18</c:v>
                </c:pt>
              </c:strCache>
            </c:strRef>
          </c:cat>
          <c:val>
            <c:numRef>
              <c:f>'1101 Completions'!$C$23:$C$37</c:f>
              <c:numCache>
                <c:formatCode>General</c:formatCode>
                <c:ptCount val="15"/>
                <c:pt idx="0">
                  <c:v>239</c:v>
                </c:pt>
                <c:pt idx="1">
                  <c:v>239</c:v>
                </c:pt>
                <c:pt idx="2">
                  <c:v>239</c:v>
                </c:pt>
                <c:pt idx="3">
                  <c:v>239</c:v>
                </c:pt>
                <c:pt idx="4">
                  <c:v>239</c:v>
                </c:pt>
                <c:pt idx="5">
                  <c:v>239</c:v>
                </c:pt>
                <c:pt idx="6">
                  <c:v>239</c:v>
                </c:pt>
                <c:pt idx="7">
                  <c:v>239</c:v>
                </c:pt>
                <c:pt idx="8">
                  <c:v>239</c:v>
                </c:pt>
                <c:pt idx="9">
                  <c:v>239</c:v>
                </c:pt>
                <c:pt idx="10">
                  <c:v>239</c:v>
                </c:pt>
                <c:pt idx="11">
                  <c:v>242</c:v>
                </c:pt>
                <c:pt idx="12">
                  <c:v>242</c:v>
                </c:pt>
                <c:pt idx="13">
                  <c:v>242</c:v>
                </c:pt>
                <c:pt idx="14">
                  <c:v>242</c:v>
                </c:pt>
              </c:numCache>
            </c:numRef>
          </c:val>
          <c:smooth val="0"/>
          <c:extLst xmlns:c16r2="http://schemas.microsoft.com/office/drawing/2015/06/chart">
            <c:ext xmlns:c16="http://schemas.microsoft.com/office/drawing/2014/chart" uri="{C3380CC4-5D6E-409C-BE32-E72D297353CC}">
              <c16:uniqueId val="{00000001-9702-41CE-A7CE-46657F5A6AD3}"/>
            </c:ext>
          </c:extLst>
        </c:ser>
        <c:dLbls>
          <c:showLegendKey val="0"/>
          <c:showVal val="0"/>
          <c:showCatName val="0"/>
          <c:showSerName val="0"/>
          <c:showPercent val="0"/>
          <c:showBubbleSize val="0"/>
        </c:dLbls>
        <c:marker val="1"/>
        <c:smooth val="0"/>
        <c:axId val="500625176"/>
        <c:axId val="500623216"/>
      </c:lineChart>
      <c:catAx>
        <c:axId val="500625176"/>
        <c:scaling>
          <c:orientation val="minMax"/>
        </c:scaling>
        <c:delete val="0"/>
        <c:axPos val="b"/>
        <c:numFmt formatCode="General" sourceLinked="0"/>
        <c:majorTickMark val="out"/>
        <c:minorTickMark val="none"/>
        <c:tickLblPos val="nextTo"/>
        <c:crossAx val="500623216"/>
        <c:crosses val="autoZero"/>
        <c:auto val="1"/>
        <c:lblAlgn val="ctr"/>
        <c:lblOffset val="100"/>
        <c:noMultiLvlLbl val="0"/>
      </c:catAx>
      <c:valAx>
        <c:axId val="500623216"/>
        <c:scaling>
          <c:orientation val="minMax"/>
        </c:scaling>
        <c:delete val="0"/>
        <c:axPos val="l"/>
        <c:majorGridlines/>
        <c:numFmt formatCode="General" sourceLinked="1"/>
        <c:majorTickMark val="out"/>
        <c:minorTickMark val="none"/>
        <c:tickLblPos val="nextTo"/>
        <c:crossAx val="500625176"/>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7C2EE-943A-41CA-8276-60A1EF0AA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SHMA Template V2</Template>
  <TotalTime>1</TotalTime>
  <Pages>1</Pages>
  <Words>39965</Words>
  <Characters>227805</Characters>
  <Application>Microsoft Office Word</Application>
  <DocSecurity>0</DocSecurity>
  <Lines>1898</Lines>
  <Paragraphs>534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267236</CharactersWithSpaces>
  <SharedDoc>false</SharedDoc>
  <HLinks>
    <vt:vector size="816" baseType="variant">
      <vt:variant>
        <vt:i4>1179700</vt:i4>
      </vt:variant>
      <vt:variant>
        <vt:i4>773</vt:i4>
      </vt:variant>
      <vt:variant>
        <vt:i4>0</vt:i4>
      </vt:variant>
      <vt:variant>
        <vt:i4>5</vt:i4>
      </vt:variant>
      <vt:variant>
        <vt:lpwstr/>
      </vt:variant>
      <vt:variant>
        <vt:lpwstr>_Toc373354151</vt:lpwstr>
      </vt:variant>
      <vt:variant>
        <vt:i4>2031676</vt:i4>
      </vt:variant>
      <vt:variant>
        <vt:i4>764</vt:i4>
      </vt:variant>
      <vt:variant>
        <vt:i4>0</vt:i4>
      </vt:variant>
      <vt:variant>
        <vt:i4>5</vt:i4>
      </vt:variant>
      <vt:variant>
        <vt:lpwstr/>
      </vt:variant>
      <vt:variant>
        <vt:lpwstr>_Toc373493589</vt:lpwstr>
      </vt:variant>
      <vt:variant>
        <vt:i4>2031676</vt:i4>
      </vt:variant>
      <vt:variant>
        <vt:i4>758</vt:i4>
      </vt:variant>
      <vt:variant>
        <vt:i4>0</vt:i4>
      </vt:variant>
      <vt:variant>
        <vt:i4>5</vt:i4>
      </vt:variant>
      <vt:variant>
        <vt:lpwstr/>
      </vt:variant>
      <vt:variant>
        <vt:lpwstr>_Toc373493588</vt:lpwstr>
      </vt:variant>
      <vt:variant>
        <vt:i4>2031676</vt:i4>
      </vt:variant>
      <vt:variant>
        <vt:i4>752</vt:i4>
      </vt:variant>
      <vt:variant>
        <vt:i4>0</vt:i4>
      </vt:variant>
      <vt:variant>
        <vt:i4>5</vt:i4>
      </vt:variant>
      <vt:variant>
        <vt:lpwstr/>
      </vt:variant>
      <vt:variant>
        <vt:lpwstr>_Toc373493587</vt:lpwstr>
      </vt:variant>
      <vt:variant>
        <vt:i4>2031676</vt:i4>
      </vt:variant>
      <vt:variant>
        <vt:i4>746</vt:i4>
      </vt:variant>
      <vt:variant>
        <vt:i4>0</vt:i4>
      </vt:variant>
      <vt:variant>
        <vt:i4>5</vt:i4>
      </vt:variant>
      <vt:variant>
        <vt:lpwstr/>
      </vt:variant>
      <vt:variant>
        <vt:lpwstr>_Toc373493586</vt:lpwstr>
      </vt:variant>
      <vt:variant>
        <vt:i4>2031676</vt:i4>
      </vt:variant>
      <vt:variant>
        <vt:i4>740</vt:i4>
      </vt:variant>
      <vt:variant>
        <vt:i4>0</vt:i4>
      </vt:variant>
      <vt:variant>
        <vt:i4>5</vt:i4>
      </vt:variant>
      <vt:variant>
        <vt:lpwstr/>
      </vt:variant>
      <vt:variant>
        <vt:lpwstr>_Toc373493585</vt:lpwstr>
      </vt:variant>
      <vt:variant>
        <vt:i4>2031676</vt:i4>
      </vt:variant>
      <vt:variant>
        <vt:i4>734</vt:i4>
      </vt:variant>
      <vt:variant>
        <vt:i4>0</vt:i4>
      </vt:variant>
      <vt:variant>
        <vt:i4>5</vt:i4>
      </vt:variant>
      <vt:variant>
        <vt:lpwstr/>
      </vt:variant>
      <vt:variant>
        <vt:lpwstr>_Toc373493584</vt:lpwstr>
      </vt:variant>
      <vt:variant>
        <vt:i4>2031676</vt:i4>
      </vt:variant>
      <vt:variant>
        <vt:i4>728</vt:i4>
      </vt:variant>
      <vt:variant>
        <vt:i4>0</vt:i4>
      </vt:variant>
      <vt:variant>
        <vt:i4>5</vt:i4>
      </vt:variant>
      <vt:variant>
        <vt:lpwstr/>
      </vt:variant>
      <vt:variant>
        <vt:lpwstr>_Toc373493583</vt:lpwstr>
      </vt:variant>
      <vt:variant>
        <vt:i4>2031676</vt:i4>
      </vt:variant>
      <vt:variant>
        <vt:i4>722</vt:i4>
      </vt:variant>
      <vt:variant>
        <vt:i4>0</vt:i4>
      </vt:variant>
      <vt:variant>
        <vt:i4>5</vt:i4>
      </vt:variant>
      <vt:variant>
        <vt:lpwstr/>
      </vt:variant>
      <vt:variant>
        <vt:lpwstr>_Toc373493582</vt:lpwstr>
      </vt:variant>
      <vt:variant>
        <vt:i4>2031676</vt:i4>
      </vt:variant>
      <vt:variant>
        <vt:i4>716</vt:i4>
      </vt:variant>
      <vt:variant>
        <vt:i4>0</vt:i4>
      </vt:variant>
      <vt:variant>
        <vt:i4>5</vt:i4>
      </vt:variant>
      <vt:variant>
        <vt:lpwstr/>
      </vt:variant>
      <vt:variant>
        <vt:lpwstr>_Toc373493581</vt:lpwstr>
      </vt:variant>
      <vt:variant>
        <vt:i4>2031676</vt:i4>
      </vt:variant>
      <vt:variant>
        <vt:i4>710</vt:i4>
      </vt:variant>
      <vt:variant>
        <vt:i4>0</vt:i4>
      </vt:variant>
      <vt:variant>
        <vt:i4>5</vt:i4>
      </vt:variant>
      <vt:variant>
        <vt:lpwstr/>
      </vt:variant>
      <vt:variant>
        <vt:lpwstr>_Toc373493580</vt:lpwstr>
      </vt:variant>
      <vt:variant>
        <vt:i4>1048636</vt:i4>
      </vt:variant>
      <vt:variant>
        <vt:i4>704</vt:i4>
      </vt:variant>
      <vt:variant>
        <vt:i4>0</vt:i4>
      </vt:variant>
      <vt:variant>
        <vt:i4>5</vt:i4>
      </vt:variant>
      <vt:variant>
        <vt:lpwstr/>
      </vt:variant>
      <vt:variant>
        <vt:lpwstr>_Toc373493579</vt:lpwstr>
      </vt:variant>
      <vt:variant>
        <vt:i4>1048636</vt:i4>
      </vt:variant>
      <vt:variant>
        <vt:i4>695</vt:i4>
      </vt:variant>
      <vt:variant>
        <vt:i4>0</vt:i4>
      </vt:variant>
      <vt:variant>
        <vt:i4>5</vt:i4>
      </vt:variant>
      <vt:variant>
        <vt:lpwstr/>
      </vt:variant>
      <vt:variant>
        <vt:lpwstr>_Toc373493578</vt:lpwstr>
      </vt:variant>
      <vt:variant>
        <vt:i4>1048636</vt:i4>
      </vt:variant>
      <vt:variant>
        <vt:i4>689</vt:i4>
      </vt:variant>
      <vt:variant>
        <vt:i4>0</vt:i4>
      </vt:variant>
      <vt:variant>
        <vt:i4>5</vt:i4>
      </vt:variant>
      <vt:variant>
        <vt:lpwstr/>
      </vt:variant>
      <vt:variant>
        <vt:lpwstr>_Toc373493577</vt:lpwstr>
      </vt:variant>
      <vt:variant>
        <vt:i4>1048636</vt:i4>
      </vt:variant>
      <vt:variant>
        <vt:i4>683</vt:i4>
      </vt:variant>
      <vt:variant>
        <vt:i4>0</vt:i4>
      </vt:variant>
      <vt:variant>
        <vt:i4>5</vt:i4>
      </vt:variant>
      <vt:variant>
        <vt:lpwstr/>
      </vt:variant>
      <vt:variant>
        <vt:lpwstr>_Toc373493576</vt:lpwstr>
      </vt:variant>
      <vt:variant>
        <vt:i4>1048636</vt:i4>
      </vt:variant>
      <vt:variant>
        <vt:i4>677</vt:i4>
      </vt:variant>
      <vt:variant>
        <vt:i4>0</vt:i4>
      </vt:variant>
      <vt:variant>
        <vt:i4>5</vt:i4>
      </vt:variant>
      <vt:variant>
        <vt:lpwstr/>
      </vt:variant>
      <vt:variant>
        <vt:lpwstr>_Toc373493575</vt:lpwstr>
      </vt:variant>
      <vt:variant>
        <vt:i4>1048636</vt:i4>
      </vt:variant>
      <vt:variant>
        <vt:i4>671</vt:i4>
      </vt:variant>
      <vt:variant>
        <vt:i4>0</vt:i4>
      </vt:variant>
      <vt:variant>
        <vt:i4>5</vt:i4>
      </vt:variant>
      <vt:variant>
        <vt:lpwstr/>
      </vt:variant>
      <vt:variant>
        <vt:lpwstr>_Toc373493574</vt:lpwstr>
      </vt:variant>
      <vt:variant>
        <vt:i4>1048636</vt:i4>
      </vt:variant>
      <vt:variant>
        <vt:i4>665</vt:i4>
      </vt:variant>
      <vt:variant>
        <vt:i4>0</vt:i4>
      </vt:variant>
      <vt:variant>
        <vt:i4>5</vt:i4>
      </vt:variant>
      <vt:variant>
        <vt:lpwstr/>
      </vt:variant>
      <vt:variant>
        <vt:lpwstr>_Toc373493573</vt:lpwstr>
      </vt:variant>
      <vt:variant>
        <vt:i4>1048636</vt:i4>
      </vt:variant>
      <vt:variant>
        <vt:i4>659</vt:i4>
      </vt:variant>
      <vt:variant>
        <vt:i4>0</vt:i4>
      </vt:variant>
      <vt:variant>
        <vt:i4>5</vt:i4>
      </vt:variant>
      <vt:variant>
        <vt:lpwstr/>
      </vt:variant>
      <vt:variant>
        <vt:lpwstr>_Toc373493572</vt:lpwstr>
      </vt:variant>
      <vt:variant>
        <vt:i4>1048636</vt:i4>
      </vt:variant>
      <vt:variant>
        <vt:i4>653</vt:i4>
      </vt:variant>
      <vt:variant>
        <vt:i4>0</vt:i4>
      </vt:variant>
      <vt:variant>
        <vt:i4>5</vt:i4>
      </vt:variant>
      <vt:variant>
        <vt:lpwstr/>
      </vt:variant>
      <vt:variant>
        <vt:lpwstr>_Toc373493571</vt:lpwstr>
      </vt:variant>
      <vt:variant>
        <vt:i4>1048636</vt:i4>
      </vt:variant>
      <vt:variant>
        <vt:i4>647</vt:i4>
      </vt:variant>
      <vt:variant>
        <vt:i4>0</vt:i4>
      </vt:variant>
      <vt:variant>
        <vt:i4>5</vt:i4>
      </vt:variant>
      <vt:variant>
        <vt:lpwstr/>
      </vt:variant>
      <vt:variant>
        <vt:lpwstr>_Toc373493570</vt:lpwstr>
      </vt:variant>
      <vt:variant>
        <vt:i4>1114172</vt:i4>
      </vt:variant>
      <vt:variant>
        <vt:i4>641</vt:i4>
      </vt:variant>
      <vt:variant>
        <vt:i4>0</vt:i4>
      </vt:variant>
      <vt:variant>
        <vt:i4>5</vt:i4>
      </vt:variant>
      <vt:variant>
        <vt:lpwstr/>
      </vt:variant>
      <vt:variant>
        <vt:lpwstr>_Toc373493569</vt:lpwstr>
      </vt:variant>
      <vt:variant>
        <vt:i4>1114172</vt:i4>
      </vt:variant>
      <vt:variant>
        <vt:i4>635</vt:i4>
      </vt:variant>
      <vt:variant>
        <vt:i4>0</vt:i4>
      </vt:variant>
      <vt:variant>
        <vt:i4>5</vt:i4>
      </vt:variant>
      <vt:variant>
        <vt:lpwstr/>
      </vt:variant>
      <vt:variant>
        <vt:lpwstr>_Toc373493568</vt:lpwstr>
      </vt:variant>
      <vt:variant>
        <vt:i4>1114172</vt:i4>
      </vt:variant>
      <vt:variant>
        <vt:i4>629</vt:i4>
      </vt:variant>
      <vt:variant>
        <vt:i4>0</vt:i4>
      </vt:variant>
      <vt:variant>
        <vt:i4>5</vt:i4>
      </vt:variant>
      <vt:variant>
        <vt:lpwstr/>
      </vt:variant>
      <vt:variant>
        <vt:lpwstr>_Toc373493567</vt:lpwstr>
      </vt:variant>
      <vt:variant>
        <vt:i4>1114172</vt:i4>
      </vt:variant>
      <vt:variant>
        <vt:i4>623</vt:i4>
      </vt:variant>
      <vt:variant>
        <vt:i4>0</vt:i4>
      </vt:variant>
      <vt:variant>
        <vt:i4>5</vt:i4>
      </vt:variant>
      <vt:variant>
        <vt:lpwstr/>
      </vt:variant>
      <vt:variant>
        <vt:lpwstr>_Toc373493566</vt:lpwstr>
      </vt:variant>
      <vt:variant>
        <vt:i4>1114172</vt:i4>
      </vt:variant>
      <vt:variant>
        <vt:i4>617</vt:i4>
      </vt:variant>
      <vt:variant>
        <vt:i4>0</vt:i4>
      </vt:variant>
      <vt:variant>
        <vt:i4>5</vt:i4>
      </vt:variant>
      <vt:variant>
        <vt:lpwstr/>
      </vt:variant>
      <vt:variant>
        <vt:lpwstr>_Toc373493565</vt:lpwstr>
      </vt:variant>
      <vt:variant>
        <vt:i4>1114172</vt:i4>
      </vt:variant>
      <vt:variant>
        <vt:i4>611</vt:i4>
      </vt:variant>
      <vt:variant>
        <vt:i4>0</vt:i4>
      </vt:variant>
      <vt:variant>
        <vt:i4>5</vt:i4>
      </vt:variant>
      <vt:variant>
        <vt:lpwstr/>
      </vt:variant>
      <vt:variant>
        <vt:lpwstr>_Toc373493564</vt:lpwstr>
      </vt:variant>
      <vt:variant>
        <vt:i4>1114172</vt:i4>
      </vt:variant>
      <vt:variant>
        <vt:i4>605</vt:i4>
      </vt:variant>
      <vt:variant>
        <vt:i4>0</vt:i4>
      </vt:variant>
      <vt:variant>
        <vt:i4>5</vt:i4>
      </vt:variant>
      <vt:variant>
        <vt:lpwstr/>
      </vt:variant>
      <vt:variant>
        <vt:lpwstr>_Toc373493563</vt:lpwstr>
      </vt:variant>
      <vt:variant>
        <vt:i4>1114172</vt:i4>
      </vt:variant>
      <vt:variant>
        <vt:i4>599</vt:i4>
      </vt:variant>
      <vt:variant>
        <vt:i4>0</vt:i4>
      </vt:variant>
      <vt:variant>
        <vt:i4>5</vt:i4>
      </vt:variant>
      <vt:variant>
        <vt:lpwstr/>
      </vt:variant>
      <vt:variant>
        <vt:lpwstr>_Toc373493562</vt:lpwstr>
      </vt:variant>
      <vt:variant>
        <vt:i4>1114172</vt:i4>
      </vt:variant>
      <vt:variant>
        <vt:i4>593</vt:i4>
      </vt:variant>
      <vt:variant>
        <vt:i4>0</vt:i4>
      </vt:variant>
      <vt:variant>
        <vt:i4>5</vt:i4>
      </vt:variant>
      <vt:variant>
        <vt:lpwstr/>
      </vt:variant>
      <vt:variant>
        <vt:lpwstr>_Toc373493561</vt:lpwstr>
      </vt:variant>
      <vt:variant>
        <vt:i4>1114172</vt:i4>
      </vt:variant>
      <vt:variant>
        <vt:i4>587</vt:i4>
      </vt:variant>
      <vt:variant>
        <vt:i4>0</vt:i4>
      </vt:variant>
      <vt:variant>
        <vt:i4>5</vt:i4>
      </vt:variant>
      <vt:variant>
        <vt:lpwstr/>
      </vt:variant>
      <vt:variant>
        <vt:lpwstr>_Toc373493560</vt:lpwstr>
      </vt:variant>
      <vt:variant>
        <vt:i4>1179708</vt:i4>
      </vt:variant>
      <vt:variant>
        <vt:i4>581</vt:i4>
      </vt:variant>
      <vt:variant>
        <vt:i4>0</vt:i4>
      </vt:variant>
      <vt:variant>
        <vt:i4>5</vt:i4>
      </vt:variant>
      <vt:variant>
        <vt:lpwstr/>
      </vt:variant>
      <vt:variant>
        <vt:lpwstr>_Toc373493559</vt:lpwstr>
      </vt:variant>
      <vt:variant>
        <vt:i4>1179708</vt:i4>
      </vt:variant>
      <vt:variant>
        <vt:i4>575</vt:i4>
      </vt:variant>
      <vt:variant>
        <vt:i4>0</vt:i4>
      </vt:variant>
      <vt:variant>
        <vt:i4>5</vt:i4>
      </vt:variant>
      <vt:variant>
        <vt:lpwstr/>
      </vt:variant>
      <vt:variant>
        <vt:lpwstr>_Toc373493558</vt:lpwstr>
      </vt:variant>
      <vt:variant>
        <vt:i4>1179708</vt:i4>
      </vt:variant>
      <vt:variant>
        <vt:i4>569</vt:i4>
      </vt:variant>
      <vt:variant>
        <vt:i4>0</vt:i4>
      </vt:variant>
      <vt:variant>
        <vt:i4>5</vt:i4>
      </vt:variant>
      <vt:variant>
        <vt:lpwstr/>
      </vt:variant>
      <vt:variant>
        <vt:lpwstr>_Toc373493557</vt:lpwstr>
      </vt:variant>
      <vt:variant>
        <vt:i4>1179708</vt:i4>
      </vt:variant>
      <vt:variant>
        <vt:i4>563</vt:i4>
      </vt:variant>
      <vt:variant>
        <vt:i4>0</vt:i4>
      </vt:variant>
      <vt:variant>
        <vt:i4>5</vt:i4>
      </vt:variant>
      <vt:variant>
        <vt:lpwstr/>
      </vt:variant>
      <vt:variant>
        <vt:lpwstr>_Toc373493556</vt:lpwstr>
      </vt:variant>
      <vt:variant>
        <vt:i4>1179708</vt:i4>
      </vt:variant>
      <vt:variant>
        <vt:i4>557</vt:i4>
      </vt:variant>
      <vt:variant>
        <vt:i4>0</vt:i4>
      </vt:variant>
      <vt:variant>
        <vt:i4>5</vt:i4>
      </vt:variant>
      <vt:variant>
        <vt:lpwstr/>
      </vt:variant>
      <vt:variant>
        <vt:lpwstr>_Toc373493555</vt:lpwstr>
      </vt:variant>
      <vt:variant>
        <vt:i4>1179708</vt:i4>
      </vt:variant>
      <vt:variant>
        <vt:i4>551</vt:i4>
      </vt:variant>
      <vt:variant>
        <vt:i4>0</vt:i4>
      </vt:variant>
      <vt:variant>
        <vt:i4>5</vt:i4>
      </vt:variant>
      <vt:variant>
        <vt:lpwstr/>
      </vt:variant>
      <vt:variant>
        <vt:lpwstr>_Toc373493554</vt:lpwstr>
      </vt:variant>
      <vt:variant>
        <vt:i4>1179708</vt:i4>
      </vt:variant>
      <vt:variant>
        <vt:i4>545</vt:i4>
      </vt:variant>
      <vt:variant>
        <vt:i4>0</vt:i4>
      </vt:variant>
      <vt:variant>
        <vt:i4>5</vt:i4>
      </vt:variant>
      <vt:variant>
        <vt:lpwstr/>
      </vt:variant>
      <vt:variant>
        <vt:lpwstr>_Toc373493553</vt:lpwstr>
      </vt:variant>
      <vt:variant>
        <vt:i4>1179708</vt:i4>
      </vt:variant>
      <vt:variant>
        <vt:i4>539</vt:i4>
      </vt:variant>
      <vt:variant>
        <vt:i4>0</vt:i4>
      </vt:variant>
      <vt:variant>
        <vt:i4>5</vt:i4>
      </vt:variant>
      <vt:variant>
        <vt:lpwstr/>
      </vt:variant>
      <vt:variant>
        <vt:lpwstr>_Toc373493552</vt:lpwstr>
      </vt:variant>
      <vt:variant>
        <vt:i4>1179708</vt:i4>
      </vt:variant>
      <vt:variant>
        <vt:i4>533</vt:i4>
      </vt:variant>
      <vt:variant>
        <vt:i4>0</vt:i4>
      </vt:variant>
      <vt:variant>
        <vt:i4>5</vt:i4>
      </vt:variant>
      <vt:variant>
        <vt:lpwstr/>
      </vt:variant>
      <vt:variant>
        <vt:lpwstr>_Toc373493551</vt:lpwstr>
      </vt:variant>
      <vt:variant>
        <vt:i4>1179708</vt:i4>
      </vt:variant>
      <vt:variant>
        <vt:i4>527</vt:i4>
      </vt:variant>
      <vt:variant>
        <vt:i4>0</vt:i4>
      </vt:variant>
      <vt:variant>
        <vt:i4>5</vt:i4>
      </vt:variant>
      <vt:variant>
        <vt:lpwstr/>
      </vt:variant>
      <vt:variant>
        <vt:lpwstr>_Toc373493550</vt:lpwstr>
      </vt:variant>
      <vt:variant>
        <vt:i4>1245244</vt:i4>
      </vt:variant>
      <vt:variant>
        <vt:i4>521</vt:i4>
      </vt:variant>
      <vt:variant>
        <vt:i4>0</vt:i4>
      </vt:variant>
      <vt:variant>
        <vt:i4>5</vt:i4>
      </vt:variant>
      <vt:variant>
        <vt:lpwstr/>
      </vt:variant>
      <vt:variant>
        <vt:lpwstr>_Toc373493549</vt:lpwstr>
      </vt:variant>
      <vt:variant>
        <vt:i4>1245244</vt:i4>
      </vt:variant>
      <vt:variant>
        <vt:i4>515</vt:i4>
      </vt:variant>
      <vt:variant>
        <vt:i4>0</vt:i4>
      </vt:variant>
      <vt:variant>
        <vt:i4>5</vt:i4>
      </vt:variant>
      <vt:variant>
        <vt:lpwstr/>
      </vt:variant>
      <vt:variant>
        <vt:lpwstr>_Toc373493548</vt:lpwstr>
      </vt:variant>
      <vt:variant>
        <vt:i4>1245244</vt:i4>
      </vt:variant>
      <vt:variant>
        <vt:i4>509</vt:i4>
      </vt:variant>
      <vt:variant>
        <vt:i4>0</vt:i4>
      </vt:variant>
      <vt:variant>
        <vt:i4>5</vt:i4>
      </vt:variant>
      <vt:variant>
        <vt:lpwstr/>
      </vt:variant>
      <vt:variant>
        <vt:lpwstr>_Toc373493547</vt:lpwstr>
      </vt:variant>
      <vt:variant>
        <vt:i4>1245244</vt:i4>
      </vt:variant>
      <vt:variant>
        <vt:i4>503</vt:i4>
      </vt:variant>
      <vt:variant>
        <vt:i4>0</vt:i4>
      </vt:variant>
      <vt:variant>
        <vt:i4>5</vt:i4>
      </vt:variant>
      <vt:variant>
        <vt:lpwstr/>
      </vt:variant>
      <vt:variant>
        <vt:lpwstr>_Toc373493546</vt:lpwstr>
      </vt:variant>
      <vt:variant>
        <vt:i4>1245244</vt:i4>
      </vt:variant>
      <vt:variant>
        <vt:i4>497</vt:i4>
      </vt:variant>
      <vt:variant>
        <vt:i4>0</vt:i4>
      </vt:variant>
      <vt:variant>
        <vt:i4>5</vt:i4>
      </vt:variant>
      <vt:variant>
        <vt:lpwstr/>
      </vt:variant>
      <vt:variant>
        <vt:lpwstr>_Toc373493545</vt:lpwstr>
      </vt:variant>
      <vt:variant>
        <vt:i4>1245244</vt:i4>
      </vt:variant>
      <vt:variant>
        <vt:i4>491</vt:i4>
      </vt:variant>
      <vt:variant>
        <vt:i4>0</vt:i4>
      </vt:variant>
      <vt:variant>
        <vt:i4>5</vt:i4>
      </vt:variant>
      <vt:variant>
        <vt:lpwstr/>
      </vt:variant>
      <vt:variant>
        <vt:lpwstr>_Toc373493544</vt:lpwstr>
      </vt:variant>
      <vt:variant>
        <vt:i4>1245244</vt:i4>
      </vt:variant>
      <vt:variant>
        <vt:i4>485</vt:i4>
      </vt:variant>
      <vt:variant>
        <vt:i4>0</vt:i4>
      </vt:variant>
      <vt:variant>
        <vt:i4>5</vt:i4>
      </vt:variant>
      <vt:variant>
        <vt:lpwstr/>
      </vt:variant>
      <vt:variant>
        <vt:lpwstr>_Toc373493543</vt:lpwstr>
      </vt:variant>
      <vt:variant>
        <vt:i4>1245244</vt:i4>
      </vt:variant>
      <vt:variant>
        <vt:i4>479</vt:i4>
      </vt:variant>
      <vt:variant>
        <vt:i4>0</vt:i4>
      </vt:variant>
      <vt:variant>
        <vt:i4>5</vt:i4>
      </vt:variant>
      <vt:variant>
        <vt:lpwstr/>
      </vt:variant>
      <vt:variant>
        <vt:lpwstr>_Toc373493542</vt:lpwstr>
      </vt:variant>
      <vt:variant>
        <vt:i4>1245244</vt:i4>
      </vt:variant>
      <vt:variant>
        <vt:i4>473</vt:i4>
      </vt:variant>
      <vt:variant>
        <vt:i4>0</vt:i4>
      </vt:variant>
      <vt:variant>
        <vt:i4>5</vt:i4>
      </vt:variant>
      <vt:variant>
        <vt:lpwstr/>
      </vt:variant>
      <vt:variant>
        <vt:lpwstr>_Toc373493541</vt:lpwstr>
      </vt:variant>
      <vt:variant>
        <vt:i4>1245244</vt:i4>
      </vt:variant>
      <vt:variant>
        <vt:i4>467</vt:i4>
      </vt:variant>
      <vt:variant>
        <vt:i4>0</vt:i4>
      </vt:variant>
      <vt:variant>
        <vt:i4>5</vt:i4>
      </vt:variant>
      <vt:variant>
        <vt:lpwstr/>
      </vt:variant>
      <vt:variant>
        <vt:lpwstr>_Toc373493540</vt:lpwstr>
      </vt:variant>
      <vt:variant>
        <vt:i4>1310780</vt:i4>
      </vt:variant>
      <vt:variant>
        <vt:i4>461</vt:i4>
      </vt:variant>
      <vt:variant>
        <vt:i4>0</vt:i4>
      </vt:variant>
      <vt:variant>
        <vt:i4>5</vt:i4>
      </vt:variant>
      <vt:variant>
        <vt:lpwstr/>
      </vt:variant>
      <vt:variant>
        <vt:lpwstr>_Toc373493539</vt:lpwstr>
      </vt:variant>
      <vt:variant>
        <vt:i4>1310780</vt:i4>
      </vt:variant>
      <vt:variant>
        <vt:i4>455</vt:i4>
      </vt:variant>
      <vt:variant>
        <vt:i4>0</vt:i4>
      </vt:variant>
      <vt:variant>
        <vt:i4>5</vt:i4>
      </vt:variant>
      <vt:variant>
        <vt:lpwstr/>
      </vt:variant>
      <vt:variant>
        <vt:lpwstr>_Toc373493538</vt:lpwstr>
      </vt:variant>
      <vt:variant>
        <vt:i4>1310780</vt:i4>
      </vt:variant>
      <vt:variant>
        <vt:i4>449</vt:i4>
      </vt:variant>
      <vt:variant>
        <vt:i4>0</vt:i4>
      </vt:variant>
      <vt:variant>
        <vt:i4>5</vt:i4>
      </vt:variant>
      <vt:variant>
        <vt:lpwstr/>
      </vt:variant>
      <vt:variant>
        <vt:lpwstr>_Toc373493537</vt:lpwstr>
      </vt:variant>
      <vt:variant>
        <vt:i4>1310780</vt:i4>
      </vt:variant>
      <vt:variant>
        <vt:i4>443</vt:i4>
      </vt:variant>
      <vt:variant>
        <vt:i4>0</vt:i4>
      </vt:variant>
      <vt:variant>
        <vt:i4>5</vt:i4>
      </vt:variant>
      <vt:variant>
        <vt:lpwstr/>
      </vt:variant>
      <vt:variant>
        <vt:lpwstr>_Toc373493536</vt:lpwstr>
      </vt:variant>
      <vt:variant>
        <vt:i4>1310780</vt:i4>
      </vt:variant>
      <vt:variant>
        <vt:i4>437</vt:i4>
      </vt:variant>
      <vt:variant>
        <vt:i4>0</vt:i4>
      </vt:variant>
      <vt:variant>
        <vt:i4>5</vt:i4>
      </vt:variant>
      <vt:variant>
        <vt:lpwstr/>
      </vt:variant>
      <vt:variant>
        <vt:lpwstr>_Toc373493535</vt:lpwstr>
      </vt:variant>
      <vt:variant>
        <vt:i4>1310780</vt:i4>
      </vt:variant>
      <vt:variant>
        <vt:i4>431</vt:i4>
      </vt:variant>
      <vt:variant>
        <vt:i4>0</vt:i4>
      </vt:variant>
      <vt:variant>
        <vt:i4>5</vt:i4>
      </vt:variant>
      <vt:variant>
        <vt:lpwstr/>
      </vt:variant>
      <vt:variant>
        <vt:lpwstr>_Toc373493534</vt:lpwstr>
      </vt:variant>
      <vt:variant>
        <vt:i4>1310780</vt:i4>
      </vt:variant>
      <vt:variant>
        <vt:i4>425</vt:i4>
      </vt:variant>
      <vt:variant>
        <vt:i4>0</vt:i4>
      </vt:variant>
      <vt:variant>
        <vt:i4>5</vt:i4>
      </vt:variant>
      <vt:variant>
        <vt:lpwstr/>
      </vt:variant>
      <vt:variant>
        <vt:lpwstr>_Toc373493533</vt:lpwstr>
      </vt:variant>
      <vt:variant>
        <vt:i4>1310780</vt:i4>
      </vt:variant>
      <vt:variant>
        <vt:i4>416</vt:i4>
      </vt:variant>
      <vt:variant>
        <vt:i4>0</vt:i4>
      </vt:variant>
      <vt:variant>
        <vt:i4>5</vt:i4>
      </vt:variant>
      <vt:variant>
        <vt:lpwstr/>
      </vt:variant>
      <vt:variant>
        <vt:lpwstr>_Toc373493532</vt:lpwstr>
      </vt:variant>
      <vt:variant>
        <vt:i4>1310780</vt:i4>
      </vt:variant>
      <vt:variant>
        <vt:i4>410</vt:i4>
      </vt:variant>
      <vt:variant>
        <vt:i4>0</vt:i4>
      </vt:variant>
      <vt:variant>
        <vt:i4>5</vt:i4>
      </vt:variant>
      <vt:variant>
        <vt:lpwstr/>
      </vt:variant>
      <vt:variant>
        <vt:lpwstr>_Toc373493531</vt:lpwstr>
      </vt:variant>
      <vt:variant>
        <vt:i4>1310780</vt:i4>
      </vt:variant>
      <vt:variant>
        <vt:i4>404</vt:i4>
      </vt:variant>
      <vt:variant>
        <vt:i4>0</vt:i4>
      </vt:variant>
      <vt:variant>
        <vt:i4>5</vt:i4>
      </vt:variant>
      <vt:variant>
        <vt:lpwstr/>
      </vt:variant>
      <vt:variant>
        <vt:lpwstr>_Toc373493530</vt:lpwstr>
      </vt:variant>
      <vt:variant>
        <vt:i4>1376316</vt:i4>
      </vt:variant>
      <vt:variant>
        <vt:i4>398</vt:i4>
      </vt:variant>
      <vt:variant>
        <vt:i4>0</vt:i4>
      </vt:variant>
      <vt:variant>
        <vt:i4>5</vt:i4>
      </vt:variant>
      <vt:variant>
        <vt:lpwstr/>
      </vt:variant>
      <vt:variant>
        <vt:lpwstr>_Toc373493529</vt:lpwstr>
      </vt:variant>
      <vt:variant>
        <vt:i4>1376316</vt:i4>
      </vt:variant>
      <vt:variant>
        <vt:i4>392</vt:i4>
      </vt:variant>
      <vt:variant>
        <vt:i4>0</vt:i4>
      </vt:variant>
      <vt:variant>
        <vt:i4>5</vt:i4>
      </vt:variant>
      <vt:variant>
        <vt:lpwstr/>
      </vt:variant>
      <vt:variant>
        <vt:lpwstr>_Toc373493528</vt:lpwstr>
      </vt:variant>
      <vt:variant>
        <vt:i4>1376316</vt:i4>
      </vt:variant>
      <vt:variant>
        <vt:i4>386</vt:i4>
      </vt:variant>
      <vt:variant>
        <vt:i4>0</vt:i4>
      </vt:variant>
      <vt:variant>
        <vt:i4>5</vt:i4>
      </vt:variant>
      <vt:variant>
        <vt:lpwstr/>
      </vt:variant>
      <vt:variant>
        <vt:lpwstr>_Toc373493527</vt:lpwstr>
      </vt:variant>
      <vt:variant>
        <vt:i4>1376316</vt:i4>
      </vt:variant>
      <vt:variant>
        <vt:i4>380</vt:i4>
      </vt:variant>
      <vt:variant>
        <vt:i4>0</vt:i4>
      </vt:variant>
      <vt:variant>
        <vt:i4>5</vt:i4>
      </vt:variant>
      <vt:variant>
        <vt:lpwstr/>
      </vt:variant>
      <vt:variant>
        <vt:lpwstr>_Toc373493526</vt:lpwstr>
      </vt:variant>
      <vt:variant>
        <vt:i4>1376316</vt:i4>
      </vt:variant>
      <vt:variant>
        <vt:i4>374</vt:i4>
      </vt:variant>
      <vt:variant>
        <vt:i4>0</vt:i4>
      </vt:variant>
      <vt:variant>
        <vt:i4>5</vt:i4>
      </vt:variant>
      <vt:variant>
        <vt:lpwstr/>
      </vt:variant>
      <vt:variant>
        <vt:lpwstr>_Toc373493525</vt:lpwstr>
      </vt:variant>
      <vt:variant>
        <vt:i4>1376316</vt:i4>
      </vt:variant>
      <vt:variant>
        <vt:i4>368</vt:i4>
      </vt:variant>
      <vt:variant>
        <vt:i4>0</vt:i4>
      </vt:variant>
      <vt:variant>
        <vt:i4>5</vt:i4>
      </vt:variant>
      <vt:variant>
        <vt:lpwstr/>
      </vt:variant>
      <vt:variant>
        <vt:lpwstr>_Toc373493524</vt:lpwstr>
      </vt:variant>
      <vt:variant>
        <vt:i4>1376316</vt:i4>
      </vt:variant>
      <vt:variant>
        <vt:i4>362</vt:i4>
      </vt:variant>
      <vt:variant>
        <vt:i4>0</vt:i4>
      </vt:variant>
      <vt:variant>
        <vt:i4>5</vt:i4>
      </vt:variant>
      <vt:variant>
        <vt:lpwstr/>
      </vt:variant>
      <vt:variant>
        <vt:lpwstr>_Toc373493523</vt:lpwstr>
      </vt:variant>
      <vt:variant>
        <vt:i4>1376316</vt:i4>
      </vt:variant>
      <vt:variant>
        <vt:i4>356</vt:i4>
      </vt:variant>
      <vt:variant>
        <vt:i4>0</vt:i4>
      </vt:variant>
      <vt:variant>
        <vt:i4>5</vt:i4>
      </vt:variant>
      <vt:variant>
        <vt:lpwstr/>
      </vt:variant>
      <vt:variant>
        <vt:lpwstr>_Toc373493522</vt:lpwstr>
      </vt:variant>
      <vt:variant>
        <vt:i4>1376316</vt:i4>
      </vt:variant>
      <vt:variant>
        <vt:i4>350</vt:i4>
      </vt:variant>
      <vt:variant>
        <vt:i4>0</vt:i4>
      </vt:variant>
      <vt:variant>
        <vt:i4>5</vt:i4>
      </vt:variant>
      <vt:variant>
        <vt:lpwstr/>
      </vt:variant>
      <vt:variant>
        <vt:lpwstr>_Toc373493521</vt:lpwstr>
      </vt:variant>
      <vt:variant>
        <vt:i4>1376316</vt:i4>
      </vt:variant>
      <vt:variant>
        <vt:i4>344</vt:i4>
      </vt:variant>
      <vt:variant>
        <vt:i4>0</vt:i4>
      </vt:variant>
      <vt:variant>
        <vt:i4>5</vt:i4>
      </vt:variant>
      <vt:variant>
        <vt:lpwstr/>
      </vt:variant>
      <vt:variant>
        <vt:lpwstr>_Toc373493520</vt:lpwstr>
      </vt:variant>
      <vt:variant>
        <vt:i4>1441852</vt:i4>
      </vt:variant>
      <vt:variant>
        <vt:i4>338</vt:i4>
      </vt:variant>
      <vt:variant>
        <vt:i4>0</vt:i4>
      </vt:variant>
      <vt:variant>
        <vt:i4>5</vt:i4>
      </vt:variant>
      <vt:variant>
        <vt:lpwstr/>
      </vt:variant>
      <vt:variant>
        <vt:lpwstr>_Toc373493519</vt:lpwstr>
      </vt:variant>
      <vt:variant>
        <vt:i4>1441852</vt:i4>
      </vt:variant>
      <vt:variant>
        <vt:i4>332</vt:i4>
      </vt:variant>
      <vt:variant>
        <vt:i4>0</vt:i4>
      </vt:variant>
      <vt:variant>
        <vt:i4>5</vt:i4>
      </vt:variant>
      <vt:variant>
        <vt:lpwstr/>
      </vt:variant>
      <vt:variant>
        <vt:lpwstr>_Toc373493518</vt:lpwstr>
      </vt:variant>
      <vt:variant>
        <vt:i4>1441852</vt:i4>
      </vt:variant>
      <vt:variant>
        <vt:i4>326</vt:i4>
      </vt:variant>
      <vt:variant>
        <vt:i4>0</vt:i4>
      </vt:variant>
      <vt:variant>
        <vt:i4>5</vt:i4>
      </vt:variant>
      <vt:variant>
        <vt:lpwstr/>
      </vt:variant>
      <vt:variant>
        <vt:lpwstr>_Toc373493517</vt:lpwstr>
      </vt:variant>
      <vt:variant>
        <vt:i4>1441852</vt:i4>
      </vt:variant>
      <vt:variant>
        <vt:i4>320</vt:i4>
      </vt:variant>
      <vt:variant>
        <vt:i4>0</vt:i4>
      </vt:variant>
      <vt:variant>
        <vt:i4>5</vt:i4>
      </vt:variant>
      <vt:variant>
        <vt:lpwstr/>
      </vt:variant>
      <vt:variant>
        <vt:lpwstr>_Toc373493516</vt:lpwstr>
      </vt:variant>
      <vt:variant>
        <vt:i4>1441852</vt:i4>
      </vt:variant>
      <vt:variant>
        <vt:i4>314</vt:i4>
      </vt:variant>
      <vt:variant>
        <vt:i4>0</vt:i4>
      </vt:variant>
      <vt:variant>
        <vt:i4>5</vt:i4>
      </vt:variant>
      <vt:variant>
        <vt:lpwstr/>
      </vt:variant>
      <vt:variant>
        <vt:lpwstr>_Toc373493515</vt:lpwstr>
      </vt:variant>
      <vt:variant>
        <vt:i4>1441852</vt:i4>
      </vt:variant>
      <vt:variant>
        <vt:i4>308</vt:i4>
      </vt:variant>
      <vt:variant>
        <vt:i4>0</vt:i4>
      </vt:variant>
      <vt:variant>
        <vt:i4>5</vt:i4>
      </vt:variant>
      <vt:variant>
        <vt:lpwstr/>
      </vt:variant>
      <vt:variant>
        <vt:lpwstr>_Toc373493514</vt:lpwstr>
      </vt:variant>
      <vt:variant>
        <vt:i4>1441852</vt:i4>
      </vt:variant>
      <vt:variant>
        <vt:i4>302</vt:i4>
      </vt:variant>
      <vt:variant>
        <vt:i4>0</vt:i4>
      </vt:variant>
      <vt:variant>
        <vt:i4>5</vt:i4>
      </vt:variant>
      <vt:variant>
        <vt:lpwstr/>
      </vt:variant>
      <vt:variant>
        <vt:lpwstr>_Toc373493513</vt:lpwstr>
      </vt:variant>
      <vt:variant>
        <vt:i4>1441852</vt:i4>
      </vt:variant>
      <vt:variant>
        <vt:i4>296</vt:i4>
      </vt:variant>
      <vt:variant>
        <vt:i4>0</vt:i4>
      </vt:variant>
      <vt:variant>
        <vt:i4>5</vt:i4>
      </vt:variant>
      <vt:variant>
        <vt:lpwstr/>
      </vt:variant>
      <vt:variant>
        <vt:lpwstr>_Toc373493512</vt:lpwstr>
      </vt:variant>
      <vt:variant>
        <vt:i4>1441852</vt:i4>
      </vt:variant>
      <vt:variant>
        <vt:i4>290</vt:i4>
      </vt:variant>
      <vt:variant>
        <vt:i4>0</vt:i4>
      </vt:variant>
      <vt:variant>
        <vt:i4>5</vt:i4>
      </vt:variant>
      <vt:variant>
        <vt:lpwstr/>
      </vt:variant>
      <vt:variant>
        <vt:lpwstr>_Toc373493511</vt:lpwstr>
      </vt:variant>
      <vt:variant>
        <vt:i4>1441852</vt:i4>
      </vt:variant>
      <vt:variant>
        <vt:i4>284</vt:i4>
      </vt:variant>
      <vt:variant>
        <vt:i4>0</vt:i4>
      </vt:variant>
      <vt:variant>
        <vt:i4>5</vt:i4>
      </vt:variant>
      <vt:variant>
        <vt:lpwstr/>
      </vt:variant>
      <vt:variant>
        <vt:lpwstr>_Toc373493510</vt:lpwstr>
      </vt:variant>
      <vt:variant>
        <vt:i4>1507388</vt:i4>
      </vt:variant>
      <vt:variant>
        <vt:i4>278</vt:i4>
      </vt:variant>
      <vt:variant>
        <vt:i4>0</vt:i4>
      </vt:variant>
      <vt:variant>
        <vt:i4>5</vt:i4>
      </vt:variant>
      <vt:variant>
        <vt:lpwstr/>
      </vt:variant>
      <vt:variant>
        <vt:lpwstr>_Toc373493509</vt:lpwstr>
      </vt:variant>
      <vt:variant>
        <vt:i4>1507388</vt:i4>
      </vt:variant>
      <vt:variant>
        <vt:i4>272</vt:i4>
      </vt:variant>
      <vt:variant>
        <vt:i4>0</vt:i4>
      </vt:variant>
      <vt:variant>
        <vt:i4>5</vt:i4>
      </vt:variant>
      <vt:variant>
        <vt:lpwstr/>
      </vt:variant>
      <vt:variant>
        <vt:lpwstr>_Toc373493508</vt:lpwstr>
      </vt:variant>
      <vt:variant>
        <vt:i4>1507388</vt:i4>
      </vt:variant>
      <vt:variant>
        <vt:i4>266</vt:i4>
      </vt:variant>
      <vt:variant>
        <vt:i4>0</vt:i4>
      </vt:variant>
      <vt:variant>
        <vt:i4>5</vt:i4>
      </vt:variant>
      <vt:variant>
        <vt:lpwstr/>
      </vt:variant>
      <vt:variant>
        <vt:lpwstr>_Toc373493507</vt:lpwstr>
      </vt:variant>
      <vt:variant>
        <vt:i4>1507388</vt:i4>
      </vt:variant>
      <vt:variant>
        <vt:i4>260</vt:i4>
      </vt:variant>
      <vt:variant>
        <vt:i4>0</vt:i4>
      </vt:variant>
      <vt:variant>
        <vt:i4>5</vt:i4>
      </vt:variant>
      <vt:variant>
        <vt:lpwstr/>
      </vt:variant>
      <vt:variant>
        <vt:lpwstr>_Toc373493506</vt:lpwstr>
      </vt:variant>
      <vt:variant>
        <vt:i4>1507388</vt:i4>
      </vt:variant>
      <vt:variant>
        <vt:i4>254</vt:i4>
      </vt:variant>
      <vt:variant>
        <vt:i4>0</vt:i4>
      </vt:variant>
      <vt:variant>
        <vt:i4>5</vt:i4>
      </vt:variant>
      <vt:variant>
        <vt:lpwstr/>
      </vt:variant>
      <vt:variant>
        <vt:lpwstr>_Toc373493505</vt:lpwstr>
      </vt:variant>
      <vt:variant>
        <vt:i4>1507388</vt:i4>
      </vt:variant>
      <vt:variant>
        <vt:i4>248</vt:i4>
      </vt:variant>
      <vt:variant>
        <vt:i4>0</vt:i4>
      </vt:variant>
      <vt:variant>
        <vt:i4>5</vt:i4>
      </vt:variant>
      <vt:variant>
        <vt:lpwstr/>
      </vt:variant>
      <vt:variant>
        <vt:lpwstr>_Toc373493504</vt:lpwstr>
      </vt:variant>
      <vt:variant>
        <vt:i4>1507388</vt:i4>
      </vt:variant>
      <vt:variant>
        <vt:i4>242</vt:i4>
      </vt:variant>
      <vt:variant>
        <vt:i4>0</vt:i4>
      </vt:variant>
      <vt:variant>
        <vt:i4>5</vt:i4>
      </vt:variant>
      <vt:variant>
        <vt:lpwstr/>
      </vt:variant>
      <vt:variant>
        <vt:lpwstr>_Toc373493503</vt:lpwstr>
      </vt:variant>
      <vt:variant>
        <vt:i4>1507388</vt:i4>
      </vt:variant>
      <vt:variant>
        <vt:i4>236</vt:i4>
      </vt:variant>
      <vt:variant>
        <vt:i4>0</vt:i4>
      </vt:variant>
      <vt:variant>
        <vt:i4>5</vt:i4>
      </vt:variant>
      <vt:variant>
        <vt:lpwstr/>
      </vt:variant>
      <vt:variant>
        <vt:lpwstr>_Toc373493502</vt:lpwstr>
      </vt:variant>
      <vt:variant>
        <vt:i4>1507388</vt:i4>
      </vt:variant>
      <vt:variant>
        <vt:i4>230</vt:i4>
      </vt:variant>
      <vt:variant>
        <vt:i4>0</vt:i4>
      </vt:variant>
      <vt:variant>
        <vt:i4>5</vt:i4>
      </vt:variant>
      <vt:variant>
        <vt:lpwstr/>
      </vt:variant>
      <vt:variant>
        <vt:lpwstr>_Toc373493501</vt:lpwstr>
      </vt:variant>
      <vt:variant>
        <vt:i4>1507388</vt:i4>
      </vt:variant>
      <vt:variant>
        <vt:i4>224</vt:i4>
      </vt:variant>
      <vt:variant>
        <vt:i4>0</vt:i4>
      </vt:variant>
      <vt:variant>
        <vt:i4>5</vt:i4>
      </vt:variant>
      <vt:variant>
        <vt:lpwstr/>
      </vt:variant>
      <vt:variant>
        <vt:lpwstr>_Toc373493500</vt:lpwstr>
      </vt:variant>
      <vt:variant>
        <vt:i4>1966141</vt:i4>
      </vt:variant>
      <vt:variant>
        <vt:i4>218</vt:i4>
      </vt:variant>
      <vt:variant>
        <vt:i4>0</vt:i4>
      </vt:variant>
      <vt:variant>
        <vt:i4>5</vt:i4>
      </vt:variant>
      <vt:variant>
        <vt:lpwstr/>
      </vt:variant>
      <vt:variant>
        <vt:lpwstr>_Toc373493499</vt:lpwstr>
      </vt:variant>
      <vt:variant>
        <vt:i4>1966141</vt:i4>
      </vt:variant>
      <vt:variant>
        <vt:i4>212</vt:i4>
      </vt:variant>
      <vt:variant>
        <vt:i4>0</vt:i4>
      </vt:variant>
      <vt:variant>
        <vt:i4>5</vt:i4>
      </vt:variant>
      <vt:variant>
        <vt:lpwstr/>
      </vt:variant>
      <vt:variant>
        <vt:lpwstr>_Toc373493498</vt:lpwstr>
      </vt:variant>
      <vt:variant>
        <vt:i4>1966141</vt:i4>
      </vt:variant>
      <vt:variant>
        <vt:i4>206</vt:i4>
      </vt:variant>
      <vt:variant>
        <vt:i4>0</vt:i4>
      </vt:variant>
      <vt:variant>
        <vt:i4>5</vt:i4>
      </vt:variant>
      <vt:variant>
        <vt:lpwstr/>
      </vt:variant>
      <vt:variant>
        <vt:lpwstr>_Toc373493497</vt:lpwstr>
      </vt:variant>
      <vt:variant>
        <vt:i4>1966141</vt:i4>
      </vt:variant>
      <vt:variant>
        <vt:i4>200</vt:i4>
      </vt:variant>
      <vt:variant>
        <vt:i4>0</vt:i4>
      </vt:variant>
      <vt:variant>
        <vt:i4>5</vt:i4>
      </vt:variant>
      <vt:variant>
        <vt:lpwstr/>
      </vt:variant>
      <vt:variant>
        <vt:lpwstr>_Toc373493496</vt:lpwstr>
      </vt:variant>
      <vt:variant>
        <vt:i4>1966141</vt:i4>
      </vt:variant>
      <vt:variant>
        <vt:i4>194</vt:i4>
      </vt:variant>
      <vt:variant>
        <vt:i4>0</vt:i4>
      </vt:variant>
      <vt:variant>
        <vt:i4>5</vt:i4>
      </vt:variant>
      <vt:variant>
        <vt:lpwstr/>
      </vt:variant>
      <vt:variant>
        <vt:lpwstr>_Toc373493495</vt:lpwstr>
      </vt:variant>
      <vt:variant>
        <vt:i4>1966141</vt:i4>
      </vt:variant>
      <vt:variant>
        <vt:i4>188</vt:i4>
      </vt:variant>
      <vt:variant>
        <vt:i4>0</vt:i4>
      </vt:variant>
      <vt:variant>
        <vt:i4>5</vt:i4>
      </vt:variant>
      <vt:variant>
        <vt:lpwstr/>
      </vt:variant>
      <vt:variant>
        <vt:lpwstr>_Toc373493494</vt:lpwstr>
      </vt:variant>
      <vt:variant>
        <vt:i4>1966141</vt:i4>
      </vt:variant>
      <vt:variant>
        <vt:i4>182</vt:i4>
      </vt:variant>
      <vt:variant>
        <vt:i4>0</vt:i4>
      </vt:variant>
      <vt:variant>
        <vt:i4>5</vt:i4>
      </vt:variant>
      <vt:variant>
        <vt:lpwstr/>
      </vt:variant>
      <vt:variant>
        <vt:lpwstr>_Toc373493493</vt:lpwstr>
      </vt:variant>
      <vt:variant>
        <vt:i4>1966141</vt:i4>
      </vt:variant>
      <vt:variant>
        <vt:i4>176</vt:i4>
      </vt:variant>
      <vt:variant>
        <vt:i4>0</vt:i4>
      </vt:variant>
      <vt:variant>
        <vt:i4>5</vt:i4>
      </vt:variant>
      <vt:variant>
        <vt:lpwstr/>
      </vt:variant>
      <vt:variant>
        <vt:lpwstr>_Toc373493492</vt:lpwstr>
      </vt:variant>
      <vt:variant>
        <vt:i4>1966141</vt:i4>
      </vt:variant>
      <vt:variant>
        <vt:i4>170</vt:i4>
      </vt:variant>
      <vt:variant>
        <vt:i4>0</vt:i4>
      </vt:variant>
      <vt:variant>
        <vt:i4>5</vt:i4>
      </vt:variant>
      <vt:variant>
        <vt:lpwstr/>
      </vt:variant>
      <vt:variant>
        <vt:lpwstr>_Toc373493491</vt:lpwstr>
      </vt:variant>
      <vt:variant>
        <vt:i4>1966141</vt:i4>
      </vt:variant>
      <vt:variant>
        <vt:i4>164</vt:i4>
      </vt:variant>
      <vt:variant>
        <vt:i4>0</vt:i4>
      </vt:variant>
      <vt:variant>
        <vt:i4>5</vt:i4>
      </vt:variant>
      <vt:variant>
        <vt:lpwstr/>
      </vt:variant>
      <vt:variant>
        <vt:lpwstr>_Toc373493490</vt:lpwstr>
      </vt:variant>
      <vt:variant>
        <vt:i4>2031677</vt:i4>
      </vt:variant>
      <vt:variant>
        <vt:i4>158</vt:i4>
      </vt:variant>
      <vt:variant>
        <vt:i4>0</vt:i4>
      </vt:variant>
      <vt:variant>
        <vt:i4>5</vt:i4>
      </vt:variant>
      <vt:variant>
        <vt:lpwstr/>
      </vt:variant>
      <vt:variant>
        <vt:lpwstr>_Toc373493489</vt:lpwstr>
      </vt:variant>
      <vt:variant>
        <vt:i4>2031677</vt:i4>
      </vt:variant>
      <vt:variant>
        <vt:i4>152</vt:i4>
      </vt:variant>
      <vt:variant>
        <vt:i4>0</vt:i4>
      </vt:variant>
      <vt:variant>
        <vt:i4>5</vt:i4>
      </vt:variant>
      <vt:variant>
        <vt:lpwstr/>
      </vt:variant>
      <vt:variant>
        <vt:lpwstr>_Toc373493488</vt:lpwstr>
      </vt:variant>
      <vt:variant>
        <vt:i4>2031677</vt:i4>
      </vt:variant>
      <vt:variant>
        <vt:i4>146</vt:i4>
      </vt:variant>
      <vt:variant>
        <vt:i4>0</vt:i4>
      </vt:variant>
      <vt:variant>
        <vt:i4>5</vt:i4>
      </vt:variant>
      <vt:variant>
        <vt:lpwstr/>
      </vt:variant>
      <vt:variant>
        <vt:lpwstr>_Toc373493487</vt:lpwstr>
      </vt:variant>
      <vt:variant>
        <vt:i4>2031677</vt:i4>
      </vt:variant>
      <vt:variant>
        <vt:i4>140</vt:i4>
      </vt:variant>
      <vt:variant>
        <vt:i4>0</vt:i4>
      </vt:variant>
      <vt:variant>
        <vt:i4>5</vt:i4>
      </vt:variant>
      <vt:variant>
        <vt:lpwstr/>
      </vt:variant>
      <vt:variant>
        <vt:lpwstr>_Toc373493486</vt:lpwstr>
      </vt:variant>
      <vt:variant>
        <vt:i4>2031677</vt:i4>
      </vt:variant>
      <vt:variant>
        <vt:i4>134</vt:i4>
      </vt:variant>
      <vt:variant>
        <vt:i4>0</vt:i4>
      </vt:variant>
      <vt:variant>
        <vt:i4>5</vt:i4>
      </vt:variant>
      <vt:variant>
        <vt:lpwstr/>
      </vt:variant>
      <vt:variant>
        <vt:lpwstr>_Toc373493485</vt:lpwstr>
      </vt:variant>
      <vt:variant>
        <vt:i4>2031677</vt:i4>
      </vt:variant>
      <vt:variant>
        <vt:i4>128</vt:i4>
      </vt:variant>
      <vt:variant>
        <vt:i4>0</vt:i4>
      </vt:variant>
      <vt:variant>
        <vt:i4>5</vt:i4>
      </vt:variant>
      <vt:variant>
        <vt:lpwstr/>
      </vt:variant>
      <vt:variant>
        <vt:lpwstr>_Toc373493484</vt:lpwstr>
      </vt:variant>
      <vt:variant>
        <vt:i4>2031677</vt:i4>
      </vt:variant>
      <vt:variant>
        <vt:i4>122</vt:i4>
      </vt:variant>
      <vt:variant>
        <vt:i4>0</vt:i4>
      </vt:variant>
      <vt:variant>
        <vt:i4>5</vt:i4>
      </vt:variant>
      <vt:variant>
        <vt:lpwstr/>
      </vt:variant>
      <vt:variant>
        <vt:lpwstr>_Toc373493483</vt:lpwstr>
      </vt:variant>
      <vt:variant>
        <vt:i4>2031677</vt:i4>
      </vt:variant>
      <vt:variant>
        <vt:i4>116</vt:i4>
      </vt:variant>
      <vt:variant>
        <vt:i4>0</vt:i4>
      </vt:variant>
      <vt:variant>
        <vt:i4>5</vt:i4>
      </vt:variant>
      <vt:variant>
        <vt:lpwstr/>
      </vt:variant>
      <vt:variant>
        <vt:lpwstr>_Toc373493482</vt:lpwstr>
      </vt:variant>
      <vt:variant>
        <vt:i4>2031677</vt:i4>
      </vt:variant>
      <vt:variant>
        <vt:i4>110</vt:i4>
      </vt:variant>
      <vt:variant>
        <vt:i4>0</vt:i4>
      </vt:variant>
      <vt:variant>
        <vt:i4>5</vt:i4>
      </vt:variant>
      <vt:variant>
        <vt:lpwstr/>
      </vt:variant>
      <vt:variant>
        <vt:lpwstr>_Toc373493481</vt:lpwstr>
      </vt:variant>
      <vt:variant>
        <vt:i4>2031677</vt:i4>
      </vt:variant>
      <vt:variant>
        <vt:i4>104</vt:i4>
      </vt:variant>
      <vt:variant>
        <vt:i4>0</vt:i4>
      </vt:variant>
      <vt:variant>
        <vt:i4>5</vt:i4>
      </vt:variant>
      <vt:variant>
        <vt:lpwstr/>
      </vt:variant>
      <vt:variant>
        <vt:lpwstr>_Toc373493480</vt:lpwstr>
      </vt:variant>
      <vt:variant>
        <vt:i4>1048637</vt:i4>
      </vt:variant>
      <vt:variant>
        <vt:i4>98</vt:i4>
      </vt:variant>
      <vt:variant>
        <vt:i4>0</vt:i4>
      </vt:variant>
      <vt:variant>
        <vt:i4>5</vt:i4>
      </vt:variant>
      <vt:variant>
        <vt:lpwstr/>
      </vt:variant>
      <vt:variant>
        <vt:lpwstr>_Toc373493479</vt:lpwstr>
      </vt:variant>
      <vt:variant>
        <vt:i4>1048637</vt:i4>
      </vt:variant>
      <vt:variant>
        <vt:i4>92</vt:i4>
      </vt:variant>
      <vt:variant>
        <vt:i4>0</vt:i4>
      </vt:variant>
      <vt:variant>
        <vt:i4>5</vt:i4>
      </vt:variant>
      <vt:variant>
        <vt:lpwstr/>
      </vt:variant>
      <vt:variant>
        <vt:lpwstr>_Toc373493478</vt:lpwstr>
      </vt:variant>
      <vt:variant>
        <vt:i4>1048637</vt:i4>
      </vt:variant>
      <vt:variant>
        <vt:i4>86</vt:i4>
      </vt:variant>
      <vt:variant>
        <vt:i4>0</vt:i4>
      </vt:variant>
      <vt:variant>
        <vt:i4>5</vt:i4>
      </vt:variant>
      <vt:variant>
        <vt:lpwstr/>
      </vt:variant>
      <vt:variant>
        <vt:lpwstr>_Toc373493477</vt:lpwstr>
      </vt:variant>
      <vt:variant>
        <vt:i4>1048637</vt:i4>
      </vt:variant>
      <vt:variant>
        <vt:i4>80</vt:i4>
      </vt:variant>
      <vt:variant>
        <vt:i4>0</vt:i4>
      </vt:variant>
      <vt:variant>
        <vt:i4>5</vt:i4>
      </vt:variant>
      <vt:variant>
        <vt:lpwstr/>
      </vt:variant>
      <vt:variant>
        <vt:lpwstr>_Toc373493476</vt:lpwstr>
      </vt:variant>
      <vt:variant>
        <vt:i4>1048637</vt:i4>
      </vt:variant>
      <vt:variant>
        <vt:i4>74</vt:i4>
      </vt:variant>
      <vt:variant>
        <vt:i4>0</vt:i4>
      </vt:variant>
      <vt:variant>
        <vt:i4>5</vt:i4>
      </vt:variant>
      <vt:variant>
        <vt:lpwstr/>
      </vt:variant>
      <vt:variant>
        <vt:lpwstr>_Toc373493475</vt:lpwstr>
      </vt:variant>
      <vt:variant>
        <vt:i4>1048637</vt:i4>
      </vt:variant>
      <vt:variant>
        <vt:i4>68</vt:i4>
      </vt:variant>
      <vt:variant>
        <vt:i4>0</vt:i4>
      </vt:variant>
      <vt:variant>
        <vt:i4>5</vt:i4>
      </vt:variant>
      <vt:variant>
        <vt:lpwstr/>
      </vt:variant>
      <vt:variant>
        <vt:lpwstr>_Toc373493474</vt:lpwstr>
      </vt:variant>
      <vt:variant>
        <vt:i4>1048637</vt:i4>
      </vt:variant>
      <vt:variant>
        <vt:i4>62</vt:i4>
      </vt:variant>
      <vt:variant>
        <vt:i4>0</vt:i4>
      </vt:variant>
      <vt:variant>
        <vt:i4>5</vt:i4>
      </vt:variant>
      <vt:variant>
        <vt:lpwstr/>
      </vt:variant>
      <vt:variant>
        <vt:lpwstr>_Toc373493473</vt:lpwstr>
      </vt:variant>
      <vt:variant>
        <vt:i4>1048637</vt:i4>
      </vt:variant>
      <vt:variant>
        <vt:i4>56</vt:i4>
      </vt:variant>
      <vt:variant>
        <vt:i4>0</vt:i4>
      </vt:variant>
      <vt:variant>
        <vt:i4>5</vt:i4>
      </vt:variant>
      <vt:variant>
        <vt:lpwstr/>
      </vt:variant>
      <vt:variant>
        <vt:lpwstr>_Toc373493472</vt:lpwstr>
      </vt:variant>
      <vt:variant>
        <vt:i4>1048637</vt:i4>
      </vt:variant>
      <vt:variant>
        <vt:i4>50</vt:i4>
      </vt:variant>
      <vt:variant>
        <vt:i4>0</vt:i4>
      </vt:variant>
      <vt:variant>
        <vt:i4>5</vt:i4>
      </vt:variant>
      <vt:variant>
        <vt:lpwstr/>
      </vt:variant>
      <vt:variant>
        <vt:lpwstr>_Toc373493471</vt:lpwstr>
      </vt:variant>
      <vt:variant>
        <vt:i4>1048637</vt:i4>
      </vt:variant>
      <vt:variant>
        <vt:i4>44</vt:i4>
      </vt:variant>
      <vt:variant>
        <vt:i4>0</vt:i4>
      </vt:variant>
      <vt:variant>
        <vt:i4>5</vt:i4>
      </vt:variant>
      <vt:variant>
        <vt:lpwstr/>
      </vt:variant>
      <vt:variant>
        <vt:lpwstr>_Toc373493470</vt:lpwstr>
      </vt:variant>
      <vt:variant>
        <vt:i4>1114173</vt:i4>
      </vt:variant>
      <vt:variant>
        <vt:i4>38</vt:i4>
      </vt:variant>
      <vt:variant>
        <vt:i4>0</vt:i4>
      </vt:variant>
      <vt:variant>
        <vt:i4>5</vt:i4>
      </vt:variant>
      <vt:variant>
        <vt:lpwstr/>
      </vt:variant>
      <vt:variant>
        <vt:lpwstr>_Toc373493469</vt:lpwstr>
      </vt:variant>
      <vt:variant>
        <vt:i4>1114173</vt:i4>
      </vt:variant>
      <vt:variant>
        <vt:i4>32</vt:i4>
      </vt:variant>
      <vt:variant>
        <vt:i4>0</vt:i4>
      </vt:variant>
      <vt:variant>
        <vt:i4>5</vt:i4>
      </vt:variant>
      <vt:variant>
        <vt:lpwstr/>
      </vt:variant>
      <vt:variant>
        <vt:lpwstr>_Toc373493468</vt:lpwstr>
      </vt:variant>
      <vt:variant>
        <vt:i4>1114173</vt:i4>
      </vt:variant>
      <vt:variant>
        <vt:i4>26</vt:i4>
      </vt:variant>
      <vt:variant>
        <vt:i4>0</vt:i4>
      </vt:variant>
      <vt:variant>
        <vt:i4>5</vt:i4>
      </vt:variant>
      <vt:variant>
        <vt:lpwstr/>
      </vt:variant>
      <vt:variant>
        <vt:lpwstr>_Toc373493467</vt:lpwstr>
      </vt:variant>
      <vt:variant>
        <vt:i4>1114173</vt:i4>
      </vt:variant>
      <vt:variant>
        <vt:i4>20</vt:i4>
      </vt:variant>
      <vt:variant>
        <vt:i4>0</vt:i4>
      </vt:variant>
      <vt:variant>
        <vt:i4>5</vt:i4>
      </vt:variant>
      <vt:variant>
        <vt:lpwstr/>
      </vt:variant>
      <vt:variant>
        <vt:lpwstr>_Toc373493466</vt:lpwstr>
      </vt:variant>
      <vt:variant>
        <vt:i4>1114173</vt:i4>
      </vt:variant>
      <vt:variant>
        <vt:i4>14</vt:i4>
      </vt:variant>
      <vt:variant>
        <vt:i4>0</vt:i4>
      </vt:variant>
      <vt:variant>
        <vt:i4>5</vt:i4>
      </vt:variant>
      <vt:variant>
        <vt:lpwstr/>
      </vt:variant>
      <vt:variant>
        <vt:lpwstr>_Toc373493465</vt:lpwstr>
      </vt:variant>
      <vt:variant>
        <vt:i4>1114173</vt:i4>
      </vt:variant>
      <vt:variant>
        <vt:i4>8</vt:i4>
      </vt:variant>
      <vt:variant>
        <vt:i4>0</vt:i4>
      </vt:variant>
      <vt:variant>
        <vt:i4>5</vt:i4>
      </vt:variant>
      <vt:variant>
        <vt:lpwstr/>
      </vt:variant>
      <vt:variant>
        <vt:lpwstr>_Toc373493464</vt:lpwstr>
      </vt:variant>
      <vt:variant>
        <vt:i4>3276848</vt:i4>
      </vt:variant>
      <vt:variant>
        <vt:i4>3</vt:i4>
      </vt:variant>
      <vt:variant>
        <vt:i4>0</vt:i4>
      </vt:variant>
      <vt:variant>
        <vt:i4>5</vt:i4>
      </vt:variant>
      <vt:variant>
        <vt:lpwstr>http://www.arc4.co.uk/</vt:lpwstr>
      </vt:variant>
      <vt:variant>
        <vt:lpwstr/>
      </vt:variant>
      <vt:variant>
        <vt:i4>6094897</vt:i4>
      </vt:variant>
      <vt:variant>
        <vt:i4>0</vt:i4>
      </vt:variant>
      <vt:variant>
        <vt:i4>0</vt:i4>
      </vt:variant>
      <vt:variant>
        <vt:i4>5</vt:i4>
      </vt:variant>
      <vt:variant>
        <vt:lpwstr>mailto:michael.bullock@arc4.co.uk</vt:lpwstr>
      </vt:variant>
      <vt:variant>
        <vt:lpwstr/>
      </vt:variant>
      <vt:variant>
        <vt:i4>2228262</vt:i4>
      </vt:variant>
      <vt:variant>
        <vt:i4>18</vt:i4>
      </vt:variant>
      <vt:variant>
        <vt:i4>0</vt:i4>
      </vt:variant>
      <vt:variant>
        <vt:i4>5</vt:i4>
      </vt:variant>
      <vt:variant>
        <vt:lpwstr>https://www.gov.uk/government/speeches/planning-and-travellers</vt:lpwstr>
      </vt:variant>
      <vt:variant>
        <vt:lpwstr/>
      </vt:variant>
      <vt:variant>
        <vt:i4>327710</vt:i4>
      </vt:variant>
      <vt:variant>
        <vt:i4>15</vt:i4>
      </vt:variant>
      <vt:variant>
        <vt:i4>0</vt:i4>
      </vt:variant>
      <vt:variant>
        <vt:i4>5</vt:i4>
      </vt:variant>
      <vt:variant>
        <vt:lpwstr>http://www.communities.gov.uk/news/corporate/2124322</vt:lpwstr>
      </vt:variant>
      <vt:variant>
        <vt:lpwstr/>
      </vt:variant>
      <vt:variant>
        <vt:i4>2359391</vt:i4>
      </vt:variant>
      <vt:variant>
        <vt:i4>12</vt:i4>
      </vt:variant>
      <vt:variant>
        <vt:i4>0</vt:i4>
      </vt:variant>
      <vt:variant>
        <vt:i4>5</vt:i4>
      </vt:variant>
      <vt:variant>
        <vt:lpwstr>http://data.gov.uk/dataset/gypsy_and_traveller_caravans</vt:lpwstr>
      </vt:variant>
      <vt:variant>
        <vt:lpwstr/>
      </vt:variant>
      <vt:variant>
        <vt:i4>2228262</vt:i4>
      </vt:variant>
      <vt:variant>
        <vt:i4>9</vt:i4>
      </vt:variant>
      <vt:variant>
        <vt:i4>0</vt:i4>
      </vt:variant>
      <vt:variant>
        <vt:i4>5</vt:i4>
      </vt:variant>
      <vt:variant>
        <vt:lpwstr>https://www.gov.uk/government/speeches/planning-and-travellers</vt:lpwstr>
      </vt:variant>
      <vt:variant>
        <vt:lpwstr/>
      </vt:variant>
      <vt:variant>
        <vt:i4>2621541</vt:i4>
      </vt:variant>
      <vt:variant>
        <vt:i4>6</vt:i4>
      </vt:variant>
      <vt:variant>
        <vt:i4>0</vt:i4>
      </vt:variant>
      <vt:variant>
        <vt:i4>5</vt:i4>
      </vt:variant>
      <vt:variant>
        <vt:lpwstr>http://www.cih.org/</vt:lpwstr>
      </vt:variant>
      <vt:variant>
        <vt:lpwstr/>
      </vt:variant>
      <vt:variant>
        <vt:i4>327710</vt:i4>
      </vt:variant>
      <vt:variant>
        <vt:i4>3</vt:i4>
      </vt:variant>
      <vt:variant>
        <vt:i4>0</vt:i4>
      </vt:variant>
      <vt:variant>
        <vt:i4>5</vt:i4>
      </vt:variant>
      <vt:variant>
        <vt:lpwstr>http://www.communities.gov.uk/news/corporate/2124322</vt:lpwstr>
      </vt:variant>
      <vt:variant>
        <vt:lpwstr/>
      </vt:variant>
      <vt:variant>
        <vt:i4>327682</vt:i4>
      </vt:variant>
      <vt:variant>
        <vt:i4>0</vt:i4>
      </vt:variant>
      <vt:variant>
        <vt:i4>0</vt:i4>
      </vt:variant>
      <vt:variant>
        <vt:i4>5</vt:i4>
      </vt:variant>
      <vt:variant>
        <vt:lpwstr>http://www.pas.gov.uk/pas/core/page.do?pageId=2133454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Sandie Brand</dc:creator>
  <cp:keywords/>
  <dc:description/>
  <cp:lastModifiedBy>John Everingham</cp:lastModifiedBy>
  <cp:revision>3</cp:revision>
  <cp:lastPrinted>2018-12-17T12:22:00Z</cp:lastPrinted>
  <dcterms:created xsi:type="dcterms:W3CDTF">2019-07-10T15:10:00Z</dcterms:created>
  <dcterms:modified xsi:type="dcterms:W3CDTF">2019-07-10T15:10:00Z</dcterms:modified>
</cp:coreProperties>
</file>